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汽车级珠光材料项目规划设计纲要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0" w:history="1">
        <w:r>
          <w:rPr>
            <w:rFonts w:ascii="仿宋" w:eastAsia="仿宋" w:hAnsi="仿宋" w:cs="仿宋" w:hint="eastAsia"/>
            <w:lang w:eastAsia="zh-CN"/>
          </w:rPr>
          <w:t>序言</w:t>
        </w:r>
        <w:r>
          <w:tab/>
        </w:r>
        <w:r>
          <w:fldChar w:fldCharType="begin"/>
        </w:r>
        <w:r>
          <w:instrText xml:space="preserve"> PAGEREF _Toc22100 \h </w:instrText>
        </w:r>
        <w:r>
          <w:fldChar w:fldCharType="separate"/>
        </w:r>
        <w:r>
          <w:t>3</w:t>
        </w:r>
        <w:r>
          <w:fldChar w:fldCharType="end"/>
        </w:r>
      </w:hyperlink>
    </w:p>
    <w:p>
      <w:pPr>
        <w:pStyle w:val="TOC1"/>
        <w:tabs>
          <w:tab w:val="right" w:leader="dot" w:pos="8306"/>
        </w:tabs>
      </w:pPr>
      <w:hyperlink w:anchor="_Toc27239" w:history="1">
        <w:r>
          <w:rPr>
            <w:rFonts w:ascii="仿宋" w:eastAsia="仿宋" w:hAnsi="仿宋" w:cs="仿宋" w:hint="eastAsia"/>
            <w:lang w:eastAsia="zh-CN"/>
          </w:rPr>
          <w:t>一、市场分析、调研</w:t>
        </w:r>
        <w:r>
          <w:tab/>
        </w:r>
        <w:r>
          <w:fldChar w:fldCharType="begin"/>
        </w:r>
        <w:r>
          <w:instrText xml:space="preserve"> PAGEREF _Toc27239 \h </w:instrText>
        </w:r>
        <w:r>
          <w:fldChar w:fldCharType="separate"/>
        </w:r>
        <w:r>
          <w:t>3</w:t>
        </w:r>
        <w:r>
          <w:fldChar w:fldCharType="end"/>
        </w:r>
      </w:hyperlink>
    </w:p>
    <w:p>
      <w:pPr>
        <w:pStyle w:val="TOC2"/>
        <w:tabs>
          <w:tab w:val="right" w:leader="dot" w:pos="8306"/>
        </w:tabs>
      </w:pPr>
      <w:hyperlink w:anchor="_Toc20060" w:history="1">
        <w:r>
          <w:rPr>
            <w:rFonts w:ascii="仿宋" w:eastAsia="仿宋" w:hAnsi="仿宋" w:cs="仿宋" w:hint="eastAsia"/>
            <w:lang w:eastAsia="zh-CN"/>
          </w:rPr>
          <w:t>(一)、汽车级珠光材料行业分析</w:t>
        </w:r>
        <w:r>
          <w:tab/>
        </w:r>
        <w:r>
          <w:fldChar w:fldCharType="begin"/>
        </w:r>
        <w:r>
          <w:instrText xml:space="preserve"> PAGEREF _Toc20060 \h </w:instrText>
        </w:r>
        <w:r>
          <w:fldChar w:fldCharType="separate"/>
        </w:r>
        <w:r>
          <w:t>3</w:t>
        </w:r>
        <w:r>
          <w:fldChar w:fldCharType="end"/>
        </w:r>
      </w:hyperlink>
    </w:p>
    <w:p>
      <w:pPr>
        <w:pStyle w:val="TOC2"/>
        <w:tabs>
          <w:tab w:val="right" w:leader="dot" w:pos="8306"/>
        </w:tabs>
      </w:pPr>
      <w:hyperlink w:anchor="_Toc4452" w:history="1">
        <w:r>
          <w:rPr>
            <w:rFonts w:ascii="仿宋" w:eastAsia="仿宋" w:hAnsi="仿宋" w:cs="仿宋" w:hint="eastAsia"/>
            <w:lang w:eastAsia="zh-CN"/>
          </w:rPr>
          <w:t>(二)、汽车级珠光材料市场分析预测</w:t>
        </w:r>
        <w:r>
          <w:tab/>
        </w:r>
        <w:r>
          <w:fldChar w:fldCharType="begin"/>
        </w:r>
        <w:r>
          <w:instrText xml:space="preserve"> PAGEREF _Toc4452 \h </w:instrText>
        </w:r>
        <w:r>
          <w:fldChar w:fldCharType="separate"/>
        </w:r>
        <w:r>
          <w:t>4</w:t>
        </w:r>
        <w:r>
          <w:fldChar w:fldCharType="end"/>
        </w:r>
      </w:hyperlink>
    </w:p>
    <w:p>
      <w:pPr>
        <w:pStyle w:val="TOC1"/>
        <w:tabs>
          <w:tab w:val="right" w:leader="dot" w:pos="8306"/>
        </w:tabs>
      </w:pPr>
      <w:hyperlink w:anchor="_Toc19777" w:history="1">
        <w:r>
          <w:rPr>
            <w:rFonts w:ascii="仿宋" w:eastAsia="仿宋" w:hAnsi="仿宋" w:cs="仿宋" w:hint="eastAsia"/>
            <w:lang w:eastAsia="zh-CN"/>
          </w:rPr>
          <w:t>二、产品规划分析</w:t>
        </w:r>
        <w:r>
          <w:tab/>
        </w:r>
        <w:r>
          <w:fldChar w:fldCharType="begin"/>
        </w:r>
        <w:r>
          <w:instrText xml:space="preserve"> PAGEREF _Toc19777 \h </w:instrText>
        </w:r>
        <w:r>
          <w:fldChar w:fldCharType="separate"/>
        </w:r>
        <w:r>
          <w:t>5</w:t>
        </w:r>
        <w:r>
          <w:fldChar w:fldCharType="end"/>
        </w:r>
      </w:hyperlink>
    </w:p>
    <w:p>
      <w:pPr>
        <w:pStyle w:val="TOC2"/>
        <w:tabs>
          <w:tab w:val="right" w:leader="dot" w:pos="8306"/>
        </w:tabs>
      </w:pPr>
      <w:hyperlink w:anchor="_Toc21945" w:history="1">
        <w:r>
          <w:rPr>
            <w:rFonts w:ascii="仿宋" w:eastAsia="仿宋" w:hAnsi="仿宋" w:cs="仿宋" w:hint="eastAsia"/>
            <w:lang w:eastAsia="zh-CN"/>
          </w:rPr>
          <w:t>(一)、产品规划</w:t>
        </w:r>
        <w:r>
          <w:tab/>
        </w:r>
        <w:r>
          <w:fldChar w:fldCharType="begin"/>
        </w:r>
        <w:r>
          <w:instrText xml:space="preserve"> PAGEREF _Toc21945 \h </w:instrText>
        </w:r>
        <w:r>
          <w:fldChar w:fldCharType="separate"/>
        </w:r>
        <w:r>
          <w:t>5</w:t>
        </w:r>
        <w:r>
          <w:fldChar w:fldCharType="end"/>
        </w:r>
      </w:hyperlink>
    </w:p>
    <w:p>
      <w:pPr>
        <w:pStyle w:val="TOC2"/>
        <w:tabs>
          <w:tab w:val="right" w:leader="dot" w:pos="8306"/>
        </w:tabs>
      </w:pPr>
      <w:hyperlink w:anchor="_Toc26455" w:history="1">
        <w:r>
          <w:rPr>
            <w:rFonts w:ascii="仿宋" w:eastAsia="仿宋" w:hAnsi="仿宋" w:cs="仿宋" w:hint="eastAsia"/>
            <w:lang w:eastAsia="zh-CN"/>
          </w:rPr>
          <w:t>(二)、建设规模</w:t>
        </w:r>
        <w:r>
          <w:tab/>
        </w:r>
        <w:r>
          <w:fldChar w:fldCharType="begin"/>
        </w:r>
        <w:r>
          <w:instrText xml:space="preserve"> PAGEREF _Toc26455 \h </w:instrText>
        </w:r>
        <w:r>
          <w:fldChar w:fldCharType="separate"/>
        </w:r>
        <w:r>
          <w:t>5</w:t>
        </w:r>
        <w:r>
          <w:fldChar w:fldCharType="end"/>
        </w:r>
      </w:hyperlink>
    </w:p>
    <w:p>
      <w:pPr>
        <w:pStyle w:val="TOC1"/>
        <w:tabs>
          <w:tab w:val="right" w:leader="dot" w:pos="8306"/>
        </w:tabs>
      </w:pPr>
      <w:hyperlink w:anchor="_Toc21467" w:history="1">
        <w:r>
          <w:rPr>
            <w:rFonts w:ascii="仿宋" w:eastAsia="仿宋" w:hAnsi="仿宋" w:cs="仿宋" w:hint="eastAsia"/>
            <w:lang w:eastAsia="zh-CN"/>
          </w:rPr>
          <w:t>三、汽车级珠光材料项目土建工程</w:t>
        </w:r>
        <w:r>
          <w:tab/>
        </w:r>
        <w:r>
          <w:fldChar w:fldCharType="begin"/>
        </w:r>
        <w:r>
          <w:instrText xml:space="preserve"> PAGEREF _Toc21467 \h </w:instrText>
        </w:r>
        <w:r>
          <w:fldChar w:fldCharType="separate"/>
        </w:r>
        <w:r>
          <w:t>7</w:t>
        </w:r>
        <w:r>
          <w:fldChar w:fldCharType="end"/>
        </w:r>
      </w:hyperlink>
    </w:p>
    <w:p>
      <w:pPr>
        <w:pStyle w:val="TOC2"/>
        <w:tabs>
          <w:tab w:val="right" w:leader="dot" w:pos="8306"/>
        </w:tabs>
      </w:pPr>
      <w:hyperlink w:anchor="_Toc739" w:history="1">
        <w:r>
          <w:rPr>
            <w:rFonts w:ascii="仿宋" w:eastAsia="仿宋" w:hAnsi="仿宋" w:cs="仿宋" w:hint="eastAsia"/>
            <w:lang w:eastAsia="zh-CN"/>
          </w:rPr>
          <w:t>(一)、建筑工程设计原则</w:t>
        </w:r>
        <w:r>
          <w:tab/>
        </w:r>
        <w:r>
          <w:fldChar w:fldCharType="begin"/>
        </w:r>
        <w:r>
          <w:instrText xml:space="preserve"> PAGEREF _Toc739 \h </w:instrText>
        </w:r>
        <w:r>
          <w:fldChar w:fldCharType="separate"/>
        </w:r>
        <w:r>
          <w:t>7</w:t>
        </w:r>
        <w:r>
          <w:fldChar w:fldCharType="end"/>
        </w:r>
      </w:hyperlink>
    </w:p>
    <w:p>
      <w:pPr>
        <w:pStyle w:val="TOC2"/>
        <w:tabs>
          <w:tab w:val="right" w:leader="dot" w:pos="8306"/>
        </w:tabs>
      </w:pPr>
      <w:hyperlink w:anchor="_Toc19965" w:history="1">
        <w:r>
          <w:rPr>
            <w:rFonts w:ascii="仿宋" w:eastAsia="仿宋" w:hAnsi="仿宋" w:cs="仿宋" w:hint="eastAsia"/>
            <w:lang w:eastAsia="zh-CN"/>
          </w:rPr>
          <w:t>(二)、土建工程设计年限及安全等级</w:t>
        </w:r>
        <w:r>
          <w:tab/>
        </w:r>
        <w:r>
          <w:fldChar w:fldCharType="begin"/>
        </w:r>
        <w:r>
          <w:instrText xml:space="preserve"> PAGEREF _Toc19965 \h </w:instrText>
        </w:r>
        <w:r>
          <w:fldChar w:fldCharType="separate"/>
        </w:r>
        <w:r>
          <w:t>8</w:t>
        </w:r>
        <w:r>
          <w:fldChar w:fldCharType="end"/>
        </w:r>
      </w:hyperlink>
    </w:p>
    <w:p>
      <w:pPr>
        <w:pStyle w:val="TOC2"/>
        <w:tabs>
          <w:tab w:val="right" w:leader="dot" w:pos="8306"/>
        </w:tabs>
      </w:pPr>
      <w:hyperlink w:anchor="_Toc586" w:history="1">
        <w:r>
          <w:rPr>
            <w:rFonts w:ascii="仿宋" w:eastAsia="仿宋" w:hAnsi="仿宋" w:cs="仿宋" w:hint="eastAsia"/>
            <w:lang w:eastAsia="zh-CN"/>
          </w:rPr>
          <w:t>(三)、建筑工程设计总体要求</w:t>
        </w:r>
        <w:r>
          <w:tab/>
        </w:r>
        <w:r>
          <w:fldChar w:fldCharType="begin"/>
        </w:r>
        <w:r>
          <w:instrText xml:space="preserve"> PAGEREF _Toc586 \h </w:instrText>
        </w:r>
        <w:r>
          <w:fldChar w:fldCharType="separate"/>
        </w:r>
        <w:r>
          <w:t>9</w:t>
        </w:r>
        <w:r>
          <w:fldChar w:fldCharType="end"/>
        </w:r>
      </w:hyperlink>
    </w:p>
    <w:p>
      <w:pPr>
        <w:pStyle w:val="TOC2"/>
        <w:tabs>
          <w:tab w:val="right" w:leader="dot" w:pos="8306"/>
        </w:tabs>
      </w:pPr>
      <w:hyperlink w:anchor="_Toc2565" w:history="1">
        <w:r>
          <w:rPr>
            <w:rFonts w:ascii="仿宋" w:eastAsia="仿宋" w:hAnsi="仿宋" w:cs="仿宋" w:hint="eastAsia"/>
            <w:lang w:eastAsia="zh-CN"/>
          </w:rPr>
          <w:t>(四)、土建工程建设指标</w:t>
        </w:r>
        <w:r>
          <w:tab/>
        </w:r>
        <w:r>
          <w:fldChar w:fldCharType="begin"/>
        </w:r>
        <w:r>
          <w:instrText xml:space="preserve"> PAGEREF _Toc2565 \h </w:instrText>
        </w:r>
        <w:r>
          <w:fldChar w:fldCharType="separate"/>
        </w:r>
        <w:r>
          <w:t>10</w:t>
        </w:r>
        <w:r>
          <w:fldChar w:fldCharType="end"/>
        </w:r>
      </w:hyperlink>
    </w:p>
    <w:p>
      <w:pPr>
        <w:pStyle w:val="TOC1"/>
        <w:tabs>
          <w:tab w:val="right" w:leader="dot" w:pos="8306"/>
        </w:tabs>
      </w:pPr>
      <w:hyperlink w:anchor="_Toc5284" w:history="1">
        <w:r>
          <w:rPr>
            <w:rFonts w:ascii="仿宋" w:eastAsia="仿宋" w:hAnsi="仿宋" w:cs="仿宋" w:hint="eastAsia"/>
            <w:lang w:eastAsia="zh-CN"/>
          </w:rPr>
          <w:t>四、汽车级珠光材料项目可持续发展</w:t>
        </w:r>
        <w:r>
          <w:tab/>
        </w:r>
        <w:r>
          <w:fldChar w:fldCharType="begin"/>
        </w:r>
        <w:r>
          <w:instrText xml:space="preserve"> PAGEREF _Toc5284 \h </w:instrText>
        </w:r>
        <w:r>
          <w:fldChar w:fldCharType="separate"/>
        </w:r>
        <w:r>
          <w:t>10</w:t>
        </w:r>
        <w:r>
          <w:fldChar w:fldCharType="end"/>
        </w:r>
      </w:hyperlink>
    </w:p>
    <w:p>
      <w:pPr>
        <w:pStyle w:val="TOC2"/>
        <w:tabs>
          <w:tab w:val="right" w:leader="dot" w:pos="8306"/>
        </w:tabs>
      </w:pPr>
      <w:hyperlink w:anchor="_Toc8264" w:history="1">
        <w:r>
          <w:rPr>
            <w:rFonts w:ascii="仿宋" w:eastAsia="仿宋" w:hAnsi="仿宋" w:cs="仿宋" w:hint="eastAsia"/>
            <w:lang w:eastAsia="zh-CN"/>
          </w:rPr>
          <w:t>(一)、可持续战略与实践</w:t>
        </w:r>
        <w:r>
          <w:tab/>
        </w:r>
        <w:r>
          <w:fldChar w:fldCharType="begin"/>
        </w:r>
        <w:r>
          <w:instrText xml:space="preserve"> PAGEREF _Toc8264 \h </w:instrText>
        </w:r>
        <w:r>
          <w:fldChar w:fldCharType="separate"/>
        </w:r>
        <w:r>
          <w:t>10</w:t>
        </w:r>
        <w:r>
          <w:fldChar w:fldCharType="end"/>
        </w:r>
      </w:hyperlink>
    </w:p>
    <w:p>
      <w:pPr>
        <w:pStyle w:val="TOC2"/>
        <w:tabs>
          <w:tab w:val="right" w:leader="dot" w:pos="8306"/>
        </w:tabs>
      </w:pPr>
      <w:hyperlink w:anchor="_Toc2054" w:history="1">
        <w:r>
          <w:rPr>
            <w:rFonts w:ascii="仿宋" w:eastAsia="仿宋" w:hAnsi="仿宋" w:cs="仿宋" w:hint="eastAsia"/>
            <w:lang w:eastAsia="zh-CN"/>
          </w:rPr>
          <w:t>(二)、环保与社会责任</w:t>
        </w:r>
        <w:r>
          <w:tab/>
        </w:r>
        <w:r>
          <w:fldChar w:fldCharType="begin"/>
        </w:r>
        <w:r>
          <w:instrText xml:space="preserve"> PAGEREF _Toc2054 \h </w:instrText>
        </w:r>
        <w:r>
          <w:fldChar w:fldCharType="separate"/>
        </w:r>
        <w:r>
          <w:t>11</w:t>
        </w:r>
        <w:r>
          <w:fldChar w:fldCharType="end"/>
        </w:r>
      </w:hyperlink>
    </w:p>
    <w:p>
      <w:pPr>
        <w:pStyle w:val="TOC1"/>
        <w:tabs>
          <w:tab w:val="right" w:leader="dot" w:pos="8306"/>
        </w:tabs>
      </w:pPr>
      <w:hyperlink w:anchor="_Toc18747" w:history="1">
        <w:r>
          <w:rPr>
            <w:rFonts w:ascii="仿宋" w:eastAsia="仿宋" w:hAnsi="仿宋" w:cs="仿宋" w:hint="eastAsia"/>
            <w:lang w:eastAsia="zh-CN"/>
          </w:rPr>
          <w:t>五、汽车级珠光材料项目建设单位说明</w:t>
        </w:r>
        <w:r>
          <w:tab/>
        </w:r>
        <w:r>
          <w:fldChar w:fldCharType="begin"/>
        </w:r>
        <w:r>
          <w:instrText xml:space="preserve"> PAGEREF _Toc18747 \h </w:instrText>
        </w:r>
        <w:r>
          <w:fldChar w:fldCharType="separate"/>
        </w:r>
        <w:r>
          <w:t>12</w:t>
        </w:r>
        <w:r>
          <w:fldChar w:fldCharType="end"/>
        </w:r>
      </w:hyperlink>
    </w:p>
    <w:p>
      <w:pPr>
        <w:pStyle w:val="TOC2"/>
        <w:tabs>
          <w:tab w:val="right" w:leader="dot" w:pos="8306"/>
        </w:tabs>
      </w:pPr>
      <w:hyperlink w:anchor="_Toc4865" w:history="1">
        <w:r>
          <w:rPr>
            <w:rFonts w:ascii="仿宋" w:eastAsia="仿宋" w:hAnsi="仿宋" w:cs="仿宋" w:hint="eastAsia"/>
            <w:lang w:eastAsia="zh-CN"/>
          </w:rPr>
          <w:t>(一)、汽车级珠光材料项目承办单位基本情况</w:t>
        </w:r>
        <w:r>
          <w:tab/>
        </w:r>
        <w:r>
          <w:fldChar w:fldCharType="begin"/>
        </w:r>
        <w:r>
          <w:instrText xml:space="preserve"> PAGEREF _Toc4865 \h </w:instrText>
        </w:r>
        <w:r>
          <w:fldChar w:fldCharType="separate"/>
        </w:r>
        <w:r>
          <w:t>12</w:t>
        </w:r>
        <w:r>
          <w:fldChar w:fldCharType="end"/>
        </w:r>
      </w:hyperlink>
    </w:p>
    <w:p>
      <w:pPr>
        <w:pStyle w:val="TOC2"/>
        <w:tabs>
          <w:tab w:val="right" w:leader="dot" w:pos="8306"/>
        </w:tabs>
      </w:pPr>
      <w:hyperlink w:anchor="_Toc26988" w:history="1">
        <w:r>
          <w:rPr>
            <w:rFonts w:ascii="仿宋" w:eastAsia="仿宋" w:hAnsi="仿宋" w:cs="仿宋" w:hint="eastAsia"/>
            <w:lang w:eastAsia="zh-CN"/>
          </w:rPr>
          <w:t>(二)、公司经济效益分析</w:t>
        </w:r>
        <w:r>
          <w:tab/>
        </w:r>
        <w:r>
          <w:fldChar w:fldCharType="begin"/>
        </w:r>
        <w:r>
          <w:instrText xml:space="preserve"> PAGEREF _Toc26988 \h </w:instrText>
        </w:r>
        <w:r>
          <w:fldChar w:fldCharType="separate"/>
        </w:r>
        <w:r>
          <w:t>12</w:t>
        </w:r>
        <w:r>
          <w:fldChar w:fldCharType="end"/>
        </w:r>
      </w:hyperlink>
    </w:p>
    <w:p>
      <w:pPr>
        <w:pStyle w:val="TOC1"/>
        <w:tabs>
          <w:tab w:val="right" w:leader="dot" w:pos="8306"/>
        </w:tabs>
      </w:pPr>
      <w:hyperlink w:anchor="_Toc30501" w:history="1">
        <w:r>
          <w:rPr>
            <w:rFonts w:ascii="仿宋" w:eastAsia="仿宋" w:hAnsi="仿宋" w:cs="仿宋" w:hint="eastAsia"/>
            <w:lang w:eastAsia="zh-CN"/>
          </w:rPr>
          <w:t>六、汽车级珠光材料项目绩效评估</w:t>
        </w:r>
        <w:r>
          <w:tab/>
        </w:r>
        <w:r>
          <w:fldChar w:fldCharType="begin"/>
        </w:r>
        <w:r>
          <w:instrText xml:space="preserve"> PAGEREF _Toc30501 \h </w:instrText>
        </w:r>
        <w:r>
          <w:fldChar w:fldCharType="separate"/>
        </w:r>
        <w:r>
          <w:t>13</w:t>
        </w:r>
        <w:r>
          <w:fldChar w:fldCharType="end"/>
        </w:r>
      </w:hyperlink>
    </w:p>
    <w:p>
      <w:pPr>
        <w:pStyle w:val="TOC2"/>
        <w:tabs>
          <w:tab w:val="right" w:leader="dot" w:pos="8306"/>
        </w:tabs>
      </w:pPr>
      <w:hyperlink w:anchor="_Toc22145" w:history="1">
        <w:r>
          <w:rPr>
            <w:rFonts w:ascii="仿宋" w:eastAsia="仿宋" w:hAnsi="仿宋" w:cs="仿宋" w:hint="eastAsia"/>
            <w:lang w:eastAsia="zh-CN"/>
          </w:rPr>
          <w:t>(一)、绩效评估指标</w:t>
        </w:r>
        <w:r>
          <w:tab/>
        </w:r>
        <w:r>
          <w:fldChar w:fldCharType="begin"/>
        </w:r>
        <w:r>
          <w:instrText xml:space="preserve"> PAGEREF _Toc22145 \h </w:instrText>
        </w:r>
        <w:r>
          <w:fldChar w:fldCharType="separate"/>
        </w:r>
        <w:r>
          <w:t>13</w:t>
        </w:r>
        <w:r>
          <w:fldChar w:fldCharType="end"/>
        </w:r>
      </w:hyperlink>
    </w:p>
    <w:p>
      <w:pPr>
        <w:pStyle w:val="TOC2"/>
        <w:tabs>
          <w:tab w:val="right" w:leader="dot" w:pos="8306"/>
        </w:tabs>
      </w:pPr>
      <w:hyperlink w:anchor="_Toc11398" w:history="1">
        <w:r>
          <w:rPr>
            <w:rFonts w:ascii="仿宋" w:eastAsia="仿宋" w:hAnsi="仿宋" w:cs="仿宋" w:hint="eastAsia"/>
            <w:lang w:eastAsia="zh-CN"/>
          </w:rPr>
          <w:t>(二)、绩效评估方法</w:t>
        </w:r>
        <w:r>
          <w:tab/>
        </w:r>
        <w:r>
          <w:fldChar w:fldCharType="begin"/>
        </w:r>
        <w:r>
          <w:instrText xml:space="preserve"> PAGEREF _Toc11398 \h </w:instrText>
        </w:r>
        <w:r>
          <w:fldChar w:fldCharType="separate"/>
        </w:r>
        <w:r>
          <w:t>14</w:t>
        </w:r>
        <w:r>
          <w:fldChar w:fldCharType="end"/>
        </w:r>
      </w:hyperlink>
    </w:p>
    <w:p>
      <w:pPr>
        <w:pStyle w:val="TOC2"/>
        <w:tabs>
          <w:tab w:val="right" w:leader="dot" w:pos="8306"/>
        </w:tabs>
      </w:pPr>
      <w:hyperlink w:anchor="_Toc25883" w:history="1">
        <w:r>
          <w:rPr>
            <w:rFonts w:ascii="仿宋" w:eastAsia="仿宋" w:hAnsi="仿宋" w:cs="仿宋" w:hint="eastAsia"/>
            <w:lang w:eastAsia="zh-CN"/>
          </w:rPr>
          <w:t>(三)、绩效评估周期</w:t>
        </w:r>
        <w:r>
          <w:tab/>
        </w:r>
        <w:r>
          <w:fldChar w:fldCharType="begin"/>
        </w:r>
        <w:r>
          <w:instrText xml:space="preserve"> PAGEREF _Toc25883 \h </w:instrText>
        </w:r>
        <w:r>
          <w:fldChar w:fldCharType="separate"/>
        </w:r>
        <w:r>
          <w:t>15</w:t>
        </w:r>
        <w:r>
          <w:fldChar w:fldCharType="end"/>
        </w:r>
      </w:hyperlink>
    </w:p>
    <w:p>
      <w:pPr>
        <w:pStyle w:val="TOC1"/>
        <w:tabs>
          <w:tab w:val="right" w:leader="dot" w:pos="8306"/>
        </w:tabs>
      </w:pPr>
      <w:hyperlink w:anchor="_Toc1694" w:history="1">
        <w:r>
          <w:rPr>
            <w:rFonts w:ascii="仿宋" w:eastAsia="仿宋" w:hAnsi="仿宋" w:cs="仿宋" w:hint="eastAsia"/>
            <w:lang w:eastAsia="zh-CN"/>
          </w:rPr>
          <w:t>七、生产安全保护</w:t>
        </w:r>
        <w:r>
          <w:tab/>
        </w:r>
        <w:r>
          <w:fldChar w:fldCharType="begin"/>
        </w:r>
        <w:r>
          <w:instrText xml:space="preserve"> PAGEREF _Toc1694 \h </w:instrText>
        </w:r>
        <w:r>
          <w:fldChar w:fldCharType="separate"/>
        </w:r>
        <w:r>
          <w:t>17</w:t>
        </w:r>
        <w:r>
          <w:fldChar w:fldCharType="end"/>
        </w:r>
      </w:hyperlink>
    </w:p>
    <w:p>
      <w:pPr>
        <w:pStyle w:val="TOC2"/>
        <w:tabs>
          <w:tab w:val="right" w:leader="dot" w:pos="8306"/>
        </w:tabs>
      </w:pPr>
      <w:hyperlink w:anchor="_Toc3779" w:history="1">
        <w:r>
          <w:rPr>
            <w:rFonts w:ascii="仿宋" w:eastAsia="仿宋" w:hAnsi="仿宋" w:cs="仿宋" w:hint="eastAsia"/>
            <w:lang w:eastAsia="zh-CN"/>
          </w:rPr>
          <w:t>(一)、消防安全</w:t>
        </w:r>
        <w:r>
          <w:tab/>
        </w:r>
        <w:r>
          <w:fldChar w:fldCharType="begin"/>
        </w:r>
        <w:r>
          <w:instrText xml:space="preserve"> PAGEREF _Toc3779 \h </w:instrText>
        </w:r>
        <w:r>
          <w:fldChar w:fldCharType="separate"/>
        </w:r>
        <w:r>
          <w:t>17</w:t>
        </w:r>
        <w:r>
          <w:fldChar w:fldCharType="end"/>
        </w:r>
      </w:hyperlink>
    </w:p>
    <w:p>
      <w:pPr>
        <w:pStyle w:val="TOC2"/>
        <w:tabs>
          <w:tab w:val="right" w:leader="dot" w:pos="8306"/>
        </w:tabs>
      </w:pPr>
      <w:hyperlink w:anchor="_Toc1274" w:history="1">
        <w:r>
          <w:rPr>
            <w:rFonts w:ascii="仿宋" w:eastAsia="仿宋" w:hAnsi="仿宋" w:cs="仿宋" w:hint="eastAsia"/>
            <w:lang w:eastAsia="zh-CN"/>
          </w:rPr>
          <w:t>(二)、防火防爆总图布置措施</w:t>
        </w:r>
        <w:r>
          <w:tab/>
        </w:r>
        <w:r>
          <w:fldChar w:fldCharType="begin"/>
        </w:r>
        <w:r>
          <w:instrText xml:space="preserve"> PAGEREF _Toc1274 \h </w:instrText>
        </w:r>
        <w:r>
          <w:fldChar w:fldCharType="separate"/>
        </w:r>
        <w:r>
          <w:t>18</w:t>
        </w:r>
        <w:r>
          <w:fldChar w:fldCharType="end"/>
        </w:r>
      </w:hyperlink>
    </w:p>
    <w:p>
      <w:pPr>
        <w:pStyle w:val="TOC2"/>
        <w:tabs>
          <w:tab w:val="right" w:leader="dot" w:pos="8306"/>
        </w:tabs>
      </w:pPr>
      <w:hyperlink w:anchor="_Toc14415" w:history="1">
        <w:r>
          <w:rPr>
            <w:rFonts w:ascii="仿宋" w:eastAsia="仿宋" w:hAnsi="仿宋" w:cs="仿宋" w:hint="eastAsia"/>
            <w:lang w:eastAsia="zh-CN"/>
          </w:rPr>
          <w:t>(三)、自然灾害防范措施</w:t>
        </w:r>
        <w:r>
          <w:tab/>
        </w:r>
        <w:r>
          <w:fldChar w:fldCharType="begin"/>
        </w:r>
        <w:r>
          <w:instrText xml:space="preserve"> PAGEREF _Toc14415 \h </w:instrText>
        </w:r>
        <w:r>
          <w:fldChar w:fldCharType="separate"/>
        </w:r>
        <w:r>
          <w:t>19</w:t>
        </w:r>
        <w:r>
          <w:fldChar w:fldCharType="end"/>
        </w:r>
      </w:hyperlink>
    </w:p>
    <w:p>
      <w:pPr>
        <w:pStyle w:val="TOC2"/>
        <w:tabs>
          <w:tab w:val="right" w:leader="dot" w:pos="8306"/>
        </w:tabs>
      </w:pPr>
      <w:hyperlink w:anchor="_Toc22166" w:history="1">
        <w:r>
          <w:rPr>
            <w:rFonts w:ascii="仿宋" w:eastAsia="仿宋" w:hAnsi="仿宋" w:cs="仿宋" w:hint="eastAsia"/>
            <w:lang w:eastAsia="zh-CN"/>
          </w:rPr>
          <w:t>(四)、安全色及安全标志使用要求</w:t>
        </w:r>
        <w:r>
          <w:tab/>
        </w:r>
        <w:r>
          <w:fldChar w:fldCharType="begin"/>
        </w:r>
        <w:r>
          <w:instrText xml:space="preserve"> PAGEREF _Toc22166 \h </w:instrText>
        </w:r>
        <w:r>
          <w:fldChar w:fldCharType="separate"/>
        </w:r>
        <w:r>
          <w:t>20</w:t>
        </w:r>
        <w:r>
          <w:fldChar w:fldCharType="end"/>
        </w:r>
      </w:hyperlink>
    </w:p>
    <w:p>
      <w:pPr>
        <w:pStyle w:val="TOC2"/>
        <w:tabs>
          <w:tab w:val="right" w:leader="dot" w:pos="8306"/>
        </w:tabs>
      </w:pPr>
      <w:hyperlink w:anchor="_Toc9311" w:history="1">
        <w:r>
          <w:rPr>
            <w:rFonts w:ascii="仿宋" w:eastAsia="仿宋" w:hAnsi="仿宋" w:cs="仿宋" w:hint="eastAsia"/>
            <w:lang w:eastAsia="zh-CN"/>
          </w:rPr>
          <w:t>(五)、防尘防毒措施</w:t>
        </w:r>
        <w:r>
          <w:tab/>
        </w:r>
        <w:r>
          <w:fldChar w:fldCharType="begin"/>
        </w:r>
        <w:r>
          <w:instrText xml:space="preserve"> PAGEREF _Toc9311 \h </w:instrText>
        </w:r>
        <w:r>
          <w:fldChar w:fldCharType="separate"/>
        </w:r>
        <w:r>
          <w:t>21</w:t>
        </w:r>
        <w:r>
          <w:fldChar w:fldCharType="end"/>
        </w:r>
      </w:hyperlink>
    </w:p>
    <w:p>
      <w:pPr>
        <w:pStyle w:val="TOC2"/>
        <w:tabs>
          <w:tab w:val="right" w:leader="dot" w:pos="8306"/>
        </w:tabs>
      </w:pPr>
      <w:hyperlink w:anchor="_Toc3287" w:history="1">
        <w:r>
          <w:rPr>
            <w:rFonts w:ascii="仿宋" w:eastAsia="仿宋" w:hAnsi="仿宋" w:cs="仿宋" w:hint="eastAsia"/>
            <w:lang w:eastAsia="zh-CN"/>
          </w:rPr>
          <w:t>(六)、防静电、触电防护及防雷措施</w:t>
        </w:r>
        <w:r>
          <w:tab/>
        </w:r>
        <w:r>
          <w:fldChar w:fldCharType="begin"/>
        </w:r>
        <w:r>
          <w:instrText xml:space="preserve"> PAGEREF _Toc3287 \h </w:instrText>
        </w:r>
        <w:r>
          <w:fldChar w:fldCharType="separate"/>
        </w:r>
        <w:r>
          <w:t>22</w:t>
        </w:r>
        <w:r>
          <w:fldChar w:fldCharType="end"/>
        </w:r>
      </w:hyperlink>
    </w:p>
    <w:p>
      <w:pPr>
        <w:pStyle w:val="TOC2"/>
        <w:tabs>
          <w:tab w:val="right" w:leader="dot" w:pos="8306"/>
        </w:tabs>
      </w:pPr>
      <w:hyperlink w:anchor="_Toc15080" w:history="1">
        <w:r>
          <w:rPr>
            <w:rFonts w:ascii="仿宋" w:eastAsia="仿宋" w:hAnsi="仿宋" w:cs="仿宋" w:hint="eastAsia"/>
            <w:lang w:eastAsia="zh-CN"/>
          </w:rPr>
          <w:t>(七)、机械设备安全保障措施</w:t>
        </w:r>
        <w:r>
          <w:tab/>
        </w:r>
        <w:r>
          <w:fldChar w:fldCharType="begin"/>
        </w:r>
        <w:r>
          <w:instrText xml:space="preserve"> PAGEREF _Toc15080 \h </w:instrText>
        </w:r>
        <w:r>
          <w:fldChar w:fldCharType="separate"/>
        </w:r>
        <w:r>
          <w:t>23</w:t>
        </w:r>
        <w:r>
          <w:fldChar w:fldCharType="end"/>
        </w:r>
      </w:hyperlink>
    </w:p>
    <w:p>
      <w:pPr>
        <w:pStyle w:val="TOC1"/>
        <w:tabs>
          <w:tab w:val="right" w:leader="dot" w:pos="8306"/>
        </w:tabs>
      </w:pPr>
      <w:hyperlink w:anchor="_Toc9081" w:history="1">
        <w:r>
          <w:rPr>
            <w:rFonts w:ascii="仿宋" w:eastAsia="仿宋" w:hAnsi="仿宋" w:cs="仿宋" w:hint="eastAsia"/>
            <w:lang w:eastAsia="zh-CN"/>
          </w:rPr>
          <w:t>八、汽车级珠光材料项目投资规划</w:t>
        </w:r>
        <w:r>
          <w:tab/>
        </w:r>
        <w:r>
          <w:fldChar w:fldCharType="begin"/>
        </w:r>
        <w:r>
          <w:instrText xml:space="preserve"> PAGEREF _Toc9081 \h </w:instrText>
        </w:r>
        <w:r>
          <w:fldChar w:fldCharType="separate"/>
        </w:r>
        <w:r>
          <w:t>25</w:t>
        </w:r>
        <w:r>
          <w:fldChar w:fldCharType="end"/>
        </w:r>
      </w:hyperlink>
    </w:p>
    <w:p>
      <w:pPr>
        <w:pStyle w:val="TOC2"/>
        <w:tabs>
          <w:tab w:val="right" w:leader="dot" w:pos="8306"/>
        </w:tabs>
      </w:pPr>
      <w:hyperlink w:anchor="_Toc21988" w:history="1">
        <w:r>
          <w:rPr>
            <w:rFonts w:ascii="仿宋" w:eastAsia="仿宋" w:hAnsi="仿宋" w:cs="仿宋" w:hint="eastAsia"/>
            <w:lang w:eastAsia="zh-CN"/>
          </w:rPr>
          <w:t>(一)、汽车级珠光材料项目总投资估算</w:t>
        </w:r>
        <w:r>
          <w:tab/>
        </w:r>
        <w:r>
          <w:fldChar w:fldCharType="begin"/>
        </w:r>
        <w:r>
          <w:instrText xml:space="preserve"> PAGEREF _Toc21988 \h </w:instrText>
        </w:r>
        <w:r>
          <w:fldChar w:fldCharType="separate"/>
        </w:r>
        <w:r>
          <w:t>25</w:t>
        </w:r>
        <w:r>
          <w:fldChar w:fldCharType="end"/>
        </w:r>
      </w:hyperlink>
    </w:p>
    <w:p>
      <w:pPr>
        <w:pStyle w:val="TOC2"/>
        <w:tabs>
          <w:tab w:val="right" w:leader="dot" w:pos="8306"/>
        </w:tabs>
      </w:pPr>
      <w:hyperlink w:anchor="_Toc27901" w:history="1">
        <w:r>
          <w:rPr>
            <w:rFonts w:ascii="仿宋" w:eastAsia="仿宋" w:hAnsi="仿宋" w:cs="仿宋" w:hint="eastAsia"/>
            <w:lang w:eastAsia="zh-CN"/>
          </w:rPr>
          <w:t>(二)、资金筹措</w:t>
        </w:r>
        <w:r>
          <w:tab/>
        </w:r>
        <w:r>
          <w:fldChar w:fldCharType="begin"/>
        </w:r>
        <w:r>
          <w:instrText xml:space="preserve"> PAGEREF _Toc27901 \h </w:instrText>
        </w:r>
        <w:r>
          <w:fldChar w:fldCharType="separate"/>
        </w:r>
        <w:r>
          <w:t>26</w:t>
        </w:r>
        <w:r>
          <w:fldChar w:fldCharType="end"/>
        </w:r>
      </w:hyperlink>
    </w:p>
    <w:p>
      <w:pPr>
        <w:pStyle w:val="TOC1"/>
        <w:tabs>
          <w:tab w:val="right" w:leader="dot" w:pos="8306"/>
        </w:tabs>
      </w:pPr>
      <w:hyperlink w:anchor="_Toc1175" w:history="1">
        <w:r>
          <w:rPr>
            <w:rFonts w:ascii="仿宋" w:eastAsia="仿宋" w:hAnsi="仿宋" w:cs="仿宋" w:hint="eastAsia"/>
            <w:lang w:eastAsia="zh-CN"/>
          </w:rPr>
          <w:t>九、汽车级珠光材料项目环境影响分析</w:t>
        </w:r>
        <w:r>
          <w:tab/>
        </w:r>
        <w:r>
          <w:fldChar w:fldCharType="begin"/>
        </w:r>
        <w:r>
          <w:instrText xml:space="preserve"> PAGEREF _Toc1175 \h </w:instrText>
        </w:r>
        <w:r>
          <w:fldChar w:fldCharType="separate"/>
        </w:r>
        <w:r>
          <w:t>27</w:t>
        </w:r>
        <w:r>
          <w:fldChar w:fldCharType="end"/>
        </w:r>
      </w:hyperlink>
    </w:p>
    <w:p>
      <w:pPr>
        <w:pStyle w:val="TOC2"/>
        <w:tabs>
          <w:tab w:val="right" w:leader="dot" w:pos="8306"/>
        </w:tabs>
      </w:pPr>
      <w:hyperlink w:anchor="_Toc12106" w:history="1">
        <w:r>
          <w:rPr>
            <w:rFonts w:ascii="仿宋" w:eastAsia="仿宋" w:hAnsi="仿宋" w:cs="仿宋" w:hint="eastAsia"/>
            <w:lang w:eastAsia="zh-CN"/>
          </w:rPr>
          <w:t>(一)、建设区域环境质量现状</w:t>
        </w:r>
        <w:r>
          <w:tab/>
        </w:r>
        <w:r>
          <w:fldChar w:fldCharType="begin"/>
        </w:r>
        <w:r>
          <w:instrText xml:space="preserve"> PAGEREF _Toc12106 \h </w:instrText>
        </w:r>
        <w:r>
          <w:fldChar w:fldCharType="separate"/>
        </w:r>
        <w:r>
          <w:t>27</w:t>
        </w:r>
        <w:r>
          <w:fldChar w:fldCharType="end"/>
        </w:r>
      </w:hyperlink>
    </w:p>
    <w:p>
      <w:pPr>
        <w:pStyle w:val="TOC2"/>
        <w:tabs>
          <w:tab w:val="right" w:leader="dot" w:pos="8306"/>
        </w:tabs>
      </w:pPr>
      <w:hyperlink w:anchor="_Toc537" w:history="1">
        <w:r>
          <w:rPr>
            <w:rFonts w:ascii="仿宋" w:eastAsia="仿宋" w:hAnsi="仿宋" w:cs="仿宋" w:hint="eastAsia"/>
            <w:lang w:eastAsia="zh-CN"/>
          </w:rPr>
          <w:t>(二)、建设期环境保护</w:t>
        </w:r>
        <w:r>
          <w:tab/>
        </w:r>
        <w:r>
          <w:fldChar w:fldCharType="begin"/>
        </w:r>
        <w:r>
          <w:instrText xml:space="preserve"> PAGEREF _Toc537 \h </w:instrText>
        </w:r>
        <w:r>
          <w:fldChar w:fldCharType="separate"/>
        </w:r>
        <w:r>
          <w:t>28</w:t>
        </w:r>
        <w:r>
          <w:fldChar w:fldCharType="end"/>
        </w:r>
      </w:hyperlink>
    </w:p>
    <w:p>
      <w:pPr>
        <w:pStyle w:val="TOC2"/>
        <w:tabs>
          <w:tab w:val="right" w:leader="dot" w:pos="8306"/>
        </w:tabs>
      </w:pPr>
      <w:hyperlink w:anchor="_Toc23206" w:history="1">
        <w:r>
          <w:rPr>
            <w:rFonts w:ascii="仿宋" w:eastAsia="仿宋" w:hAnsi="仿宋" w:cs="仿宋" w:hint="eastAsia"/>
            <w:lang w:eastAsia="zh-CN"/>
          </w:rPr>
          <w:t>(三)、运营期环境保护</w:t>
        </w:r>
        <w:r>
          <w:tab/>
        </w:r>
        <w:r>
          <w:fldChar w:fldCharType="begin"/>
        </w:r>
        <w:r>
          <w:instrText xml:space="preserve"> PAGEREF _Toc23206 \h </w:instrText>
        </w:r>
        <w:r>
          <w:fldChar w:fldCharType="separate"/>
        </w:r>
        <w:r>
          <w:t>30</w:t>
        </w:r>
        <w:r>
          <w:fldChar w:fldCharType="end"/>
        </w:r>
      </w:hyperlink>
    </w:p>
    <w:p>
      <w:pPr>
        <w:pStyle w:val="TOC2"/>
        <w:tabs>
          <w:tab w:val="right" w:leader="dot" w:pos="8306"/>
        </w:tabs>
      </w:pPr>
      <w:hyperlink w:anchor="_Toc16636" w:history="1">
        <w:r>
          <w:rPr>
            <w:rFonts w:ascii="仿宋" w:eastAsia="仿宋" w:hAnsi="仿宋" w:cs="仿宋" w:hint="eastAsia"/>
            <w:lang w:eastAsia="zh-CN"/>
          </w:rPr>
          <w:t>(四)、汽车级珠光材料项目建设对区域经济的影响</w:t>
        </w:r>
        <w:r>
          <w:tab/>
        </w:r>
        <w:r>
          <w:fldChar w:fldCharType="begin"/>
        </w:r>
        <w:r>
          <w:instrText xml:space="preserve"> PAGEREF _Toc16636 \h </w:instrText>
        </w:r>
        <w:r>
          <w:fldChar w:fldCharType="separate"/>
        </w:r>
        <w:r>
          <w:t>31</w:t>
        </w:r>
        <w:r>
          <w:fldChar w:fldCharType="end"/>
        </w:r>
      </w:hyperlink>
    </w:p>
    <w:p>
      <w:pPr>
        <w:pStyle w:val="TOC2"/>
        <w:tabs>
          <w:tab w:val="right" w:leader="dot" w:pos="8306"/>
        </w:tabs>
      </w:pPr>
      <w:hyperlink w:anchor="_Toc21815" w:history="1">
        <w:r>
          <w:rPr>
            <w:rFonts w:ascii="仿宋" w:eastAsia="仿宋" w:hAnsi="仿宋" w:cs="仿宋" w:hint="eastAsia"/>
            <w:lang w:eastAsia="zh-CN"/>
          </w:rPr>
          <w:t>(五)、废弃物处理</w:t>
        </w:r>
        <w:r>
          <w:tab/>
        </w:r>
        <w:r>
          <w:fldChar w:fldCharType="begin"/>
        </w:r>
        <w:r>
          <w:instrText xml:space="preserve"> PAGEREF _Toc21815 \h </w:instrText>
        </w:r>
        <w:r>
          <w:fldChar w:fldCharType="separate"/>
        </w:r>
        <w:r>
          <w:t>33</w:t>
        </w:r>
        <w:r>
          <w:fldChar w:fldCharType="end"/>
        </w:r>
      </w:hyperlink>
    </w:p>
    <w:p>
      <w:pPr>
        <w:pStyle w:val="TOC2"/>
        <w:tabs>
          <w:tab w:val="right" w:leader="dot" w:pos="8306"/>
        </w:tabs>
      </w:pPr>
      <w:hyperlink w:anchor="_Toc15682" w:history="1">
        <w:r>
          <w:rPr>
            <w:rFonts w:ascii="仿宋" w:eastAsia="仿宋" w:hAnsi="仿宋" w:cs="仿宋" w:hint="eastAsia"/>
            <w:lang w:eastAsia="zh-CN"/>
          </w:rPr>
          <w:t>(六)、特殊环境影响分析</w:t>
        </w:r>
        <w:r>
          <w:tab/>
        </w:r>
        <w:r>
          <w:fldChar w:fldCharType="begin"/>
        </w:r>
        <w:r>
          <w:instrText xml:space="preserve"> PAGEREF _Toc15682 \h </w:instrText>
        </w:r>
        <w:r>
          <w:fldChar w:fldCharType="separate"/>
        </w:r>
        <w:r>
          <w:t>34</w:t>
        </w:r>
        <w:r>
          <w:fldChar w:fldCharType="end"/>
        </w:r>
      </w:hyperlink>
    </w:p>
    <w:p>
      <w:pPr>
        <w:pStyle w:val="TOC2"/>
        <w:tabs>
          <w:tab w:val="right" w:leader="dot" w:pos="8306"/>
        </w:tabs>
      </w:pPr>
      <w:hyperlink w:anchor="_Toc26525" w:history="1">
        <w:r>
          <w:rPr>
            <w:rFonts w:ascii="仿宋" w:eastAsia="仿宋" w:hAnsi="仿宋" w:cs="仿宋" w:hint="eastAsia"/>
            <w:lang w:eastAsia="zh-CN"/>
          </w:rPr>
          <w:t>(七)、清洁生产</w:t>
        </w:r>
        <w:r>
          <w:tab/>
        </w:r>
        <w:r>
          <w:fldChar w:fldCharType="begin"/>
        </w:r>
        <w:r>
          <w:instrText xml:space="preserve"> PAGEREF _Toc26525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1" w:history="1">
        <w:r>
          <w:rPr>
            <w:rFonts w:ascii="仿宋" w:eastAsia="仿宋" w:hAnsi="仿宋" w:cs="仿宋" w:hint="eastAsia"/>
            <w:lang w:eastAsia="zh-CN"/>
          </w:rPr>
          <w:t>(八)、环境保护综合评价</w:t>
        </w:r>
        <w:r>
          <w:tab/>
        </w:r>
        <w:r>
          <w:fldChar w:fldCharType="begin"/>
        </w:r>
        <w:r>
          <w:instrText xml:space="preserve"> PAGEREF _Toc3851 \h </w:instrText>
        </w:r>
        <w:r>
          <w:fldChar w:fldCharType="separate"/>
        </w:r>
        <w:r>
          <w:t>37</w:t>
        </w:r>
        <w:r>
          <w:fldChar w:fldCharType="end"/>
        </w:r>
      </w:hyperlink>
    </w:p>
    <w:p>
      <w:pPr>
        <w:pStyle w:val="TOC1"/>
        <w:tabs>
          <w:tab w:val="right" w:leader="dot" w:pos="8306"/>
        </w:tabs>
      </w:pPr>
      <w:hyperlink w:anchor="_Toc31601" w:history="1">
        <w:r>
          <w:rPr>
            <w:rFonts w:ascii="仿宋" w:eastAsia="仿宋" w:hAnsi="仿宋" w:cs="仿宋" w:hint="eastAsia"/>
            <w:lang w:eastAsia="zh-CN"/>
          </w:rPr>
          <w:t>十、汽车级珠光材料项目经营效益</w:t>
        </w:r>
        <w:r>
          <w:tab/>
        </w:r>
        <w:r>
          <w:fldChar w:fldCharType="begin"/>
        </w:r>
        <w:r>
          <w:instrText xml:space="preserve"> PAGEREF _Toc31601 \h </w:instrText>
        </w:r>
        <w:r>
          <w:fldChar w:fldCharType="separate"/>
        </w:r>
        <w:r>
          <w:t>38</w:t>
        </w:r>
        <w:r>
          <w:fldChar w:fldCharType="end"/>
        </w:r>
      </w:hyperlink>
    </w:p>
    <w:p>
      <w:pPr>
        <w:pStyle w:val="TOC2"/>
        <w:tabs>
          <w:tab w:val="right" w:leader="dot" w:pos="8306"/>
        </w:tabs>
      </w:pPr>
      <w:hyperlink w:anchor="_Toc19358" w:history="1">
        <w:r>
          <w:rPr>
            <w:rFonts w:ascii="仿宋" w:eastAsia="仿宋" w:hAnsi="仿宋" w:cs="仿宋" w:hint="eastAsia"/>
            <w:lang w:eastAsia="zh-CN"/>
          </w:rPr>
          <w:t>(一)、经济评价财务测算</w:t>
        </w:r>
        <w:r>
          <w:tab/>
        </w:r>
        <w:r>
          <w:fldChar w:fldCharType="begin"/>
        </w:r>
        <w:r>
          <w:instrText xml:space="preserve"> PAGEREF _Toc19358 \h </w:instrText>
        </w:r>
        <w:r>
          <w:fldChar w:fldCharType="separate"/>
        </w:r>
        <w:r>
          <w:t>38</w:t>
        </w:r>
        <w:r>
          <w:fldChar w:fldCharType="end"/>
        </w:r>
      </w:hyperlink>
    </w:p>
    <w:p>
      <w:pPr>
        <w:pStyle w:val="TOC2"/>
        <w:tabs>
          <w:tab w:val="right" w:leader="dot" w:pos="8306"/>
        </w:tabs>
      </w:pPr>
      <w:hyperlink w:anchor="_Toc8875" w:history="1">
        <w:r>
          <w:rPr>
            <w:rFonts w:ascii="仿宋" w:eastAsia="仿宋" w:hAnsi="仿宋" w:cs="仿宋" w:hint="eastAsia"/>
            <w:lang w:eastAsia="zh-CN"/>
          </w:rPr>
          <w:t>(二)、汽车级珠光材料项目盈利能力分析</w:t>
        </w:r>
        <w:r>
          <w:tab/>
        </w:r>
        <w:r>
          <w:fldChar w:fldCharType="begin"/>
        </w:r>
        <w:r>
          <w:instrText xml:space="preserve"> PAGEREF _Toc8875 \h </w:instrText>
        </w:r>
        <w:r>
          <w:fldChar w:fldCharType="separate"/>
        </w:r>
        <w:r>
          <w:t>39</w:t>
        </w:r>
        <w:r>
          <w:fldChar w:fldCharType="end"/>
        </w:r>
      </w:hyperlink>
    </w:p>
    <w:p>
      <w:pPr>
        <w:pStyle w:val="TOC1"/>
        <w:tabs>
          <w:tab w:val="right" w:leader="dot" w:pos="8306"/>
        </w:tabs>
      </w:pPr>
      <w:hyperlink w:anchor="_Toc28596" w:history="1">
        <w:r>
          <w:rPr>
            <w:rFonts w:ascii="仿宋" w:eastAsia="仿宋" w:hAnsi="仿宋" w:cs="仿宋" w:hint="eastAsia"/>
            <w:lang w:eastAsia="zh-CN"/>
          </w:rPr>
          <w:t>十一、汽车级珠光材料项目人力资源管理</w:t>
        </w:r>
        <w:r>
          <w:tab/>
        </w:r>
        <w:r>
          <w:fldChar w:fldCharType="begin"/>
        </w:r>
        <w:r>
          <w:instrText xml:space="preserve"> PAGEREF _Toc28596 \h </w:instrText>
        </w:r>
        <w:r>
          <w:fldChar w:fldCharType="separate"/>
        </w:r>
        <w:r>
          <w:t>40</w:t>
        </w:r>
        <w:r>
          <w:fldChar w:fldCharType="end"/>
        </w:r>
      </w:hyperlink>
    </w:p>
    <w:p>
      <w:pPr>
        <w:pStyle w:val="TOC2"/>
        <w:tabs>
          <w:tab w:val="right" w:leader="dot" w:pos="8306"/>
        </w:tabs>
      </w:pPr>
      <w:hyperlink w:anchor="_Toc22330" w:history="1">
        <w:r>
          <w:rPr>
            <w:rFonts w:ascii="仿宋" w:eastAsia="仿宋" w:hAnsi="仿宋" w:cs="仿宋" w:hint="eastAsia"/>
            <w:lang w:eastAsia="zh-CN"/>
          </w:rPr>
          <w:t>(一)、建立健全的预算管理制度</w:t>
        </w:r>
        <w:r>
          <w:tab/>
        </w:r>
        <w:r>
          <w:fldChar w:fldCharType="begin"/>
        </w:r>
        <w:r>
          <w:instrText xml:space="preserve"> PAGEREF _Toc22330 \h </w:instrText>
        </w:r>
        <w:r>
          <w:fldChar w:fldCharType="separate"/>
        </w:r>
        <w:r>
          <w:t>40</w:t>
        </w:r>
        <w:r>
          <w:fldChar w:fldCharType="end"/>
        </w:r>
      </w:hyperlink>
    </w:p>
    <w:p>
      <w:pPr>
        <w:pStyle w:val="TOC2"/>
        <w:tabs>
          <w:tab w:val="right" w:leader="dot" w:pos="8306"/>
        </w:tabs>
      </w:pPr>
      <w:hyperlink w:anchor="_Toc9524" w:history="1">
        <w:r>
          <w:rPr>
            <w:rFonts w:ascii="仿宋" w:eastAsia="仿宋" w:hAnsi="仿宋" w:cs="仿宋" w:hint="eastAsia"/>
            <w:lang w:eastAsia="zh-CN"/>
          </w:rPr>
          <w:t>(二)、加强资金流动监控</w:t>
        </w:r>
        <w:r>
          <w:tab/>
        </w:r>
        <w:r>
          <w:fldChar w:fldCharType="begin"/>
        </w:r>
        <w:r>
          <w:instrText xml:space="preserve"> PAGEREF _Toc9524 \h </w:instrText>
        </w:r>
        <w:r>
          <w:fldChar w:fldCharType="separate"/>
        </w:r>
        <w:r>
          <w:t>42</w:t>
        </w:r>
        <w:r>
          <w:fldChar w:fldCharType="end"/>
        </w:r>
      </w:hyperlink>
    </w:p>
    <w:p>
      <w:pPr>
        <w:pStyle w:val="TOC2"/>
        <w:tabs>
          <w:tab w:val="right" w:leader="dot" w:pos="8306"/>
        </w:tabs>
      </w:pPr>
      <w:hyperlink w:anchor="_Toc7250" w:history="1">
        <w:r>
          <w:rPr>
            <w:rFonts w:ascii="仿宋" w:eastAsia="仿宋" w:hAnsi="仿宋" w:cs="仿宋" w:hint="eastAsia"/>
            <w:lang w:eastAsia="zh-CN"/>
          </w:rPr>
          <w:t>(三)、制定完善的风险控制机制</w:t>
        </w:r>
        <w:r>
          <w:tab/>
        </w:r>
        <w:r>
          <w:fldChar w:fldCharType="begin"/>
        </w:r>
        <w:r>
          <w:instrText xml:space="preserve"> PAGEREF _Toc7250 \h </w:instrText>
        </w:r>
        <w:r>
          <w:fldChar w:fldCharType="separate"/>
        </w:r>
        <w:r>
          <w:t>43</w:t>
        </w:r>
        <w:r>
          <w:fldChar w:fldCharType="end"/>
        </w:r>
      </w:hyperlink>
    </w:p>
    <w:p>
      <w:pPr>
        <w:pStyle w:val="TOC2"/>
        <w:tabs>
          <w:tab w:val="right" w:leader="dot" w:pos="8306"/>
        </w:tabs>
      </w:pPr>
      <w:hyperlink w:anchor="_Toc1987" w:history="1">
        <w:r>
          <w:rPr>
            <w:rFonts w:ascii="仿宋" w:eastAsia="仿宋" w:hAnsi="仿宋" w:cs="仿宋" w:hint="eastAsia"/>
            <w:lang w:eastAsia="zh-CN"/>
          </w:rPr>
          <w:t>(四)、优化成本管理</w:t>
        </w:r>
        <w:r>
          <w:tab/>
        </w:r>
        <w:r>
          <w:fldChar w:fldCharType="begin"/>
        </w:r>
        <w:r>
          <w:instrText xml:space="preserve"> PAGEREF _Toc1987 \h </w:instrText>
        </w:r>
        <w:r>
          <w:fldChar w:fldCharType="separate"/>
        </w:r>
        <w:r>
          <w:t>44</w:t>
        </w:r>
        <w:r>
          <w:fldChar w:fldCharType="end"/>
        </w:r>
      </w:hyperlink>
    </w:p>
    <w:p>
      <w:pPr>
        <w:pStyle w:val="TOC1"/>
        <w:tabs>
          <w:tab w:val="right" w:leader="dot" w:pos="8306"/>
        </w:tabs>
      </w:pPr>
      <w:hyperlink w:anchor="_Toc14144" w:history="1">
        <w:r>
          <w:rPr>
            <w:rFonts w:ascii="仿宋" w:eastAsia="仿宋" w:hAnsi="仿宋" w:cs="仿宋" w:hint="eastAsia"/>
            <w:lang w:eastAsia="zh-CN"/>
          </w:rPr>
          <w:t>十二、汽车级珠光材料项目社会影响</w:t>
        </w:r>
        <w:r>
          <w:tab/>
        </w:r>
        <w:r>
          <w:fldChar w:fldCharType="begin"/>
        </w:r>
        <w:r>
          <w:instrText xml:space="preserve"> PAGEREF _Toc14144 \h </w:instrText>
        </w:r>
        <w:r>
          <w:fldChar w:fldCharType="separate"/>
        </w:r>
        <w:r>
          <w:t>46</w:t>
        </w:r>
        <w:r>
          <w:fldChar w:fldCharType="end"/>
        </w:r>
      </w:hyperlink>
    </w:p>
    <w:p>
      <w:pPr>
        <w:pStyle w:val="TOC2"/>
        <w:tabs>
          <w:tab w:val="right" w:leader="dot" w:pos="8306"/>
        </w:tabs>
      </w:pPr>
      <w:hyperlink w:anchor="_Toc26320" w:history="1">
        <w:r>
          <w:rPr>
            <w:rFonts w:ascii="仿宋" w:eastAsia="仿宋" w:hAnsi="仿宋" w:cs="仿宋" w:hint="eastAsia"/>
            <w:lang w:eastAsia="zh-CN"/>
          </w:rPr>
          <w:t>(一)、社会责任与义务</w:t>
        </w:r>
        <w:r>
          <w:tab/>
        </w:r>
        <w:r>
          <w:fldChar w:fldCharType="begin"/>
        </w:r>
        <w:r>
          <w:instrText xml:space="preserve"> PAGEREF _Toc26320 \h </w:instrText>
        </w:r>
        <w:r>
          <w:fldChar w:fldCharType="separate"/>
        </w:r>
        <w:r>
          <w:t>46</w:t>
        </w:r>
        <w:r>
          <w:fldChar w:fldCharType="end"/>
        </w:r>
      </w:hyperlink>
    </w:p>
    <w:p>
      <w:pPr>
        <w:pStyle w:val="TOC2"/>
        <w:tabs>
          <w:tab w:val="right" w:leader="dot" w:pos="8306"/>
        </w:tabs>
      </w:pPr>
      <w:hyperlink w:anchor="_Toc9150" w:history="1">
        <w:r>
          <w:rPr>
            <w:rFonts w:ascii="仿宋" w:eastAsia="仿宋" w:hAnsi="仿宋" w:cs="仿宋" w:hint="eastAsia"/>
            <w:lang w:eastAsia="zh-CN"/>
          </w:rPr>
          <w:t>(二)、社会参与与沟通</w:t>
        </w:r>
        <w:r>
          <w:tab/>
        </w:r>
        <w:r>
          <w:fldChar w:fldCharType="begin"/>
        </w:r>
        <w:r>
          <w:instrText xml:space="preserve"> PAGEREF _Toc9150 \h </w:instrText>
        </w:r>
        <w:r>
          <w:fldChar w:fldCharType="separate"/>
        </w:r>
        <w:r>
          <w:t>47</w:t>
        </w:r>
        <w:r>
          <w:fldChar w:fldCharType="end"/>
        </w:r>
      </w:hyperlink>
    </w:p>
    <w:p>
      <w:pPr>
        <w:pStyle w:val="TOC1"/>
        <w:tabs>
          <w:tab w:val="right" w:leader="dot" w:pos="8306"/>
        </w:tabs>
      </w:pPr>
      <w:hyperlink w:anchor="_Toc14597" w:history="1">
        <w:r>
          <w:rPr>
            <w:rFonts w:ascii="仿宋" w:eastAsia="仿宋" w:hAnsi="仿宋" w:cs="仿宋" w:hint="eastAsia"/>
            <w:lang w:eastAsia="zh-CN"/>
          </w:rPr>
          <w:t>十三、营销与推广策略</w:t>
        </w:r>
        <w:r>
          <w:tab/>
        </w:r>
        <w:r>
          <w:fldChar w:fldCharType="begin"/>
        </w:r>
        <w:r>
          <w:instrText xml:space="preserve"> PAGEREF _Toc14597 \h </w:instrText>
        </w:r>
        <w:r>
          <w:fldChar w:fldCharType="separate"/>
        </w:r>
        <w:r>
          <w:t>47</w:t>
        </w:r>
        <w:r>
          <w:fldChar w:fldCharType="end"/>
        </w:r>
      </w:hyperlink>
    </w:p>
    <w:p>
      <w:pPr>
        <w:pStyle w:val="TOC2"/>
        <w:tabs>
          <w:tab w:val="right" w:leader="dot" w:pos="8306"/>
        </w:tabs>
      </w:pPr>
      <w:hyperlink w:anchor="_Toc18473" w:history="1">
        <w:r>
          <w:rPr>
            <w:rFonts w:ascii="仿宋" w:eastAsia="仿宋" w:hAnsi="仿宋" w:cs="仿宋" w:hint="eastAsia"/>
            <w:lang w:eastAsia="zh-CN"/>
          </w:rPr>
          <w:t>(一)、产品/服务定位与特点</w:t>
        </w:r>
        <w:r>
          <w:tab/>
        </w:r>
        <w:r>
          <w:fldChar w:fldCharType="begin"/>
        </w:r>
        <w:r>
          <w:instrText xml:space="preserve"> PAGEREF _Toc18473 \h </w:instrText>
        </w:r>
        <w:r>
          <w:fldChar w:fldCharType="separate"/>
        </w:r>
        <w:r>
          <w:t>47</w:t>
        </w:r>
        <w:r>
          <w:fldChar w:fldCharType="end"/>
        </w:r>
      </w:hyperlink>
    </w:p>
    <w:p>
      <w:pPr>
        <w:pStyle w:val="TOC2"/>
        <w:tabs>
          <w:tab w:val="right" w:leader="dot" w:pos="8306"/>
        </w:tabs>
      </w:pPr>
      <w:hyperlink w:anchor="_Toc21576" w:history="1">
        <w:r>
          <w:rPr>
            <w:rFonts w:ascii="仿宋" w:eastAsia="仿宋" w:hAnsi="仿宋" w:cs="仿宋" w:hint="eastAsia"/>
            <w:lang w:eastAsia="zh-CN"/>
          </w:rPr>
          <w:t>(二)、市场定位与竞争分析</w:t>
        </w:r>
        <w:r>
          <w:tab/>
        </w:r>
        <w:r>
          <w:fldChar w:fldCharType="begin"/>
        </w:r>
        <w:r>
          <w:instrText xml:space="preserve"> PAGEREF _Toc21576 \h </w:instrText>
        </w:r>
        <w:r>
          <w:fldChar w:fldCharType="separate"/>
        </w:r>
        <w:r>
          <w:t>49</w:t>
        </w:r>
        <w:r>
          <w:fldChar w:fldCharType="end"/>
        </w:r>
      </w:hyperlink>
    </w:p>
    <w:p>
      <w:pPr>
        <w:pStyle w:val="TOC2"/>
        <w:tabs>
          <w:tab w:val="right" w:leader="dot" w:pos="8306"/>
        </w:tabs>
      </w:pPr>
      <w:hyperlink w:anchor="_Toc20473" w:history="1">
        <w:r>
          <w:rPr>
            <w:rFonts w:ascii="仿宋" w:eastAsia="仿宋" w:hAnsi="仿宋" w:cs="仿宋" w:hint="eastAsia"/>
            <w:lang w:eastAsia="zh-CN"/>
          </w:rPr>
          <w:t>(三)、营销渠道与策略</w:t>
        </w:r>
        <w:r>
          <w:tab/>
        </w:r>
        <w:r>
          <w:fldChar w:fldCharType="begin"/>
        </w:r>
        <w:r>
          <w:instrText xml:space="preserve"> PAGEREF _Toc20473 \h </w:instrText>
        </w:r>
        <w:r>
          <w:fldChar w:fldCharType="separate"/>
        </w:r>
        <w:r>
          <w:t>50</w:t>
        </w:r>
        <w:r>
          <w:fldChar w:fldCharType="end"/>
        </w:r>
      </w:hyperlink>
    </w:p>
    <w:p>
      <w:pPr>
        <w:pStyle w:val="TOC2"/>
        <w:tabs>
          <w:tab w:val="right" w:leader="dot" w:pos="8306"/>
        </w:tabs>
      </w:pPr>
      <w:hyperlink w:anchor="_Toc22188" w:history="1">
        <w:r>
          <w:rPr>
            <w:rFonts w:ascii="仿宋" w:eastAsia="仿宋" w:hAnsi="仿宋" w:cs="仿宋" w:hint="eastAsia"/>
            <w:lang w:eastAsia="zh-CN"/>
          </w:rPr>
          <w:t>(四)、推广与宣传活动</w:t>
        </w:r>
        <w:r>
          <w:tab/>
        </w:r>
        <w:r>
          <w:fldChar w:fldCharType="begin"/>
        </w:r>
        <w:r>
          <w:instrText xml:space="preserve"> PAGEREF _Toc22188 \h </w:instrText>
        </w:r>
        <w:r>
          <w:fldChar w:fldCharType="separate"/>
        </w:r>
        <w:r>
          <w:t>51</w:t>
        </w:r>
        <w:r>
          <w:fldChar w:fldCharType="end"/>
        </w:r>
      </w:hyperlink>
    </w:p>
    <w:p>
      <w:pPr>
        <w:pStyle w:val="TOC1"/>
        <w:tabs>
          <w:tab w:val="right" w:leader="dot" w:pos="8306"/>
        </w:tabs>
      </w:pPr>
      <w:hyperlink w:anchor="_Toc1903" w:history="1">
        <w:r>
          <w:rPr>
            <w:rFonts w:ascii="仿宋" w:eastAsia="仿宋" w:hAnsi="仿宋" w:cs="仿宋" w:hint="eastAsia"/>
            <w:lang w:eastAsia="zh-CN"/>
          </w:rPr>
          <w:t>十四、汽车级珠光材料项目治理与监督</w:t>
        </w:r>
        <w:r>
          <w:tab/>
        </w:r>
        <w:r>
          <w:fldChar w:fldCharType="begin"/>
        </w:r>
        <w:r>
          <w:instrText xml:space="preserve"> PAGEREF _Toc1903 \h </w:instrText>
        </w:r>
        <w:r>
          <w:fldChar w:fldCharType="separate"/>
        </w:r>
        <w:r>
          <w:t>57</w:t>
        </w:r>
        <w:r>
          <w:fldChar w:fldCharType="end"/>
        </w:r>
      </w:hyperlink>
    </w:p>
    <w:p>
      <w:pPr>
        <w:pStyle w:val="TOC2"/>
        <w:tabs>
          <w:tab w:val="right" w:leader="dot" w:pos="8306"/>
        </w:tabs>
      </w:pPr>
      <w:hyperlink w:anchor="_Toc20483" w:history="1">
        <w:r>
          <w:rPr>
            <w:rFonts w:ascii="仿宋" w:eastAsia="仿宋" w:hAnsi="仿宋" w:cs="仿宋" w:hint="eastAsia"/>
            <w:lang w:eastAsia="zh-CN"/>
          </w:rPr>
          <w:t>(一)、汽车级珠光材料项目治理结构</w:t>
        </w:r>
        <w:r>
          <w:tab/>
        </w:r>
        <w:r>
          <w:fldChar w:fldCharType="begin"/>
        </w:r>
        <w:r>
          <w:instrText xml:space="preserve"> PAGEREF _Toc20483 \h </w:instrText>
        </w:r>
        <w:r>
          <w:fldChar w:fldCharType="separate"/>
        </w:r>
        <w:r>
          <w:t>57</w:t>
        </w:r>
        <w:r>
          <w:fldChar w:fldCharType="end"/>
        </w:r>
      </w:hyperlink>
    </w:p>
    <w:p>
      <w:pPr>
        <w:pStyle w:val="TOC2"/>
        <w:tabs>
          <w:tab w:val="right" w:leader="dot" w:pos="8306"/>
        </w:tabs>
      </w:pPr>
      <w:hyperlink w:anchor="_Toc10590" w:history="1">
        <w:r>
          <w:rPr>
            <w:rFonts w:ascii="仿宋" w:eastAsia="仿宋" w:hAnsi="仿宋" w:cs="仿宋" w:hint="eastAsia"/>
            <w:lang w:eastAsia="zh-CN"/>
          </w:rPr>
          <w:t>(二)、监督与审计</w:t>
        </w:r>
        <w:r>
          <w:tab/>
        </w:r>
        <w:r>
          <w:fldChar w:fldCharType="begin"/>
        </w:r>
        <w:r>
          <w:instrText xml:space="preserve"> PAGEREF _Toc10590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060"/>
      <w:r>
        <w:rPr>
          <w:rFonts w:ascii="仿宋" w:eastAsia="仿宋" w:hAnsi="仿宋" w:cs="仿宋" w:hint="eastAsia"/>
          <w:lang w:eastAsia="zh-CN"/>
        </w:rPr>
        <w:t>(一)、汽车级珠光材料行业分析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行业一直以来都是市场的关注焦点。行业内的发展趋势、竞争态势以及潜在机会都对汽车级珠光材料项目的推进产生深远的影响。通过深入研究行业的整体概貌，我们将更好地理解行业的核心特征，为汽车级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行业，技术一直是推动创新和发展的关键因素。我们将对当前技术趋势进行详尽分析，包括但不限于人工智能、大数据应用、先进制造技术等。这有助于汽车级珠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级珠光材料项目成功的基础。我们将对主要竞争对手进行深入研究，包括其市场份额、产品特点、市场定位等。通过全面了解竞争对手的优势和劣势，汽车级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452"/>
      <w:r>
        <w:rPr>
          <w:rFonts w:ascii="仿宋" w:eastAsia="仿宋" w:hAnsi="仿宋" w:cs="仿宋" w:hint="eastAsia"/>
          <w:sz w:val="28"/>
          <w:lang w:eastAsia="zh-CN"/>
        </w:rPr>
        <w:t>(二)、汽车级珠光材料市场分析预测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级珠光材料市场未来的增长趋势。这包括市场的整体规模、各细分领域的发展趋势等。汽车级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级珠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级珠光材料项目实施过程中需要充分考虑的因素。我们将对市场风险进行全面评估，包括但不限于政策法规风险、市场竞争风险、技术变革风险等。通过对潜在风险的深入分析，汽车级珠光材料项目可以制定相应的风险缓解策略，降低不确定性对汽车级珠光材料项目的影响。</w:t>
      </w:r>
    </w:p>
    <w:p>
      <w:pPr>
        <w:pStyle w:val="Heading1"/>
        <w:ind w:firstLine="560" w:firstLineChars="200"/>
        <w:rPr>
          <w:rFonts w:ascii="仿宋" w:eastAsia="仿宋" w:hAnsi="仿宋" w:cs="仿宋" w:hint="eastAsia"/>
          <w:sz w:val="28"/>
          <w:lang w:eastAsia="zh-CN"/>
        </w:rPr>
      </w:pPr>
      <w:bookmarkStart w:id="5" w:name="_Toc1977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94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汽车级珠光材料项目的主要产品是XXXX，预计年产值为XXX万元。这一产品在市场中占据着重要的地位，其广泛的应用范围使得该汽车级珠光材料项目的市场前景非常广阔。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级珠光材料项目的xxx产品作为重要的原材料之一，将在多个领域发挥关键作用。其在建筑、交通、能源等方面的广泛应用将为整个产业链提供强大的支持，形成产业协同效应。汽车级珠光材料项目的年产值XXX万XXX万XXX万万元不仅反映了其在市场上的巨大潜力，更预示着它对国民经济的积极贡献。这种关联度高、涉及面广的产业关系，使得该汽车级珠光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4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总征地面积为XXXX平方米，相当于约XX.XX亩，其中净用地面积为XXXX平方米，红线范围内相当于约XX.XX亩。这一用地规模充分考虑了汽车级珠光材料项目的建设需求，保障了汽车级珠光材料项目在合适的空间内得以充分发展。汽车级珠光材料项目规划的总建筑面积为XXXX平方米，其中主体工程建设占XXXX平方米，计容建筑面积达XXXX平方米。预计建筑工程的投资将达到XXXX万元，为汽车级珠光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计划购置的设备共计XXXX台（套），设备购置费用为XXXX万元。这一设备购置计划充分考虑到汽车级珠光材料项目的生产需求和技术要求，确保了汽车级珠光材料项目在生产运营中具备先进的技术装备和高效的生产能力。设备的合理配置将为汽车级珠光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级珠光材料项目计划总投资为XXXX万元，预计年实现营业收入为XXXX万元。这一产能规模的设定旨在确保汽车级珠光材料项目能够在投资与回报之间取得平衡，实现长期可持续的发展。汽车级珠光材料项目的总投资充分考虑到各个方面的需求，包括用地建设、设备购置等多个环节，以确保汽车级珠光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467"/>
      <w:r>
        <w:rPr>
          <w:rFonts w:ascii="仿宋" w:eastAsia="仿宋" w:hAnsi="仿宋" w:cs="仿宋" w:hint="eastAsia"/>
          <w:sz w:val="28"/>
          <w:lang w:eastAsia="zh-CN"/>
        </w:rPr>
        <w:t>三、汽车级珠光材料项目土建工程</w:t>
      </w:r>
      <w:bookmarkEnd w:id="8"/>
    </w:p>
    <w:p>
      <w:pPr>
        <w:pStyle w:val="Heading2"/>
        <w:rPr>
          <w:rFonts w:ascii="仿宋" w:eastAsia="仿宋" w:hAnsi="仿宋" w:cs="仿宋" w:hint="eastAsia"/>
          <w:lang w:eastAsia="zh-CN"/>
        </w:rPr>
      </w:pPr>
      <w:bookmarkStart w:id="9" w:name="_Toc7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在汽车级珠光材料项目的建筑工程设计中，我们将秉承一系列重要的设计原则，以确保汽车级珠光材料项目建筑在功能、美观、可持续性等方面达到最佳效果。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首要原则是确保建筑的功能性得到最大化的发挥。我们将充分理解汽车级珠光材料项目的实际需求，合理布局各个功能区域，保证建筑在满足业务需求的同时，提供高效的工作环境。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在建筑设计中，我们将综合考虑建设和运营成本。通过精细的经济效益分析，确保设计方案在高效利用资源的同时，对汽车级珠光材料项目的长期盈利能力有积极的贡献。</w:t>
      </w:r>
    </w:p>
    <w:p>
      <w:pPr>
        <w:pStyle w:val="Heading2"/>
        <w:ind w:firstLine="560" w:firstLineChars="200"/>
        <w:rPr>
          <w:rFonts w:ascii="仿宋" w:eastAsia="仿宋" w:hAnsi="仿宋" w:cs="仿宋" w:hint="eastAsia"/>
          <w:sz w:val="28"/>
          <w:lang w:eastAsia="zh-CN"/>
        </w:rPr>
      </w:pPr>
      <w:bookmarkStart w:id="10" w:name="_Toc1996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土建工程设计中，我们将精准设定设计年限，结合汽车级珠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级珠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级珠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级珠光材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级珠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6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本期工程汽车级珠光材料项目预计总建筑面积XXX平方米，其中：计容建筑面积XXX平方米，计划建筑工程投资XX万元，占汽车级珠光材料项目总投资的XX%。</w:t>
      </w:r>
    </w:p>
    <w:p>
      <w:pPr>
        <w:pStyle w:val="Heading1"/>
        <w:ind w:firstLine="560" w:firstLineChars="200"/>
        <w:rPr>
          <w:rFonts w:ascii="仿宋" w:eastAsia="仿宋" w:hAnsi="仿宋" w:cs="仿宋" w:hint="eastAsia"/>
          <w:sz w:val="28"/>
          <w:lang w:eastAsia="zh-CN"/>
        </w:rPr>
      </w:pPr>
      <w:bookmarkStart w:id="13" w:name="_Toc5284"/>
      <w:r>
        <w:rPr>
          <w:rFonts w:ascii="仿宋" w:eastAsia="仿宋" w:hAnsi="仿宋" w:cs="仿宋" w:hint="eastAsia"/>
          <w:sz w:val="28"/>
          <w:lang w:eastAsia="zh-CN"/>
        </w:rPr>
        <w:t>四、汽车级珠光材料项目可持续发展</w:t>
      </w:r>
      <w:bookmarkEnd w:id="13"/>
    </w:p>
    <w:p>
      <w:pPr>
        <w:pStyle w:val="Heading2"/>
        <w:rPr>
          <w:rFonts w:ascii="仿宋" w:eastAsia="仿宋" w:hAnsi="仿宋" w:cs="仿宋" w:hint="eastAsia"/>
          <w:lang w:eastAsia="zh-CN"/>
        </w:rPr>
      </w:pPr>
      <w:bookmarkStart w:id="14" w:name="_Toc826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中，汽车级珠光材料项目团队着眼于未来，明确了可持续发展的战略方向。制定的具体可持续发展目标包括降低资源使用、采用环保技术、最大化社会效益等。这一步骤不仅有助于汽车级珠光材料项目在环保和社会责任方面达到最高标准，也为未来提供了明确的指引，确保汽车级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可持续实践的融入汽车级珠光材料项目管理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级珠光材料项目管理周期。从汽车级珠光材料项目规划开始，汽车级珠光材料项目团队就考虑了环境和社会的因素。在执行阶段，汽车级珠光材料项目团队积极推动绿色技术的应用，优化资源利用。此外，关注员工的社会责任，通过培训和沟通活动提高员工对可持续发展的认知，使他们能够在日常工作中践行可持续实践。这些举措不仅为汽车级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5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扎根于汽车级珠光材料项目的可持续发展理念，我们深信环保与社会责任是汽车级珠光材料项目成功的关键支柱。在汽车级珠光材料项目的每一步，我们都致力于通过创新和实践，履行对环境和社会的坚定责任。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团队通过引入先进的环保技术、建立高效的废物处理系统以及推动能源节约措施，积极履行环保责任。定期的环保监测和评估确保汽车级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不仅致力于自身可持续发展，还注重对社会的回馈。通过支持社区汽车级珠光材料项目、参与慈善事业、提供培训机会等方式，汽车级珠光材料项目积极履行社会责任。与当地社区建立积极互动，关注员工的工作与生活平衡，以及员工的身心健康，是汽车级珠光材料项目在社会责任层面的关键举措。这样的实践不仅增强了汽车级珠光材料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8747"/>
      <w:r>
        <w:rPr>
          <w:rFonts w:ascii="仿宋" w:eastAsia="仿宋" w:hAnsi="仿宋" w:cs="仿宋" w:hint="eastAsia"/>
          <w:sz w:val="28"/>
          <w:lang w:eastAsia="zh-CN"/>
        </w:rPr>
        <w:t>五、汽车级珠光材料项目建设单位说明</w:t>
      </w:r>
      <w:bookmarkEnd w:id="16"/>
    </w:p>
    <w:p>
      <w:pPr>
        <w:pStyle w:val="Heading2"/>
        <w:rPr>
          <w:rFonts w:ascii="仿宋" w:eastAsia="仿宋" w:hAnsi="仿宋" w:cs="仿宋" w:hint="eastAsia"/>
          <w:lang w:eastAsia="zh-CN"/>
        </w:rPr>
      </w:pPr>
      <w:bookmarkStart w:id="17" w:name="_Toc4865"/>
      <w:r>
        <w:rPr>
          <w:rFonts w:ascii="仿宋" w:eastAsia="仿宋" w:hAnsi="仿宋" w:cs="仿宋" w:hint="eastAsia"/>
          <w:lang w:eastAsia="zh-CN"/>
        </w:rPr>
        <w:t>(一)、汽车级珠光材料项目承办单位基本情况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69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级珠光材料项目承办单位的XXXX，我们着眼于实现可持续的经济效益。通过技术创新和解决方案的提供，公司预计在汽车级珠光材料项目执行期间将获得可观的收入增长。这一收入来源主要包括汽车级珠光材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同时，我们注重成本控制和效率提升，以确保汽车级珠光材料项目的可持续盈利。透过精细的管理和资源优化，公司期望实现汽车级珠光材料项目利润最大化。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级珠光材料项目实施进行全面的投资评估，包括汽车级珠光材料项目启动阶段的资金投入和后续运营成本。通过对汽车级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级珠光材料项目实施过程中具备足够的资金流动性，公司将进行详尽的现金流分析。这包括资金需求的合理预测、汽车级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501"/>
      <w:r>
        <w:rPr>
          <w:rFonts w:ascii="仿宋" w:eastAsia="仿宋" w:hAnsi="仿宋" w:cs="仿宋" w:hint="eastAsia"/>
          <w:sz w:val="28"/>
          <w:lang w:eastAsia="zh-CN"/>
        </w:rPr>
        <w:t>六、汽车级珠光材料项目绩效评估</w:t>
      </w:r>
      <w:bookmarkEnd w:id="19"/>
    </w:p>
    <w:p>
      <w:pPr>
        <w:pStyle w:val="Heading2"/>
        <w:rPr>
          <w:rFonts w:ascii="仿宋" w:eastAsia="仿宋" w:hAnsi="仿宋" w:cs="仿宋" w:hint="eastAsia"/>
          <w:lang w:eastAsia="zh-CN"/>
        </w:rPr>
      </w:pPr>
      <w:bookmarkStart w:id="20" w:name="_Toc2214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中，我们设计了一套全面的绩效评估指标，以确保汽车级珠光材料项目的可控和成功交付。这些指标跨足汽车级珠光材料项目目标、成本、进度和质量等多个维度，为我们提供了全面洞察汽车级珠光材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目标达成率是我们关注的首要指标。我们设定了明确的目标，并通过定期监测和评估，迅速发现并应对潜在的目标偏差。这为汽车级珠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成本绩效是另一个核心关注点。通过实际成本与预算成本的对比分析，我们深入了解成本差异的原因，及时调整资源分配，保持汽车级珠光材料项目在经济效益方面的合理水平。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进度作为关键的绩效指标之一，得到了精心的关注。我们制定了详细的汽车级珠光材料项目进度计划，并设立了进度符合度指标，确保实际进度与计划进度保持一致。这使我们能够快速发现和解决潜在的进度问题，保持汽车级珠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级珠光材料项目绩效的不可或缺的一环。我们引入了一系列的质量标准和客户满意度指标，以确保汽车级珠光材料项目交付的成果在质量上达到或超越预期水平。通过持续监测这些指标，我们努力提升汽车级珠光材料项目整体质量水平，为汽车级珠光材料项目的成功交付提供有力保障。通过这些科学且全面的绩效评估，我们能够更好地引导汽车级珠光材料项目的持续改进，确保汽车级珠光材料项目目标的顺利达成。</w:t>
      </w:r>
    </w:p>
    <w:p>
      <w:pPr>
        <w:pStyle w:val="Heading2"/>
        <w:ind w:firstLine="560" w:firstLineChars="200"/>
        <w:rPr>
          <w:rFonts w:ascii="仿宋" w:eastAsia="仿宋" w:hAnsi="仿宋" w:cs="仿宋" w:hint="eastAsia"/>
          <w:sz w:val="28"/>
          <w:lang w:eastAsia="zh-CN"/>
        </w:rPr>
      </w:pPr>
      <w:bookmarkStart w:id="21" w:name="_Toc1139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绩效评估是汽车级珠光材料项目中的关键环节，为确保汽车级珠光材料项目达到预期目标，我们采用了多层次、多维度的绩效评估方法。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级珠光材料项目的战略目标对齐，确保每个决策和行动都与汽车级珠光材料项目整体目标保持一致。团队会定期召开战略对齐会议，审视当前工作与汽车级珠光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级珠光材料项目进度、质量、成本和风险等方面。这些指标通过数据收集和分析，为汽车级珠光材料项目管理团队提供了客观的评估依据。例如，我们通过汽车级珠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级珠光材料项目内部，还考虑了汽车级珠光材料项目对外部环境的影响。我们定期进行干系人满意度调查，以了解各利益相关方对汽车级珠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这种多层次、多角度的绩效评估方法，使得我们能够全面了解汽车级珠光材料项目的运行状态，及时做出调整，确保汽车级珠光材料项目在不断变化的环境中保持稳健前行。</w:t>
      </w:r>
    </w:p>
    <w:p>
      <w:pPr>
        <w:pStyle w:val="Heading2"/>
        <w:ind w:firstLine="560" w:firstLineChars="200"/>
        <w:rPr>
          <w:rFonts w:ascii="仿宋" w:eastAsia="仿宋" w:hAnsi="仿宋" w:cs="仿宋" w:hint="eastAsia"/>
          <w:sz w:val="28"/>
          <w:lang w:eastAsia="zh-CN"/>
        </w:rPr>
      </w:pPr>
      <w:bookmarkStart w:id="22" w:name="_Toc25883"/>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为了确保汽车级珠光材料项目的有效管理和不断优化，我们采用了精心设计的绩效评估周期。这个周期旨在实现灵活、实时和全面的评估，以适应汽车级珠光材料项目执行中的各种挑战。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级珠光材料项目的不同需求，分为短期、中期和长期。短期评估关注每个迭代或工作周期，以及时发现和解决当前任务中的问题。中期评估涵盖几个迭代，深入了解整体汽车级珠光材料项目的趋势和性能。长期评估则着眼于整个汽车级珠光材料项目阶段，确保汽车级珠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级珠光材料项目管理工具和协作平台，团队成员能够随时更新和分享汽车级珠光材料项目数据。这种实时性的反馈机制使我们能够及时察觉潜在问题，快速调整，保持汽车级珠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级珠光材料项目的决策制定密不可分。每个周期的汽车级珠光材料项目回顾会议成为集体总结经验、识别问题深层次原因并找到创新解决方案的平台。这种定期的反思与调整机制使汽车级珠光材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https://d.book118.com/595222330011011124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440C7"/>
    <w:rsid w:val="45044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22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2024-03-06T16:10:00Z</dcterms:created>
  <dcterms:modified xsi:type="dcterms:W3CDTF">2024-03-06T16:10:32Z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3823C0F55403427D845923805E814B87_11</vt:lpwstr>
  </property>
  <property fmtid="{D5CDD505-2E9C-101B-9397-08002B2CF9AE}" pid="3" name="KSOProductBuildVer">
    <vt:lpwstr>2052-12.1.0.16388</vt:lpwstr>
  </property>
</Properties>
</file>