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一、煤矿筹建公司基本信息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(一)、煤矿项目选址原则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9" w:history="1">
        <w:r>
          <w:rPr>
            <w:rFonts w:ascii="仿宋" w:eastAsia="仿宋" w:hAnsi="仿宋" w:cs="仿宋" w:hint="eastAsia"/>
            <w:lang w:eastAsia="zh-CN"/>
          </w:rPr>
          <w:t>(五)、煤矿项目选址综合评价</w:t>
        </w:r>
        <w:r>
          <w:tab/>
        </w:r>
        <w:r>
          <w:fldChar w:fldCharType="begin"/>
        </w:r>
        <w:r>
          <w:instrText xml:space="preserve"> PAGEREF _Toc20969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(七)、煤矿项目建设必要性分析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_Toc17675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七、煤矿项目风险分析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(一)、煤矿项目风险分析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(二)、煤矿项目风险对策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(一)、煤矿项目进度安排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(二)、煤矿项目实施保障措施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(五)、煤矿项目总投资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_Toc10723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_Toc10796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_Toc3341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98"/>
      <w:r>
        <w:rPr>
          <w:rFonts w:ascii="仿宋" w:eastAsia="仿宋" w:hAnsi="仿宋" w:cs="仿宋" w:hint="eastAsia"/>
          <w:sz w:val="28"/>
          <w:lang w:eastAsia="zh-CN"/>
        </w:rPr>
        <w:t>一、煤矿筹建公司基本信息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9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7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7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1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00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经营范围：从事XXX相关业务(企业依法自主选择经营煤矿项目，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开展经营活动；依法须经批准的煤矿项目，经相关部门批准后依批准的内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容开展经营活动；不得从事本市产业政策禁止和限制类煤矿项目的经营活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81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https://d.book118.com/596004043112010042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6004043112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2024-01-18T10:11:00Z</dcterms:created>
  <dcterms:modified xsi:type="dcterms:W3CDTF">2024-01-18T10:11:22Z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4F7763D7ACA9402AA97720DA3137A128_11</vt:lpwstr>
  </property>
  <property fmtid="{D5CDD505-2E9C-101B-9397-08002B2CF9AE}" pid="3" name="KSOProductBuildVer">
    <vt:lpwstr>2052-12.1.0.16120</vt:lpwstr>
  </property>
</Properties>
</file>