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1094" w:lineRule="exact"/>
        <w:ind w:firstLine="515"/>
      </w:pPr>
      <w:r>
        <w:drawing>
          <wp:anchor distT="0" distB="0" distL="0" distR="0" simplePos="0" relativeHeight="251659264" behindDoc="1" locked="0" layoutInCell="0" allowOverlap="1">
            <wp:simplePos x="0" y="0"/>
            <wp:positionH relativeFrom="page">
              <wp:posOffset>8287209</wp:posOffset>
            </wp:positionH>
            <wp:positionV relativeFrom="page">
              <wp:posOffset>4578604</wp:posOffset>
            </wp:positionV>
            <wp:extent cx="856790" cy="844974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56790" cy="8449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1312" behindDoc="0" locked="0" layoutInCell="0" allowOverlap="1">
            <wp:simplePos x="0" y="0"/>
            <wp:positionH relativeFrom="page">
              <wp:posOffset>1627632</wp:posOffset>
            </wp:positionH>
            <wp:positionV relativeFrom="page">
              <wp:posOffset>205740</wp:posOffset>
            </wp:positionV>
            <wp:extent cx="754379" cy="699515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4379" cy="699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8240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5066665</wp:posOffset>
            </wp:positionV>
            <wp:extent cx="448068" cy="936307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8068" cy="9363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21"/>
        </w:rPr>
        <w:drawing>
          <wp:inline distT="0" distB="0" distL="0" distR="0">
            <wp:extent cx="1162811" cy="694944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62811" cy="694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before="259" w:line="166" w:lineRule="auto"/>
        <w:ind w:left="1373"/>
        <w:outlineLvl w:val="1"/>
        <w:rPr>
          <w:rFonts w:ascii="Microsoft JhengHei" w:eastAsia="Microsoft JhengHei" w:hAnsi="Microsoft JhengHei" w:cs="Microsoft JhengHei"/>
          <w:sz w:val="60"/>
          <w:szCs w:val="60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-1969697</wp:posOffset>
            </wp:positionV>
            <wp:extent cx="9144000" cy="6857996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79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JhengHei" w:eastAsia="Microsoft JhengHei" w:hAnsi="Microsoft JhengHei" w:cs="Microsoft JhengHei"/>
          <w:b/>
          <w:bCs/>
          <w:color w:val="FFFFFF"/>
          <w:spacing w:val="-4"/>
          <w:sz w:val="60"/>
          <w:szCs w:val="60"/>
        </w:rPr>
        <w:t>2023珠寶消費趨勢</w:t>
      </w:r>
    </w:p>
    <w:p>
      <w:pPr>
        <w:spacing w:before="3" w:line="193" w:lineRule="auto"/>
        <w:ind w:left="1382"/>
        <w:rPr>
          <w:rFonts w:ascii="Microsoft JhengHei" w:eastAsia="Microsoft JhengHei" w:hAnsi="Microsoft JhengHei" w:cs="Microsoft JhengHei"/>
          <w:sz w:val="60"/>
          <w:szCs w:val="60"/>
        </w:rPr>
      </w:pPr>
      <w:r>
        <w:rPr>
          <w:rFonts w:ascii="Microsoft JhengHei" w:eastAsia="Microsoft JhengHei" w:hAnsi="Microsoft JhengHei" w:cs="Microsoft JhengHei"/>
          <w:b/>
          <w:bCs/>
          <w:color w:val="FFFFFF"/>
          <w:spacing w:val="-8"/>
          <w:sz w:val="60"/>
          <w:szCs w:val="60"/>
        </w:rPr>
        <w:t>調查報告</w:t>
      </w: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before="173" w:line="167" w:lineRule="auto"/>
        <w:ind w:left="1448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b/>
          <w:bCs/>
          <w:color w:val="FFFFFF"/>
          <w:sz w:val="40"/>
          <w:szCs w:val="40"/>
        </w:rPr>
        <w:t>跨越中國珠寶消費的未來：</w:t>
      </w:r>
    </w:p>
    <w:p>
      <w:pPr>
        <w:spacing w:before="2" w:line="192" w:lineRule="auto"/>
        <w:ind w:left="1430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b/>
          <w:bCs/>
          <w:color w:val="FFFFFF"/>
          <w:sz w:val="40"/>
          <w:szCs w:val="40"/>
        </w:rPr>
        <w:t>Z世代和千禧一代的珠寶消費喜好及需求</w:t>
      </w:r>
    </w:p>
    <w:p>
      <w:pPr>
        <w:spacing w:line="192" w:lineRule="auto"/>
        <w:rPr>
          <w:rFonts w:ascii="Microsoft JhengHei" w:eastAsia="Microsoft JhengHei" w:hAnsi="Microsoft JhengHei" w:cs="Microsoft JhengHei"/>
          <w:sz w:val="40"/>
          <w:szCs w:val="40"/>
        </w:rPr>
        <w:sectPr>
          <w:headerReference w:type="default" r:id="rId9"/>
          <w:pgSz w:w="14400" w:h="10800"/>
          <w:pgMar w:top="331" w:right="0" w:bottom="0" w:left="0" w:header="0" w:footer="0" w:gutter="0"/>
          <w:cols w:space="708"/>
        </w:sectPr>
      </w:pPr>
    </w:p>
    <w:p>
      <w:pPr>
        <w:pStyle w:val="BodyText"/>
        <w:spacing w:line="1481" w:lineRule="exact"/>
      </w:pPr>
      <w:r>
        <w:rPr>
          <w:position w:val="-29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i1025" type="#_x0000_t202" style="width:10in;height:74.2pt;mso-position-horizontal-relative:char;mso-position-vertical-relative:line" filled="t" fillcolor="#ab2328" stroked="f">
            <o:lock v:ext="edit" aspectratio="f"/>
            <v:textbox inset="0,0,0,0">
              <w:txbxContent>
                <w:p>
                  <w:pPr>
                    <w:spacing w:line="26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225" w:line="194" w:lineRule="auto"/>
                    <w:ind w:left="481"/>
                    <w:outlineLvl w:val="1"/>
                    <w:rPr>
                      <w:rFonts w:ascii="Microsoft JhengHei" w:eastAsia="Microsoft JhengHei" w:hAnsi="Microsoft JhengHei" w:cs="Microsoft JhengHei"/>
                      <w:sz w:val="52"/>
                      <w:szCs w:val="52"/>
                    </w:rPr>
                  </w:pPr>
                  <w:r>
                    <w:rPr>
                      <w:rFonts w:ascii="Microsoft JhengHei" w:eastAsia="Microsoft JhengHei" w:hAnsi="Microsoft JhengHei" w:cs="Microsoft JhengHei"/>
                      <w:color w:val="FFFFFF"/>
                      <w:spacing w:val="-1"/>
                      <w:sz w:val="52"/>
                      <w:szCs w:val="52"/>
                    </w:rPr>
                    <w:t>2023珠寶消費趨勢調查報告</w:t>
                  </w:r>
                </w:p>
              </w:txbxContent>
            </v:textbox>
            <w10:wrap type="none"/>
          </v:shape>
        </w:pict>
      </w:r>
    </w:p>
    <w:p>
      <w:pPr>
        <w:pStyle w:val="BodyText"/>
        <w:spacing w:before="235" w:line="2822" w:lineRule="exact"/>
        <w:ind w:firstLine="566"/>
      </w:pPr>
      <w:r>
        <w:rPr>
          <w:position w:val="-56"/>
        </w:rPr>
        <w:pict>
          <v:group id="_x0000_i1026" style="width:647.6pt;height:141.15pt;mso-position-horizontal-relative:char;mso-position-vertical-relative:line" coordorigin="0,0" coordsize="12951,2822" filled="f" stroked="f">
            <v:rect id="_x0000_s1027" style="width:12951;height:2822;position:absolute" filled="t" fillcolor="#f7f0ec" stroked="f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width:3787;height:2556;left:120;position:absolute;top:132" filled="f" stroked="f">
              <v:imagedata r:id="rId10" o:title=""/>
            </v:shape>
            <v:shape id="_x0000_s1029" type="#_x0000_t202" style="width:8410;height:1010;left:4466;position:absolute;top:1009" filled="f" stroked="f">
              <o:lock v:ext="edit" aspectratio="f"/>
              <v:textbox inset="0,0,0,0">
                <w:txbxContent>
                  <w:p>
                    <w:pPr>
                      <w:spacing w:before="22" w:line="173" w:lineRule="auto"/>
                      <w:ind w:left="20" w:right="20"/>
                      <w:rPr>
                        <w:rFonts w:ascii="Microsoft JhengHei" w:eastAsia="Microsoft JhengHei" w:hAnsi="Microsoft JhengHei" w:cs="Microsoft JhengHei"/>
                        <w:sz w:val="28"/>
                        <w:szCs w:val="28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2"/>
                        <w:sz w:val="28"/>
                        <w:szCs w:val="28"/>
                      </w:rPr>
                      <w:t>周大福珠寶集團是中國享譽近百年的</w:t>
                    </w:r>
                    <w:r>
                      <w:rPr>
                        <w:rFonts w:ascii="Microsoft JhengHei" w:eastAsia="Microsoft JhengHei" w:hAnsi="Microsoft JhengHei" w:cs="Microsoft JhengHei"/>
                        <w:b/>
                        <w:bCs/>
                        <w:color w:val="AE695A"/>
                        <w:spacing w:val="-2"/>
                        <w:sz w:val="28"/>
                        <w:szCs w:val="28"/>
                      </w:rPr>
                      <w:t>珠寶商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2"/>
                        <w:sz w:val="28"/>
                        <w:szCs w:val="28"/>
                      </w:rPr>
                      <w:t>，一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3"/>
                        <w:sz w:val="28"/>
                        <w:szCs w:val="28"/>
                      </w:rPr>
                      <w:t>向</w:t>
                    </w:r>
                    <w:r>
                      <w:rPr>
                        <w:rFonts w:ascii="Microsoft JhengHei" w:eastAsia="Microsoft JhengHei" w:hAnsi="Microsoft JhengHei" w:cs="Microsoft JhengHei"/>
                        <w:b/>
                        <w:bCs/>
                        <w:color w:val="AE695A"/>
                        <w:spacing w:val="-3"/>
                        <w:sz w:val="28"/>
                        <w:szCs w:val="28"/>
                      </w:rPr>
                      <w:t xml:space="preserve">堅持不懈，致力     </w:t>
                    </w:r>
                    <w:r>
                      <w:rPr>
                        <w:rFonts w:ascii="Microsoft JhengHei" w:eastAsia="Microsoft JhengHei" w:hAnsi="Microsoft JhengHei" w:cs="Microsoft JhengHei"/>
                        <w:b/>
                        <w:bCs/>
                        <w:color w:val="AE695A"/>
                        <w:sz w:val="28"/>
                        <w:szCs w:val="28"/>
                      </w:rPr>
                      <w:t>創新，備受消費者信任</w:t>
                    </w:r>
                    <w:r>
                      <w:rPr>
                        <w:rFonts w:ascii="Microsoft JhengHei" w:eastAsia="Microsoft JhengHei" w:hAnsi="Microsoft JhengHei" w:cs="Microsoft JhengHei"/>
                        <w:sz w:val="28"/>
                        <w:szCs w:val="28"/>
                      </w:rPr>
                      <w:t>。作為中國領先的珠寶零售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1"/>
                        <w:sz w:val="28"/>
                        <w:szCs w:val="28"/>
                      </w:rPr>
                      <w:t xml:space="preserve">商，周大福珠寶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1"/>
                        <w:sz w:val="28"/>
                        <w:szCs w:val="28"/>
                      </w:rPr>
                      <w:t>委託獨立第三方跨國市場研究機構益普索（IPSOS）開展此項調查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25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1"/>
                        <w:sz w:val="28"/>
                        <w:szCs w:val="28"/>
                      </w:rPr>
                      <w:t>。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89" w:line="2822" w:lineRule="exact"/>
        <w:ind w:firstLine="566"/>
      </w:pPr>
      <w:r>
        <w:rPr>
          <w:position w:val="-56"/>
        </w:rPr>
        <w:pict>
          <v:group id="_x0000_i1030" style="width:647.6pt;height:141.15pt;mso-position-horizontal-relative:char;mso-position-vertical-relative:line" coordorigin="0,0" coordsize="12951,2822" filled="f" stroked="f">
            <v:rect id="_x0000_s1031" style="width:12951;height:2822;position:absolute" filled="t" fillcolor="#dce6f2" stroked="f"/>
            <v:shape id="_x0000_s1032" type="#_x0000_t75" style="width:3807;height:2540;left:120;position:absolute;top:165" filled="f" stroked="f">
              <v:imagedata r:id="rId11" o:title=""/>
            </v:shape>
            <v:shape id="_x0000_s1033" type="#_x0000_t202" style="width:7870;height:993;left:4471;position:absolute;top:833" filled="f" stroked="f">
              <o:lock v:ext="edit" aspectratio="f"/>
              <v:textbox inset="0,0,0,0">
                <w:txbxContent>
                  <w:p>
                    <w:pPr>
                      <w:spacing w:before="17" w:line="176" w:lineRule="auto"/>
                      <w:ind w:left="20" w:right="20"/>
                      <w:jc w:val="both"/>
                      <w:rPr>
                        <w:rFonts w:ascii="Microsoft JhengHei" w:eastAsia="Microsoft JhengHei" w:hAnsi="Microsoft JhengHei" w:cs="Microsoft JhengHei"/>
                        <w:sz w:val="28"/>
                        <w:szCs w:val="28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1"/>
                        <w:sz w:val="28"/>
                        <w:szCs w:val="28"/>
                      </w:rPr>
                      <w:t>首次發佈的《珠寶消費趨勢調查報告》體現了周大福珠寶致力於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15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Microsoft JhengHei" w:eastAsia="Microsoft JhengHei" w:hAnsi="Microsoft JhengHei" w:cs="Microsoft JhengHei"/>
                        <w:b/>
                        <w:bCs/>
                        <w:color w:val="0070C0"/>
                        <w:spacing w:val="-1"/>
                        <w:sz w:val="28"/>
                        <w:szCs w:val="28"/>
                      </w:rPr>
                      <w:t>深入了解消費者喜好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1"/>
                        <w:sz w:val="28"/>
                        <w:szCs w:val="28"/>
                      </w:rPr>
                      <w:t>，為擁有不同生活方式和態度的消費者提供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16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Microsoft JhengHei" w:eastAsia="Microsoft JhengHei" w:hAnsi="Microsoft JhengHei" w:cs="Microsoft JhengHei"/>
                        <w:b/>
                        <w:bCs/>
                        <w:color w:val="0070C0"/>
                        <w:spacing w:val="-1"/>
                        <w:sz w:val="28"/>
                        <w:szCs w:val="28"/>
                      </w:rPr>
                      <w:t>切合其個性和需求的優質產品和貼心服務</w:t>
                    </w:r>
                    <w:r>
                      <w:rPr>
                        <w:rFonts w:ascii="Microsoft JhengHei" w:eastAsia="Microsoft JhengHei" w:hAnsi="Microsoft JhengHei" w:cs="Microsoft JhengHei"/>
                        <w:b/>
                        <w:bCs/>
                        <w:color w:val="0070C0"/>
                        <w:spacing w:val="-34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1"/>
                        <w:sz w:val="28"/>
                        <w:szCs w:val="28"/>
                      </w:rPr>
                      <w:t>。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117" w:line="2812" w:lineRule="exact"/>
        <w:ind w:firstLine="566"/>
        <w:sectPr>
          <w:headerReference w:type="default" r:id="rId12"/>
          <w:pgSz w:w="14400" w:h="10800"/>
          <w:pgMar w:top="1" w:right="0" w:bottom="0" w:left="0" w:header="0" w:footer="0" w:gutter="0"/>
          <w:pgNumType w:start="2"/>
          <w:cols w:space="708"/>
        </w:sectPr>
      </w:pPr>
      <w:r>
        <w:rPr>
          <w:position w:val="-57"/>
        </w:rPr>
        <w:pict>
          <v:group id="_x0000_i1034" style="width:647.6pt;height:141.15pt;mso-position-horizontal-relative:char;mso-position-vertical-relative:line" coordorigin="0,0" coordsize="12951,2822" filled="f" stroked="f">
            <v:rect id="_x0000_s1035" style="width:12951;height:2822;position:absolute" filled="t" fillcolor="#f2dcdb" stroked="f"/>
            <v:shape id="_x0000_s1036" type="#_x0000_t75" style="width:3812;height:2541;left:105;position:absolute;top:120" filled="f" stroked="f">
              <v:imagedata r:id="rId13" o:title=""/>
            </v:shape>
            <v:shape id="_x0000_s1037" type="#_x0000_t202" style="width:8132;height:658;left:4468;position:absolute;top:928" filled="f" stroked="f">
              <o:lock v:ext="edit" aspectratio="f"/>
              <v:textbox inset="0,0,0,0">
                <w:txbxContent>
                  <w:p>
                    <w:pPr>
                      <w:spacing w:before="18" w:line="181" w:lineRule="auto"/>
                      <w:ind w:left="35" w:right="20" w:hanging="15"/>
                      <w:rPr>
                        <w:rFonts w:ascii="Microsoft JhengHei" w:eastAsia="Microsoft JhengHei" w:hAnsi="Microsoft JhengHei" w:cs="Microsoft JhengHei"/>
                        <w:sz w:val="28"/>
                        <w:szCs w:val="28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1"/>
                        <w:sz w:val="28"/>
                        <w:szCs w:val="28"/>
                      </w:rPr>
                      <w:t>報告旨在探究</w:t>
                    </w:r>
                    <w:r>
                      <w:rPr>
                        <w:rFonts w:ascii="Microsoft JhengHei" w:eastAsia="Microsoft JhengHei" w:hAnsi="Microsoft JhengHei" w:cs="Microsoft JhengHei"/>
                        <w:b/>
                        <w:bCs/>
                        <w:color w:val="C00000"/>
                        <w:spacing w:val="-1"/>
                        <w:sz w:val="28"/>
                        <w:szCs w:val="28"/>
                      </w:rPr>
                      <w:t>中國內地和香港新世代消費者對珠寶的看法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1"/>
                        <w:sz w:val="28"/>
                        <w:szCs w:val="28"/>
                      </w:rPr>
                      <w:t>，並展示</w:t>
                    </w:r>
                    <w:r>
                      <w:rPr>
                        <w:rFonts w:ascii="Microsoft JhengHei" w:eastAsia="Microsoft JhengHei" w:hAnsi="Microsoft JhengHei" w:cs="Microsoft JhengHei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Microsoft JhengHei" w:eastAsia="Microsoft JhengHei" w:hAnsi="Microsoft JhengHei" w:cs="Microsoft JhengHei"/>
                        <w:sz w:val="28"/>
                        <w:szCs w:val="28"/>
                      </w:rPr>
                      <w:t>中國珠寶行業的未來趨勢。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183" w:lineRule="auto"/>
        <w:ind w:left="14159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color w:val="898989"/>
          <w:spacing w:val="4"/>
          <w:sz w:val="18"/>
          <w:szCs w:val="18"/>
        </w:rPr>
        <w:t>2</w:t>
      </w:r>
    </w:p>
    <w:p>
      <w:pPr>
        <w:spacing w:line="183" w:lineRule="auto"/>
        <w:rPr>
          <w:rFonts w:ascii="Calibri" w:eastAsia="Calibri" w:hAnsi="Calibri" w:cs="Calibri"/>
          <w:sz w:val="18"/>
          <w:szCs w:val="18"/>
        </w:rPr>
        <w:sectPr>
          <w:headerReference w:type="default" r:id="rId14"/>
          <w:type w:val="nextPage"/>
          <w:pgSz w:w="14400" w:h="10800"/>
          <w:pgMar w:top="1" w:right="0" w:bottom="0" w:left="0" w:header="0" w:footer="0" w:gutter="0"/>
          <w:pgNumType w:start="3"/>
          <w:cols w:space="708"/>
          <w:titlePg w:val="0"/>
        </w:sectPr>
      </w:pPr>
    </w:p>
    <w:p>
      <w:pPr>
        <w:pStyle w:val="BodyText"/>
        <w:spacing w:line="1481" w:lineRule="exact"/>
      </w:pPr>
      <w:r>
        <w:rPr>
          <w:position w:val="-29"/>
        </w:rPr>
        <w:pict>
          <v:shape id="_x0000_i1038" type="#_x0000_t202" style="width:10in;height:74.2pt;mso-position-horizontal-relative:char;mso-position-vertical-relative:line" filled="t" fillcolor="#ab2328" stroked="f">
            <o:lock v:ext="edit" aspectratio="f"/>
            <v:textbox inset="0,0,0,0">
              <w:txbxContent>
                <w:p>
                  <w:pPr>
                    <w:spacing w:before="457" w:line="194" w:lineRule="auto"/>
                    <w:ind w:left="491"/>
                    <w:outlineLvl w:val="1"/>
                    <w:rPr>
                      <w:rFonts w:ascii="Microsoft JhengHei" w:eastAsia="Microsoft JhengHei" w:hAnsi="Microsoft JhengHei" w:cs="Microsoft JhengHei"/>
                      <w:sz w:val="52"/>
                      <w:szCs w:val="52"/>
                    </w:rPr>
                  </w:pPr>
                  <w:r>
                    <w:rPr>
                      <w:rFonts w:ascii="Microsoft JhengHei" w:eastAsia="Microsoft JhengHei" w:hAnsi="Microsoft JhengHei" w:cs="Microsoft JhengHei"/>
                      <w:color w:val="FFFFFF"/>
                      <w:spacing w:val="-7"/>
                      <w:sz w:val="52"/>
                      <w:szCs w:val="52"/>
                    </w:rPr>
                    <w:t>專業團隊</w:t>
                  </w:r>
                </w:p>
              </w:txbxContent>
            </v:textbox>
            <w10:wrap type="none"/>
          </v:shape>
        </w:pict>
      </w:r>
    </w:p>
    <w:p>
      <w:pPr>
        <w:spacing w:line="187" w:lineRule="exact"/>
      </w:pPr>
    </w:p>
    <w:p>
      <w:pPr>
        <w:spacing w:line="187" w:lineRule="exact"/>
        <w:sectPr>
          <w:headerReference w:type="default" r:id="rId15"/>
          <w:pgSz w:w="14400" w:h="10800"/>
          <w:pgMar w:top="1" w:right="0" w:bottom="0" w:left="0" w:header="0" w:footer="0" w:gutter="0"/>
          <w:pgNumType w:start="4"/>
          <w:cols w:num="1" w:space="708" w:equalWidth="0">
            <w:col w:w="14400" w:space="0"/>
          </w:cols>
        </w:sectPr>
      </w:pPr>
    </w:p>
    <w:p>
      <w:pPr>
        <w:pStyle w:val="BodyText"/>
        <w:spacing w:line="8764" w:lineRule="exact"/>
        <w:ind w:firstLine="964"/>
      </w:pPr>
      <w:r>
        <w:rPr>
          <w:position w:val="-175"/>
        </w:rPr>
        <w:pict>
          <v:group id="_x0000_i1039" style="width:292.8pt;height:438.25pt;mso-position-horizontal-relative:char;mso-position-vertical-relative:line" coordorigin="0,0" coordsize="5855,8765" filled="f" stroked="f">
            <v:rect id="_x0000_s1040" style="width:5855;height:8765;position:absolute" filled="t" fillcolor="#f7f0ec" stroked="f"/>
            <v:shape id="_x0000_s1041" type="#_x0000_t202" style="width:4347;height:8170;left:781;position:absolute;top:294" filled="f" stroked="f">
              <o:lock v:ext="edit" aspectratio="f"/>
              <v:textbox inset="0,0,0,0">
                <w:txbxContent>
                  <w:p>
                    <w:pPr>
                      <w:spacing w:before="20" w:line="6309" w:lineRule="exact"/>
                      <w:ind w:firstLine="20"/>
                    </w:pPr>
                    <w:r>
                      <w:rPr>
                        <w:position w:val="-126"/>
                      </w:rPr>
                      <w:drawing>
                        <wp:inline distT="0" distB="0" distL="0" distR="0">
                          <wp:extent cx="2735579" cy="4006595"/>
                          <wp:effectExtent l="0" t="0" r="0" b="0"/>
                          <wp:docPr id="14" name="IM 14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" name="IM 14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6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735579" cy="400659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>
                    <w:pPr>
                      <w:spacing w:before="143" w:line="185" w:lineRule="auto"/>
                      <w:ind w:left="1397" w:right="757" w:hanging="611"/>
                      <w:rPr>
                        <w:rFonts w:ascii="Microsoft JhengHei" w:eastAsia="Microsoft JhengHei" w:hAnsi="Microsoft JhengHei" w:cs="Microsoft JhengHei"/>
                        <w:sz w:val="31"/>
                        <w:szCs w:val="31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b/>
                        <w:bCs/>
                        <w:color w:val="AE695A"/>
                        <w:spacing w:val="4"/>
                        <w:sz w:val="31"/>
                        <w:szCs w:val="31"/>
                      </w:rPr>
                      <w:t>陳義邦</w:t>
                    </w:r>
                    <w:r>
                      <w:rPr>
                        <w:rFonts w:ascii="Microsoft JhengHei" w:eastAsia="Microsoft JhengHei" w:hAnsi="Microsoft JhengHei" w:cs="Microsoft JhengHei"/>
                        <w:b/>
                        <w:bCs/>
                        <w:color w:val="AE695A"/>
                        <w:spacing w:val="31"/>
                        <w:sz w:val="31"/>
                        <w:szCs w:val="31"/>
                      </w:rPr>
                      <w:t xml:space="preserve"> </w:t>
                    </w:r>
                    <w:r>
                      <w:rPr>
                        <w:rFonts w:ascii="Microsoft JhengHei" w:eastAsia="Microsoft JhengHei" w:hAnsi="Microsoft JhengHei" w:cs="Microsoft JhengHei"/>
                        <w:b/>
                        <w:bCs/>
                        <w:color w:val="AE695A"/>
                        <w:spacing w:val="4"/>
                        <w:sz w:val="31"/>
                        <w:szCs w:val="31"/>
                      </w:rPr>
                      <w:t>(</w:t>
                    </w:r>
                    <w:r>
                      <w:rPr>
                        <w:rFonts w:ascii="Microsoft JhengHei" w:eastAsia="Microsoft JhengHei" w:hAnsi="Microsoft JhengHei" w:cs="Microsoft JhengHei"/>
                        <w:b/>
                        <w:bCs/>
                        <w:color w:val="AE695A"/>
                        <w:sz w:val="31"/>
                        <w:szCs w:val="31"/>
                      </w:rPr>
                      <w:t>Alan</w:t>
                    </w:r>
                    <w:r>
                      <w:rPr>
                        <w:rFonts w:ascii="Microsoft JhengHei" w:eastAsia="Microsoft JhengHei" w:hAnsi="Microsoft JhengHei" w:cs="Microsoft JhengHei"/>
                        <w:b/>
                        <w:bCs/>
                        <w:color w:val="AE695A"/>
                        <w:spacing w:val="4"/>
                        <w:sz w:val="31"/>
                        <w:szCs w:val="31"/>
                      </w:rPr>
                      <w:t xml:space="preserve"> </w:t>
                    </w:r>
                    <w:r>
                      <w:rPr>
                        <w:rFonts w:ascii="Microsoft JhengHei" w:eastAsia="Microsoft JhengHei" w:hAnsi="Microsoft JhengHei" w:cs="Microsoft JhengHei"/>
                        <w:b/>
                        <w:bCs/>
                        <w:color w:val="AE695A"/>
                        <w:sz w:val="31"/>
                        <w:szCs w:val="31"/>
                      </w:rPr>
                      <w:t>Chan</w:t>
                    </w:r>
                    <w:r>
                      <w:rPr>
                        <w:rFonts w:ascii="Microsoft JhengHei" w:eastAsia="Microsoft JhengHei" w:hAnsi="Microsoft JhengHei" w:cs="Microsoft JhengHei"/>
                        <w:b/>
                        <w:bCs/>
                        <w:color w:val="AE695A"/>
                        <w:spacing w:val="4"/>
                        <w:sz w:val="31"/>
                        <w:szCs w:val="31"/>
                      </w:rPr>
                      <w:t>)</w:t>
                    </w:r>
                    <w:r>
                      <w:rPr>
                        <w:rFonts w:ascii="Microsoft JhengHei" w:eastAsia="Microsoft JhengHei" w:hAnsi="Microsoft JhengHei" w:cs="Microsoft JhengHei"/>
                        <w:b/>
                        <w:bCs/>
                        <w:color w:val="AE695A"/>
                        <w:sz w:val="31"/>
                        <w:szCs w:val="31"/>
                      </w:rPr>
                      <w:t xml:space="preserve"> </w:t>
                    </w:r>
                    <w:r>
                      <w:rPr>
                        <w:rFonts w:ascii="Microsoft JhengHei" w:eastAsia="Microsoft JhengHei" w:hAnsi="Microsoft JhengHei" w:cs="Microsoft JhengHei"/>
                        <w:b/>
                        <w:bCs/>
                        <w:color w:val="AE695A"/>
                        <w:spacing w:val="4"/>
                        <w:sz w:val="31"/>
                        <w:szCs w:val="31"/>
                      </w:rPr>
                      <w:t>首席品牌官</w:t>
                    </w:r>
                  </w:p>
                  <w:p>
                    <w:pPr>
                      <w:spacing w:before="34" w:line="167" w:lineRule="auto"/>
                      <w:ind w:left="148"/>
                      <w:rPr>
                        <w:rFonts w:ascii="Microsoft JhengHei" w:eastAsia="Microsoft JhengHei" w:hAnsi="Microsoft JhengHei" w:cs="Microsoft JhengHei"/>
                        <w:sz w:val="24"/>
                        <w:szCs w:val="24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1"/>
                        <w:sz w:val="24"/>
                        <w:szCs w:val="24"/>
                      </w:rPr>
                      <w:t>負責周大福珠寶集團品牌推廣與市場營</w:t>
                    </w:r>
                  </w:p>
                  <w:p>
                    <w:pPr>
                      <w:spacing w:line="166" w:lineRule="auto"/>
                      <w:ind w:left="148"/>
                      <w:rPr>
                        <w:rFonts w:ascii="Microsoft JhengHei" w:eastAsia="Microsoft JhengHei" w:hAnsi="Microsoft JhengHei" w:cs="Microsoft JhengHei"/>
                        <w:sz w:val="24"/>
                        <w:szCs w:val="24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1"/>
                        <w:sz w:val="24"/>
                        <w:szCs w:val="24"/>
                      </w:rPr>
                      <w:t>銷，於奢侈品品牌管理與市場營銷有逾</w:t>
                    </w:r>
                  </w:p>
                  <w:p>
                    <w:pPr>
                      <w:spacing w:line="194" w:lineRule="auto"/>
                      <w:ind w:left="1206"/>
                      <w:rPr>
                        <w:rFonts w:ascii="Microsoft JhengHei" w:eastAsia="Microsoft JhengHei" w:hAnsi="Microsoft JhengHei" w:cs="Microsoft JhengHei"/>
                        <w:sz w:val="24"/>
                        <w:szCs w:val="24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2"/>
                        <w:sz w:val="24"/>
                        <w:szCs w:val="24"/>
                      </w:rPr>
                      <w:t>25年的豐富經驗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30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2"/>
                        <w:sz w:val="24"/>
                        <w:szCs w:val="24"/>
                      </w:rPr>
                      <w:t>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20" w:line="8764" w:lineRule="exact"/>
      </w:pPr>
      <w:r>
        <w:rPr>
          <w:position w:val="-175"/>
        </w:rPr>
        <w:pict>
          <v:group id="_x0000_i1042" style="width:323.15pt;height:438.25pt;mso-position-horizontal-relative:char;mso-position-vertical-relative:line" coordorigin="0,0" coordsize="6462,8765" filled="f" stroked="f">
            <v:rect id="_x0000_s1043" style="width:6462;height:8765;position:absolute" filled="t" fillcolor="#f7f0ec" stroked="f"/>
            <v:shape id="_x0000_s1044" type="#_x0000_t202" style="width:4457;height:8237;left:1052;position:absolute;top:205" filled="f" stroked="f">
              <o:lock v:ext="edit" aspectratio="f"/>
              <v:textbox inset="0,0,0,0">
                <w:txbxContent>
                  <w:p>
                    <w:pPr>
                      <w:spacing w:before="20" w:line="6376" w:lineRule="exact"/>
                      <w:ind w:firstLine="20"/>
                    </w:pPr>
                    <w:r>
                      <w:rPr>
                        <w:position w:val="-127"/>
                      </w:rPr>
                      <w:drawing>
                        <wp:inline distT="0" distB="0" distL="0" distR="0">
                          <wp:extent cx="2804160" cy="4049267"/>
                          <wp:effectExtent l="0" t="0" r="0" b="0"/>
                          <wp:docPr id="16" name="IM 16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6" name="IM 16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7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804160" cy="404926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>
                    <w:pPr>
                      <w:spacing w:before="130" w:line="172" w:lineRule="auto"/>
                      <w:ind w:left="791"/>
                      <w:rPr>
                        <w:rFonts w:ascii="Microsoft JhengHei" w:eastAsia="Microsoft JhengHei" w:hAnsi="Microsoft JhengHei" w:cs="Microsoft JhengHei"/>
                        <w:sz w:val="31"/>
                        <w:szCs w:val="31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b/>
                        <w:bCs/>
                        <w:color w:val="AE695A"/>
                        <w:sz w:val="31"/>
                        <w:szCs w:val="31"/>
                      </w:rPr>
                      <w:t>許亨杰</w:t>
                    </w:r>
                    <w:r>
                      <w:rPr>
                        <w:rFonts w:ascii="Microsoft JhengHei" w:eastAsia="Microsoft JhengHei" w:hAnsi="Microsoft JhengHei" w:cs="Microsoft JhengHei"/>
                        <w:b/>
                        <w:bCs/>
                        <w:color w:val="AE695A"/>
                        <w:spacing w:val="30"/>
                        <w:sz w:val="31"/>
                        <w:szCs w:val="31"/>
                      </w:rPr>
                      <w:t xml:space="preserve"> </w:t>
                    </w:r>
                    <w:r>
                      <w:rPr>
                        <w:rFonts w:ascii="Microsoft JhengHei" w:eastAsia="Microsoft JhengHei" w:hAnsi="Microsoft JhengHei" w:cs="Microsoft JhengHei"/>
                        <w:b/>
                        <w:bCs/>
                        <w:color w:val="AE695A"/>
                        <w:sz w:val="31"/>
                        <w:szCs w:val="31"/>
                      </w:rPr>
                      <w:t>(Simon</w:t>
                    </w:r>
                    <w:r>
                      <w:rPr>
                        <w:rFonts w:ascii="Microsoft JhengHei" w:eastAsia="Microsoft JhengHei" w:hAnsi="Microsoft JhengHei" w:cs="Microsoft JhengHei"/>
                        <w:b/>
                        <w:bCs/>
                        <w:color w:val="AE695A"/>
                        <w:spacing w:val="36"/>
                        <w:sz w:val="31"/>
                        <w:szCs w:val="31"/>
                      </w:rPr>
                      <w:t xml:space="preserve"> </w:t>
                    </w:r>
                    <w:r>
                      <w:rPr>
                        <w:rFonts w:ascii="Microsoft JhengHei" w:eastAsia="Microsoft JhengHei" w:hAnsi="Microsoft JhengHei" w:cs="Microsoft JhengHei"/>
                        <w:b/>
                        <w:bCs/>
                        <w:color w:val="AE695A"/>
                        <w:sz w:val="31"/>
                        <w:szCs w:val="31"/>
                      </w:rPr>
                      <w:t>Hui)</w:t>
                    </w:r>
                  </w:p>
                  <w:p>
                    <w:pPr>
                      <w:spacing w:before="1" w:line="197" w:lineRule="auto"/>
                      <w:ind w:left="307"/>
                      <w:rPr>
                        <w:rFonts w:ascii="Microsoft JhengHei" w:eastAsia="Microsoft JhengHei" w:hAnsi="Microsoft JhengHei" w:cs="Microsoft JhengHei"/>
                        <w:sz w:val="31"/>
                        <w:szCs w:val="31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b/>
                        <w:bCs/>
                        <w:color w:val="AE695A"/>
                        <w:spacing w:val="7"/>
                        <w:sz w:val="31"/>
                        <w:szCs w:val="31"/>
                      </w:rPr>
                      <w:t>鑽石原料管理策劃中心總監</w:t>
                    </w:r>
                  </w:p>
                  <w:p>
                    <w:pPr>
                      <w:spacing w:before="48" w:line="167" w:lineRule="auto"/>
                      <w:ind w:right="34"/>
                      <w:jc w:val="right"/>
                      <w:rPr>
                        <w:rFonts w:ascii="Microsoft JhengHei" w:eastAsia="Microsoft JhengHei" w:hAnsi="Microsoft JhengHei" w:cs="Microsoft JhengHei"/>
                        <w:sz w:val="24"/>
                        <w:szCs w:val="24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1"/>
                        <w:sz w:val="24"/>
                        <w:szCs w:val="24"/>
                      </w:rPr>
                      <w:t>擁有超過18年鑽石行業從業經驗，負責</w:t>
                    </w:r>
                  </w:p>
                  <w:p>
                    <w:pPr>
                      <w:spacing w:line="166" w:lineRule="auto"/>
                      <w:ind w:left="336"/>
                      <w:rPr>
                        <w:rFonts w:ascii="Microsoft JhengHei" w:eastAsia="Microsoft JhengHei" w:hAnsi="Microsoft JhengHei" w:cs="Microsoft JhengHei"/>
                        <w:sz w:val="24"/>
                        <w:szCs w:val="24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1"/>
                        <w:sz w:val="24"/>
                        <w:szCs w:val="24"/>
                      </w:rPr>
                      <w:t>周大福珠寶集團鑽石採購、生產、庫存</w:t>
                    </w:r>
                  </w:p>
                  <w:p>
                    <w:pPr>
                      <w:spacing w:before="1" w:line="194" w:lineRule="auto"/>
                      <w:ind w:left="1057"/>
                      <w:rPr>
                        <w:rFonts w:ascii="Microsoft JhengHei" w:eastAsia="Microsoft JhengHei" w:hAnsi="Microsoft JhengHei" w:cs="Microsoft JhengHei"/>
                        <w:sz w:val="24"/>
                        <w:szCs w:val="24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2"/>
                        <w:sz w:val="24"/>
                        <w:szCs w:val="24"/>
                      </w:rPr>
                      <w:t>管理等供應鏈營運工作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29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2"/>
                        <w:sz w:val="24"/>
                        <w:szCs w:val="24"/>
                      </w:rPr>
                      <w:t>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  <w:sectPr>
          <w:headerReference w:type="default" r:id="rId18"/>
          <w:type w:val="continuous"/>
          <w:pgSz w:w="14400" w:h="10800"/>
          <w:pgMar w:top="1" w:right="0" w:bottom="0" w:left="0" w:header="0" w:footer="0" w:gutter="0"/>
          <w:pgNumType w:start="5"/>
          <w:cols w:num="3" w:space="708" w:equalWidth="0">
            <w:col w:w="6973" w:space="100"/>
            <w:col w:w="6508" w:space="100"/>
            <w:col w:w="720" w:space="0"/>
          </w:cols>
        </w:sect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before="55" w:line="131" w:lineRule="exact"/>
        <w:ind w:left="478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color w:val="898989"/>
          <w:spacing w:val="5"/>
          <w:position w:val="-2"/>
          <w:sz w:val="18"/>
          <w:szCs w:val="18"/>
        </w:rPr>
        <w:t>3</w:t>
      </w:r>
    </w:p>
    <w:p>
      <w:pPr>
        <w:spacing w:line="131" w:lineRule="exact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br/>
      </w:r>
      <w:r>
        <w:rPr>
          <w:rFonts w:ascii="Calibri" w:eastAsia="Calibri" w:hAnsi="Calibri" w:cs="Calibri"/>
          <w:sz w:val="18"/>
          <w:szCs w:val="18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9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https://d.book118.com/596032124001010101</w:t>
        </w:r>
      </w:hyperlink>
    </w:p>
    <w:p>
      <w:pPr>
        <w:spacing w:line="131" w:lineRule="exact"/>
        <w:rPr>
          <w:rFonts w:ascii="Calibri" w:eastAsia="Calibri" w:hAnsi="Calibri" w:cs="Calibri"/>
          <w:sz w:val="18"/>
          <w:szCs w:val="18"/>
        </w:rPr>
      </w:pPr>
    </w:p>
    <w:sectPr>
      <w:headerReference w:type="default" r:id="rId20"/>
      <w:type w:val="nextPage"/>
      <w:pgSz w:w="14400" w:h="10800"/>
      <w:pgMar w:top="1" w:right="0" w:bottom="0" w:left="0" w:header="0" w:footer="0" w:gutter="0"/>
      <w:pgNumType w:start="6"/>
      <w:cols w:num="3" w:space="708" w:equalWidth="0">
        <w:col w:w="6973" w:space="100"/>
        <w:col w:w="6508" w:space="100"/>
        <w:col w:w="720" w:space="0"/>
      </w:cols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mc:AlternateContent>
        <mc:Choice Requires="wps">
          <w:drawing>
            <wp:anchor distT="0" distB="0" distL="0" distR="0" simplePos="0" relativeHeight="251659264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6858000"/>
              <wp:effectExtent l="0" t="0" r="0" b="0"/>
              <wp:wrapNone/>
              <wp:docPr id="2" name="Rect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9144000" cy="6858000"/>
                      </a:xfrm>
                      <a:prstGeom prst="rect">
                        <a:avLst/>
                      </a:prstGeom>
                      <a:solidFill>
                        <a:srgbClr val="AB2328"/>
                      </a:solidFill>
                      <a:ln w="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</wps:wsp>
                </a:graphicData>
              </a:graphic>
            </wp:anchor>
          </w:drawing>
        </mc:Choice>
        <mc:Fallback>
          <w:pict>
            <v:rect id="Rect 2" o:spid="_x0000_s2049" style="width:10in;height:540pt;margin-top:0;margin-left:0;mso-position-horizontal-relative:page;mso-position-vertical-relative:page;mso-wrap-distance-bottom:0;mso-wrap-distance-left:0;mso-wrap-distance-right:0;mso-wrap-distance-top:0;position:absolute;v-text-anchor:top;z-index:-251658240" o:allowincell="f" fillcolor="#ab2328" stroked="f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Microsoft JhengHei" w:eastAsia="Microsoft JhengHei" w:hAnsi="Microsoft JhengHei" w:cs="Microsoft JhengHei"/>
      <w:sz w:val="28"/>
      <w:szCs w:val="28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Microsoft JhengHei" w:eastAsia="Microsoft JhengHei" w:hAnsi="Microsoft JhengHei" w:cs="Microsoft JhengHei"/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jpeg" /><Relationship Id="rId11" Type="http://schemas.openxmlformats.org/officeDocument/2006/relationships/image" Target="media/image7.jpeg" /><Relationship Id="rId12" Type="http://schemas.openxmlformats.org/officeDocument/2006/relationships/header" Target="header2.xml" /><Relationship Id="rId13" Type="http://schemas.openxmlformats.org/officeDocument/2006/relationships/image" Target="media/image8.jpeg" /><Relationship Id="rId14" Type="http://schemas.openxmlformats.org/officeDocument/2006/relationships/header" Target="header3.xml" /><Relationship Id="rId15" Type="http://schemas.openxmlformats.org/officeDocument/2006/relationships/header" Target="header4.xml" /><Relationship Id="rId16" Type="http://schemas.openxmlformats.org/officeDocument/2006/relationships/image" Target="media/image9.jpeg" /><Relationship Id="rId17" Type="http://schemas.openxmlformats.org/officeDocument/2006/relationships/image" Target="media/image10.png" /><Relationship Id="rId18" Type="http://schemas.openxmlformats.org/officeDocument/2006/relationships/header" Target="header5.xml" /><Relationship Id="rId19" Type="http://schemas.openxmlformats.org/officeDocument/2006/relationships/hyperlink" Target="https://d.book118.com/596032124001010101" TargetMode="External" /><Relationship Id="rId2" Type="http://schemas.openxmlformats.org/officeDocument/2006/relationships/webSettings" Target="webSettings.xml" /><Relationship Id="rId20" Type="http://schemas.openxmlformats.org/officeDocument/2006/relationships/header" Target="header6.xml" /><Relationship Id="rId21" Type="http://schemas.openxmlformats.org/officeDocument/2006/relationships/theme" Target="theme/theme1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jpeg" /><Relationship Id="rId6" Type="http://schemas.openxmlformats.org/officeDocument/2006/relationships/image" Target="media/image3.png" /><Relationship Id="rId7" Type="http://schemas.openxmlformats.org/officeDocument/2006/relationships/image" Target="media/image4.jpeg" /><Relationship Id="rId8" Type="http://schemas.openxmlformats.org/officeDocument/2006/relationships/image" Target="media/image5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CTF Corporate Presentation</dc:title>
  <dc:creator>CTF</dc:creator>
  <cp:revision>0</cp:revision>
  <dcterms:created xsi:type="dcterms:W3CDTF">2024-03-10T16:03:08Z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2024-03-12T20:42:53Z</vt:filetime>
  </property>
  <property fmtid="{D5CDD505-2E9C-101B-9397-08002B2CF9AE}" pid="3" name="CRO">
    <vt:lpwstr>wqlLaW5nc29mdCBQREYgdG8gV1BTIDkw</vt:lpwstr>
  </property>
</Properties>
</file>