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艺术品拍卖项目规划设计方案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94" w:history="1">
        <w:r>
          <w:rPr>
            <w:rFonts w:ascii="仿宋" w:eastAsia="仿宋" w:hAnsi="仿宋" w:cs="仿宋" w:hint="eastAsia"/>
            <w:lang w:eastAsia="zh-CN"/>
          </w:rPr>
          <w:t>前言</w:t>
        </w:r>
        <w:r>
          <w:tab/>
        </w:r>
        <w:r>
          <w:fldChar w:fldCharType="begin"/>
        </w:r>
        <w:r>
          <w:instrText xml:space="preserve"> PAGEREF _Toc3094 \h </w:instrText>
        </w:r>
        <w:r>
          <w:fldChar w:fldCharType="separate"/>
        </w:r>
        <w:r>
          <w:t>3</w:t>
        </w:r>
        <w:r>
          <w:fldChar w:fldCharType="end"/>
        </w:r>
      </w:hyperlink>
    </w:p>
    <w:p>
      <w:pPr>
        <w:pStyle w:val="TOC1"/>
        <w:tabs>
          <w:tab w:val="right" w:leader="dot" w:pos="8306"/>
        </w:tabs>
      </w:pPr>
      <w:hyperlink w:anchor="_Toc28230" w:history="1">
        <w:r>
          <w:rPr>
            <w:rFonts w:ascii="仿宋" w:eastAsia="仿宋" w:hAnsi="仿宋" w:cs="仿宋" w:hint="eastAsia"/>
            <w:lang w:eastAsia="zh-CN"/>
          </w:rPr>
          <w:t>一、艺术品拍卖项目绩效评估</w:t>
        </w:r>
        <w:r>
          <w:tab/>
        </w:r>
        <w:r>
          <w:fldChar w:fldCharType="begin"/>
        </w:r>
        <w:r>
          <w:instrText xml:space="preserve"> PAGEREF _Toc28230 \h </w:instrText>
        </w:r>
        <w:r>
          <w:fldChar w:fldCharType="separate"/>
        </w:r>
        <w:r>
          <w:t>3</w:t>
        </w:r>
        <w:r>
          <w:fldChar w:fldCharType="end"/>
        </w:r>
      </w:hyperlink>
    </w:p>
    <w:p>
      <w:pPr>
        <w:pStyle w:val="TOC2"/>
        <w:tabs>
          <w:tab w:val="right" w:leader="dot" w:pos="8306"/>
        </w:tabs>
      </w:pPr>
      <w:hyperlink w:anchor="_Toc17435" w:history="1">
        <w:r>
          <w:rPr>
            <w:rFonts w:ascii="仿宋" w:eastAsia="仿宋" w:hAnsi="仿宋" w:cs="仿宋" w:hint="eastAsia"/>
            <w:lang w:eastAsia="zh-CN"/>
          </w:rPr>
          <w:t>(一)、绩效评估指标</w:t>
        </w:r>
        <w:r>
          <w:tab/>
        </w:r>
        <w:r>
          <w:fldChar w:fldCharType="begin"/>
        </w:r>
        <w:r>
          <w:instrText xml:space="preserve"> PAGEREF _Toc17435 \h </w:instrText>
        </w:r>
        <w:r>
          <w:fldChar w:fldCharType="separate"/>
        </w:r>
        <w:r>
          <w:t>3</w:t>
        </w:r>
        <w:r>
          <w:fldChar w:fldCharType="end"/>
        </w:r>
      </w:hyperlink>
    </w:p>
    <w:p>
      <w:pPr>
        <w:pStyle w:val="TOC2"/>
        <w:tabs>
          <w:tab w:val="right" w:leader="dot" w:pos="8306"/>
        </w:tabs>
      </w:pPr>
      <w:hyperlink w:anchor="_Toc6558" w:history="1">
        <w:r>
          <w:rPr>
            <w:rFonts w:ascii="仿宋" w:eastAsia="仿宋" w:hAnsi="仿宋" w:cs="仿宋" w:hint="eastAsia"/>
            <w:lang w:eastAsia="zh-CN"/>
          </w:rPr>
          <w:t>(二)、绩效评估方法</w:t>
        </w:r>
        <w:r>
          <w:tab/>
        </w:r>
        <w:r>
          <w:fldChar w:fldCharType="begin"/>
        </w:r>
        <w:r>
          <w:instrText xml:space="preserve"> PAGEREF _Toc6558 \h </w:instrText>
        </w:r>
        <w:r>
          <w:fldChar w:fldCharType="separate"/>
        </w:r>
        <w:r>
          <w:t>4</w:t>
        </w:r>
        <w:r>
          <w:fldChar w:fldCharType="end"/>
        </w:r>
      </w:hyperlink>
    </w:p>
    <w:p>
      <w:pPr>
        <w:pStyle w:val="TOC2"/>
        <w:tabs>
          <w:tab w:val="right" w:leader="dot" w:pos="8306"/>
        </w:tabs>
      </w:pPr>
      <w:hyperlink w:anchor="_Toc28547" w:history="1">
        <w:r>
          <w:rPr>
            <w:rFonts w:ascii="仿宋" w:eastAsia="仿宋" w:hAnsi="仿宋" w:cs="仿宋" w:hint="eastAsia"/>
            <w:lang w:eastAsia="zh-CN"/>
          </w:rPr>
          <w:t>(三)、绩效评估周期</w:t>
        </w:r>
        <w:r>
          <w:tab/>
        </w:r>
        <w:r>
          <w:fldChar w:fldCharType="begin"/>
        </w:r>
        <w:r>
          <w:instrText xml:space="preserve"> PAGEREF _Toc28547 \h </w:instrText>
        </w:r>
        <w:r>
          <w:fldChar w:fldCharType="separate"/>
        </w:r>
        <w:r>
          <w:t>5</w:t>
        </w:r>
        <w:r>
          <w:fldChar w:fldCharType="end"/>
        </w:r>
      </w:hyperlink>
    </w:p>
    <w:p>
      <w:pPr>
        <w:pStyle w:val="TOC1"/>
        <w:tabs>
          <w:tab w:val="right" w:leader="dot" w:pos="8306"/>
        </w:tabs>
      </w:pPr>
      <w:hyperlink w:anchor="_Toc6198" w:history="1">
        <w:r>
          <w:rPr>
            <w:rFonts w:ascii="仿宋" w:eastAsia="仿宋" w:hAnsi="仿宋" w:cs="仿宋" w:hint="eastAsia"/>
            <w:lang w:eastAsia="zh-CN"/>
          </w:rPr>
          <w:t>二、艺术品拍卖项目危机管理</w:t>
        </w:r>
        <w:r>
          <w:tab/>
        </w:r>
        <w:r>
          <w:fldChar w:fldCharType="begin"/>
        </w:r>
        <w:r>
          <w:instrText xml:space="preserve"> PAGEREF _Toc6198 \h </w:instrText>
        </w:r>
        <w:r>
          <w:fldChar w:fldCharType="separate"/>
        </w:r>
        <w:r>
          <w:t>6</w:t>
        </w:r>
        <w:r>
          <w:fldChar w:fldCharType="end"/>
        </w:r>
      </w:hyperlink>
    </w:p>
    <w:p>
      <w:pPr>
        <w:pStyle w:val="TOC2"/>
        <w:tabs>
          <w:tab w:val="right" w:leader="dot" w:pos="8306"/>
        </w:tabs>
      </w:pPr>
      <w:hyperlink w:anchor="_Toc21995" w:history="1">
        <w:r>
          <w:rPr>
            <w:rFonts w:ascii="仿宋" w:eastAsia="仿宋" w:hAnsi="仿宋" w:cs="仿宋" w:hint="eastAsia"/>
            <w:lang w:eastAsia="zh-CN"/>
          </w:rPr>
          <w:t>(一)、危机预警与识别</w:t>
        </w:r>
        <w:r>
          <w:tab/>
        </w:r>
        <w:r>
          <w:fldChar w:fldCharType="begin"/>
        </w:r>
        <w:r>
          <w:instrText xml:space="preserve"> PAGEREF _Toc21995 \h </w:instrText>
        </w:r>
        <w:r>
          <w:fldChar w:fldCharType="separate"/>
        </w:r>
        <w:r>
          <w:t>6</w:t>
        </w:r>
        <w:r>
          <w:fldChar w:fldCharType="end"/>
        </w:r>
      </w:hyperlink>
    </w:p>
    <w:p>
      <w:pPr>
        <w:pStyle w:val="TOC2"/>
        <w:tabs>
          <w:tab w:val="right" w:leader="dot" w:pos="8306"/>
        </w:tabs>
      </w:pPr>
      <w:hyperlink w:anchor="_Toc4244" w:history="1">
        <w:r>
          <w:rPr>
            <w:rFonts w:ascii="仿宋" w:eastAsia="仿宋" w:hAnsi="仿宋" w:cs="仿宋" w:hint="eastAsia"/>
            <w:lang w:eastAsia="zh-CN"/>
          </w:rPr>
          <w:t>(二)、危机应对与恢复</w:t>
        </w:r>
        <w:r>
          <w:tab/>
        </w:r>
        <w:r>
          <w:fldChar w:fldCharType="begin"/>
        </w:r>
        <w:r>
          <w:instrText xml:space="preserve"> PAGEREF _Toc4244 \h </w:instrText>
        </w:r>
        <w:r>
          <w:fldChar w:fldCharType="separate"/>
        </w:r>
        <w:r>
          <w:t>7</w:t>
        </w:r>
        <w:r>
          <w:fldChar w:fldCharType="end"/>
        </w:r>
      </w:hyperlink>
    </w:p>
    <w:p>
      <w:pPr>
        <w:pStyle w:val="TOC1"/>
        <w:tabs>
          <w:tab w:val="right" w:leader="dot" w:pos="8306"/>
        </w:tabs>
      </w:pPr>
      <w:hyperlink w:anchor="_Toc29614" w:history="1">
        <w:r>
          <w:rPr>
            <w:rFonts w:ascii="仿宋" w:eastAsia="仿宋" w:hAnsi="仿宋" w:cs="仿宋" w:hint="eastAsia"/>
            <w:lang w:eastAsia="zh-CN"/>
          </w:rPr>
          <w:t>三、艺术品拍卖项目可持续发展</w:t>
        </w:r>
        <w:r>
          <w:tab/>
        </w:r>
        <w:r>
          <w:fldChar w:fldCharType="begin"/>
        </w:r>
        <w:r>
          <w:instrText xml:space="preserve"> PAGEREF _Toc29614 \h </w:instrText>
        </w:r>
        <w:r>
          <w:fldChar w:fldCharType="separate"/>
        </w:r>
        <w:r>
          <w:t>9</w:t>
        </w:r>
        <w:r>
          <w:fldChar w:fldCharType="end"/>
        </w:r>
      </w:hyperlink>
    </w:p>
    <w:p>
      <w:pPr>
        <w:pStyle w:val="TOC2"/>
        <w:tabs>
          <w:tab w:val="right" w:leader="dot" w:pos="8306"/>
        </w:tabs>
      </w:pPr>
      <w:hyperlink w:anchor="_Toc1487" w:history="1">
        <w:r>
          <w:rPr>
            <w:rFonts w:ascii="仿宋" w:eastAsia="仿宋" w:hAnsi="仿宋" w:cs="仿宋" w:hint="eastAsia"/>
            <w:lang w:eastAsia="zh-CN"/>
          </w:rPr>
          <w:t>(一)、可持续战略与实践</w:t>
        </w:r>
        <w:r>
          <w:tab/>
        </w:r>
        <w:r>
          <w:fldChar w:fldCharType="begin"/>
        </w:r>
        <w:r>
          <w:instrText xml:space="preserve"> PAGEREF _Toc1487 \h </w:instrText>
        </w:r>
        <w:r>
          <w:fldChar w:fldCharType="separate"/>
        </w:r>
        <w:r>
          <w:t>9</w:t>
        </w:r>
        <w:r>
          <w:fldChar w:fldCharType="end"/>
        </w:r>
      </w:hyperlink>
    </w:p>
    <w:p>
      <w:pPr>
        <w:pStyle w:val="TOC2"/>
        <w:tabs>
          <w:tab w:val="right" w:leader="dot" w:pos="8306"/>
        </w:tabs>
      </w:pPr>
      <w:hyperlink w:anchor="_Toc32525" w:history="1">
        <w:r>
          <w:rPr>
            <w:rFonts w:ascii="仿宋" w:eastAsia="仿宋" w:hAnsi="仿宋" w:cs="仿宋" w:hint="eastAsia"/>
            <w:lang w:eastAsia="zh-CN"/>
          </w:rPr>
          <w:t>(二)、环保与社会责任</w:t>
        </w:r>
        <w:r>
          <w:tab/>
        </w:r>
        <w:r>
          <w:fldChar w:fldCharType="begin"/>
        </w:r>
        <w:r>
          <w:instrText xml:space="preserve"> PAGEREF _Toc32525 \h </w:instrText>
        </w:r>
        <w:r>
          <w:fldChar w:fldCharType="separate"/>
        </w:r>
        <w:r>
          <w:t>9</w:t>
        </w:r>
        <w:r>
          <w:fldChar w:fldCharType="end"/>
        </w:r>
      </w:hyperlink>
    </w:p>
    <w:p>
      <w:pPr>
        <w:pStyle w:val="TOC1"/>
        <w:tabs>
          <w:tab w:val="right" w:leader="dot" w:pos="8306"/>
        </w:tabs>
      </w:pPr>
      <w:hyperlink w:anchor="_Toc7841" w:history="1">
        <w:r>
          <w:rPr>
            <w:rFonts w:ascii="仿宋" w:eastAsia="仿宋" w:hAnsi="仿宋" w:cs="仿宋" w:hint="eastAsia"/>
            <w:lang w:eastAsia="zh-CN"/>
          </w:rPr>
          <w:t>四、艺术品拍卖项目概论</w:t>
        </w:r>
        <w:r>
          <w:tab/>
        </w:r>
        <w:r>
          <w:fldChar w:fldCharType="begin"/>
        </w:r>
        <w:r>
          <w:instrText xml:space="preserve"> PAGEREF _Toc7841 \h </w:instrText>
        </w:r>
        <w:r>
          <w:fldChar w:fldCharType="separate"/>
        </w:r>
        <w:r>
          <w:t>10</w:t>
        </w:r>
        <w:r>
          <w:fldChar w:fldCharType="end"/>
        </w:r>
      </w:hyperlink>
    </w:p>
    <w:p>
      <w:pPr>
        <w:pStyle w:val="TOC2"/>
        <w:tabs>
          <w:tab w:val="right" w:leader="dot" w:pos="8306"/>
        </w:tabs>
      </w:pPr>
      <w:hyperlink w:anchor="_Toc3948" w:history="1">
        <w:r>
          <w:rPr>
            <w:rFonts w:ascii="仿宋" w:eastAsia="仿宋" w:hAnsi="仿宋" w:cs="仿宋" w:hint="eastAsia"/>
            <w:lang w:eastAsia="zh-CN"/>
          </w:rPr>
          <w:t>(一)、艺术品拍卖项目概况</w:t>
        </w:r>
        <w:r>
          <w:tab/>
        </w:r>
        <w:r>
          <w:fldChar w:fldCharType="begin"/>
        </w:r>
        <w:r>
          <w:instrText xml:space="preserve"> PAGEREF _Toc3948 \h </w:instrText>
        </w:r>
        <w:r>
          <w:fldChar w:fldCharType="separate"/>
        </w:r>
        <w:r>
          <w:t>10</w:t>
        </w:r>
        <w:r>
          <w:fldChar w:fldCharType="end"/>
        </w:r>
      </w:hyperlink>
    </w:p>
    <w:p>
      <w:pPr>
        <w:pStyle w:val="TOC2"/>
        <w:tabs>
          <w:tab w:val="right" w:leader="dot" w:pos="8306"/>
        </w:tabs>
      </w:pPr>
      <w:hyperlink w:anchor="_Toc14885" w:history="1">
        <w:r>
          <w:rPr>
            <w:rFonts w:ascii="仿宋" w:eastAsia="仿宋" w:hAnsi="仿宋" w:cs="仿宋" w:hint="eastAsia"/>
            <w:lang w:eastAsia="zh-CN"/>
          </w:rPr>
          <w:t>(二)、艺术品拍卖项目目标</w:t>
        </w:r>
        <w:r>
          <w:tab/>
        </w:r>
        <w:r>
          <w:fldChar w:fldCharType="begin"/>
        </w:r>
        <w:r>
          <w:instrText xml:space="preserve"> PAGEREF _Toc14885 \h </w:instrText>
        </w:r>
        <w:r>
          <w:fldChar w:fldCharType="separate"/>
        </w:r>
        <w:r>
          <w:t>13</w:t>
        </w:r>
        <w:r>
          <w:fldChar w:fldCharType="end"/>
        </w:r>
      </w:hyperlink>
    </w:p>
    <w:p>
      <w:pPr>
        <w:pStyle w:val="TOC2"/>
        <w:tabs>
          <w:tab w:val="right" w:leader="dot" w:pos="8306"/>
        </w:tabs>
      </w:pPr>
      <w:hyperlink w:anchor="_Toc16283" w:history="1">
        <w:r>
          <w:rPr>
            <w:rFonts w:ascii="仿宋" w:eastAsia="仿宋" w:hAnsi="仿宋" w:cs="仿宋" w:hint="eastAsia"/>
            <w:lang w:eastAsia="zh-CN"/>
          </w:rPr>
          <w:t>(三)、艺术品拍卖项目提出的理由</w:t>
        </w:r>
        <w:r>
          <w:tab/>
        </w:r>
        <w:r>
          <w:fldChar w:fldCharType="begin"/>
        </w:r>
        <w:r>
          <w:instrText xml:space="preserve"> PAGEREF _Toc16283 \h </w:instrText>
        </w:r>
        <w:r>
          <w:fldChar w:fldCharType="separate"/>
        </w:r>
        <w:r>
          <w:t>13</w:t>
        </w:r>
        <w:r>
          <w:fldChar w:fldCharType="end"/>
        </w:r>
      </w:hyperlink>
    </w:p>
    <w:p>
      <w:pPr>
        <w:pStyle w:val="TOC2"/>
        <w:tabs>
          <w:tab w:val="right" w:leader="dot" w:pos="8306"/>
        </w:tabs>
      </w:pPr>
      <w:hyperlink w:anchor="_Toc26504" w:history="1">
        <w:r>
          <w:rPr>
            <w:rFonts w:ascii="仿宋" w:eastAsia="仿宋" w:hAnsi="仿宋" w:cs="仿宋" w:hint="eastAsia"/>
            <w:lang w:eastAsia="zh-CN"/>
          </w:rPr>
          <w:t>(四)、艺术品拍卖项目意义</w:t>
        </w:r>
        <w:r>
          <w:tab/>
        </w:r>
        <w:r>
          <w:fldChar w:fldCharType="begin"/>
        </w:r>
        <w:r>
          <w:instrText xml:space="preserve"> PAGEREF _Toc26504 \h </w:instrText>
        </w:r>
        <w:r>
          <w:fldChar w:fldCharType="separate"/>
        </w:r>
        <w:r>
          <w:t>15</w:t>
        </w:r>
        <w:r>
          <w:fldChar w:fldCharType="end"/>
        </w:r>
      </w:hyperlink>
    </w:p>
    <w:p>
      <w:pPr>
        <w:pStyle w:val="TOC2"/>
        <w:tabs>
          <w:tab w:val="right" w:leader="dot" w:pos="8306"/>
        </w:tabs>
      </w:pPr>
      <w:hyperlink w:anchor="_Toc11077" w:history="1">
        <w:r>
          <w:rPr>
            <w:rFonts w:ascii="仿宋" w:eastAsia="仿宋" w:hAnsi="仿宋" w:cs="仿宋" w:hint="eastAsia"/>
            <w:lang w:eastAsia="zh-CN"/>
          </w:rPr>
          <w:t>(五)、艺术品拍卖项目背景</w:t>
        </w:r>
        <w:r>
          <w:tab/>
        </w:r>
        <w:r>
          <w:fldChar w:fldCharType="begin"/>
        </w:r>
        <w:r>
          <w:instrText xml:space="preserve"> PAGEREF _Toc11077 \h </w:instrText>
        </w:r>
        <w:r>
          <w:fldChar w:fldCharType="separate"/>
        </w:r>
        <w:r>
          <w:t>16</w:t>
        </w:r>
        <w:r>
          <w:fldChar w:fldCharType="end"/>
        </w:r>
      </w:hyperlink>
    </w:p>
    <w:p>
      <w:pPr>
        <w:pStyle w:val="TOC1"/>
        <w:tabs>
          <w:tab w:val="right" w:leader="dot" w:pos="8306"/>
        </w:tabs>
      </w:pPr>
      <w:hyperlink w:anchor="_Toc16432" w:history="1">
        <w:r>
          <w:rPr>
            <w:rFonts w:ascii="仿宋" w:eastAsia="仿宋" w:hAnsi="仿宋" w:cs="仿宋" w:hint="eastAsia"/>
            <w:lang w:eastAsia="zh-CN"/>
          </w:rPr>
          <w:t>五、艺术品拍卖项目土建工程</w:t>
        </w:r>
        <w:r>
          <w:tab/>
        </w:r>
        <w:r>
          <w:fldChar w:fldCharType="begin"/>
        </w:r>
        <w:r>
          <w:instrText xml:space="preserve"> PAGEREF _Toc16432 \h </w:instrText>
        </w:r>
        <w:r>
          <w:fldChar w:fldCharType="separate"/>
        </w:r>
        <w:r>
          <w:t>17</w:t>
        </w:r>
        <w:r>
          <w:fldChar w:fldCharType="end"/>
        </w:r>
      </w:hyperlink>
    </w:p>
    <w:p>
      <w:pPr>
        <w:pStyle w:val="TOC2"/>
        <w:tabs>
          <w:tab w:val="right" w:leader="dot" w:pos="8306"/>
        </w:tabs>
      </w:pPr>
      <w:hyperlink w:anchor="_Toc26875" w:history="1">
        <w:r>
          <w:rPr>
            <w:rFonts w:ascii="仿宋" w:eastAsia="仿宋" w:hAnsi="仿宋" w:cs="仿宋" w:hint="eastAsia"/>
            <w:lang w:eastAsia="zh-CN"/>
          </w:rPr>
          <w:t>(一)、建筑工程设计原则</w:t>
        </w:r>
        <w:r>
          <w:tab/>
        </w:r>
        <w:r>
          <w:fldChar w:fldCharType="begin"/>
        </w:r>
        <w:r>
          <w:instrText xml:space="preserve"> PAGEREF _Toc26875 \h </w:instrText>
        </w:r>
        <w:r>
          <w:fldChar w:fldCharType="separate"/>
        </w:r>
        <w:r>
          <w:t>17</w:t>
        </w:r>
        <w:r>
          <w:fldChar w:fldCharType="end"/>
        </w:r>
      </w:hyperlink>
    </w:p>
    <w:p>
      <w:pPr>
        <w:pStyle w:val="TOC2"/>
        <w:tabs>
          <w:tab w:val="right" w:leader="dot" w:pos="8306"/>
        </w:tabs>
      </w:pPr>
      <w:hyperlink w:anchor="_Toc24612" w:history="1">
        <w:r>
          <w:rPr>
            <w:rFonts w:ascii="仿宋" w:eastAsia="仿宋" w:hAnsi="仿宋" w:cs="仿宋" w:hint="eastAsia"/>
            <w:lang w:eastAsia="zh-CN"/>
          </w:rPr>
          <w:t>(二)、土建工程设计年限及安全等级</w:t>
        </w:r>
        <w:r>
          <w:tab/>
        </w:r>
        <w:r>
          <w:fldChar w:fldCharType="begin"/>
        </w:r>
        <w:r>
          <w:instrText xml:space="preserve"> PAGEREF _Toc24612 \h </w:instrText>
        </w:r>
        <w:r>
          <w:fldChar w:fldCharType="separate"/>
        </w:r>
        <w:r>
          <w:t>18</w:t>
        </w:r>
        <w:r>
          <w:fldChar w:fldCharType="end"/>
        </w:r>
      </w:hyperlink>
    </w:p>
    <w:p>
      <w:pPr>
        <w:pStyle w:val="TOC2"/>
        <w:tabs>
          <w:tab w:val="right" w:leader="dot" w:pos="8306"/>
        </w:tabs>
      </w:pPr>
      <w:hyperlink w:anchor="_Toc28024" w:history="1">
        <w:r>
          <w:rPr>
            <w:rFonts w:ascii="仿宋" w:eastAsia="仿宋" w:hAnsi="仿宋" w:cs="仿宋" w:hint="eastAsia"/>
            <w:lang w:eastAsia="zh-CN"/>
          </w:rPr>
          <w:t>(三)、建筑工程设计总体要求</w:t>
        </w:r>
        <w:r>
          <w:tab/>
        </w:r>
        <w:r>
          <w:fldChar w:fldCharType="begin"/>
        </w:r>
        <w:r>
          <w:instrText xml:space="preserve"> PAGEREF _Toc28024 \h </w:instrText>
        </w:r>
        <w:r>
          <w:fldChar w:fldCharType="separate"/>
        </w:r>
        <w:r>
          <w:t>19</w:t>
        </w:r>
        <w:r>
          <w:fldChar w:fldCharType="end"/>
        </w:r>
      </w:hyperlink>
    </w:p>
    <w:p>
      <w:pPr>
        <w:pStyle w:val="TOC2"/>
        <w:tabs>
          <w:tab w:val="right" w:leader="dot" w:pos="8306"/>
        </w:tabs>
      </w:pPr>
      <w:hyperlink w:anchor="_Toc22210" w:history="1">
        <w:r>
          <w:rPr>
            <w:rFonts w:ascii="仿宋" w:eastAsia="仿宋" w:hAnsi="仿宋" w:cs="仿宋" w:hint="eastAsia"/>
            <w:lang w:eastAsia="zh-CN"/>
          </w:rPr>
          <w:t>(四)、土建工程建设指标</w:t>
        </w:r>
        <w:r>
          <w:tab/>
        </w:r>
        <w:r>
          <w:fldChar w:fldCharType="begin"/>
        </w:r>
        <w:r>
          <w:instrText xml:space="preserve"> PAGEREF _Toc22210 \h </w:instrText>
        </w:r>
        <w:r>
          <w:fldChar w:fldCharType="separate"/>
        </w:r>
        <w:r>
          <w:t>20</w:t>
        </w:r>
        <w:r>
          <w:fldChar w:fldCharType="end"/>
        </w:r>
      </w:hyperlink>
    </w:p>
    <w:p>
      <w:pPr>
        <w:pStyle w:val="TOC1"/>
        <w:tabs>
          <w:tab w:val="right" w:leader="dot" w:pos="8306"/>
        </w:tabs>
      </w:pPr>
      <w:hyperlink w:anchor="_Toc27143" w:history="1">
        <w:r>
          <w:rPr>
            <w:rFonts w:ascii="仿宋" w:eastAsia="仿宋" w:hAnsi="仿宋" w:cs="仿宋" w:hint="eastAsia"/>
            <w:lang w:eastAsia="zh-CN"/>
          </w:rPr>
          <w:t>六、艺术品拍卖项目文档管理</w:t>
        </w:r>
        <w:r>
          <w:tab/>
        </w:r>
        <w:r>
          <w:fldChar w:fldCharType="begin"/>
        </w:r>
        <w:r>
          <w:instrText xml:space="preserve"> PAGEREF _Toc27143 \h </w:instrText>
        </w:r>
        <w:r>
          <w:fldChar w:fldCharType="separate"/>
        </w:r>
        <w:r>
          <w:t>20</w:t>
        </w:r>
        <w:r>
          <w:fldChar w:fldCharType="end"/>
        </w:r>
      </w:hyperlink>
    </w:p>
    <w:p>
      <w:pPr>
        <w:pStyle w:val="TOC2"/>
        <w:tabs>
          <w:tab w:val="right" w:leader="dot" w:pos="8306"/>
        </w:tabs>
      </w:pPr>
      <w:hyperlink w:anchor="_Toc31229" w:history="1">
        <w:r>
          <w:rPr>
            <w:rFonts w:ascii="仿宋" w:eastAsia="仿宋" w:hAnsi="仿宋" w:cs="仿宋" w:hint="eastAsia"/>
            <w:lang w:eastAsia="zh-CN"/>
          </w:rPr>
          <w:t>(一)、文档编制与审查</w:t>
        </w:r>
        <w:r>
          <w:tab/>
        </w:r>
        <w:r>
          <w:fldChar w:fldCharType="begin"/>
        </w:r>
        <w:r>
          <w:instrText xml:space="preserve"> PAGEREF _Toc31229 \h </w:instrText>
        </w:r>
        <w:r>
          <w:fldChar w:fldCharType="separate"/>
        </w:r>
        <w:r>
          <w:t>20</w:t>
        </w:r>
        <w:r>
          <w:fldChar w:fldCharType="end"/>
        </w:r>
      </w:hyperlink>
    </w:p>
    <w:p>
      <w:pPr>
        <w:pStyle w:val="TOC2"/>
        <w:tabs>
          <w:tab w:val="right" w:leader="dot" w:pos="8306"/>
        </w:tabs>
      </w:pPr>
      <w:hyperlink w:anchor="_Toc1854" w:history="1">
        <w:r>
          <w:rPr>
            <w:rFonts w:ascii="仿宋" w:eastAsia="仿宋" w:hAnsi="仿宋" w:cs="仿宋" w:hint="eastAsia"/>
            <w:lang w:eastAsia="zh-CN"/>
          </w:rPr>
          <w:t>(二)、文档发布与分发</w:t>
        </w:r>
        <w:r>
          <w:tab/>
        </w:r>
        <w:r>
          <w:fldChar w:fldCharType="begin"/>
        </w:r>
        <w:r>
          <w:instrText xml:space="preserve"> PAGEREF _Toc1854 \h </w:instrText>
        </w:r>
        <w:r>
          <w:fldChar w:fldCharType="separate"/>
        </w:r>
        <w:r>
          <w:t>21</w:t>
        </w:r>
        <w:r>
          <w:fldChar w:fldCharType="end"/>
        </w:r>
      </w:hyperlink>
    </w:p>
    <w:p>
      <w:pPr>
        <w:pStyle w:val="TOC2"/>
        <w:tabs>
          <w:tab w:val="right" w:leader="dot" w:pos="8306"/>
        </w:tabs>
      </w:pPr>
      <w:hyperlink w:anchor="_Toc6332" w:history="1">
        <w:r>
          <w:rPr>
            <w:rFonts w:ascii="仿宋" w:eastAsia="仿宋" w:hAnsi="仿宋" w:cs="仿宋" w:hint="eastAsia"/>
            <w:lang w:eastAsia="zh-CN"/>
          </w:rPr>
          <w:t>(三)、文档存档与归档</w:t>
        </w:r>
        <w:r>
          <w:tab/>
        </w:r>
        <w:r>
          <w:fldChar w:fldCharType="begin"/>
        </w:r>
        <w:r>
          <w:instrText xml:space="preserve"> PAGEREF _Toc6332 \h </w:instrText>
        </w:r>
        <w:r>
          <w:fldChar w:fldCharType="separate"/>
        </w:r>
        <w:r>
          <w:t>22</w:t>
        </w:r>
        <w:r>
          <w:fldChar w:fldCharType="end"/>
        </w:r>
      </w:hyperlink>
    </w:p>
    <w:p>
      <w:pPr>
        <w:pStyle w:val="TOC1"/>
        <w:tabs>
          <w:tab w:val="right" w:leader="dot" w:pos="8306"/>
        </w:tabs>
      </w:pPr>
      <w:hyperlink w:anchor="_Toc9834" w:history="1">
        <w:r>
          <w:rPr>
            <w:rFonts w:ascii="仿宋" w:eastAsia="仿宋" w:hAnsi="仿宋" w:cs="仿宋" w:hint="eastAsia"/>
            <w:lang w:eastAsia="zh-CN"/>
          </w:rPr>
          <w:t>七、艺术品拍卖项目人力资源管理</w:t>
        </w:r>
        <w:r>
          <w:tab/>
        </w:r>
        <w:r>
          <w:fldChar w:fldCharType="begin"/>
        </w:r>
        <w:r>
          <w:instrText xml:space="preserve"> PAGEREF _Toc9834 \h </w:instrText>
        </w:r>
        <w:r>
          <w:fldChar w:fldCharType="separate"/>
        </w:r>
        <w:r>
          <w:t>24</w:t>
        </w:r>
        <w:r>
          <w:fldChar w:fldCharType="end"/>
        </w:r>
      </w:hyperlink>
    </w:p>
    <w:p>
      <w:pPr>
        <w:pStyle w:val="TOC2"/>
        <w:tabs>
          <w:tab w:val="right" w:leader="dot" w:pos="8306"/>
        </w:tabs>
      </w:pPr>
      <w:hyperlink w:anchor="_Toc11545" w:history="1">
        <w:r>
          <w:rPr>
            <w:rFonts w:ascii="仿宋" w:eastAsia="仿宋" w:hAnsi="仿宋" w:cs="仿宋" w:hint="eastAsia"/>
            <w:lang w:eastAsia="zh-CN"/>
          </w:rPr>
          <w:t>(一)、建立健全的预算管理制度</w:t>
        </w:r>
        <w:r>
          <w:tab/>
        </w:r>
        <w:r>
          <w:fldChar w:fldCharType="begin"/>
        </w:r>
        <w:r>
          <w:instrText xml:space="preserve"> PAGEREF _Toc11545 \h </w:instrText>
        </w:r>
        <w:r>
          <w:fldChar w:fldCharType="separate"/>
        </w:r>
        <w:r>
          <w:t>24</w:t>
        </w:r>
        <w:r>
          <w:fldChar w:fldCharType="end"/>
        </w:r>
      </w:hyperlink>
    </w:p>
    <w:p>
      <w:pPr>
        <w:pStyle w:val="TOC2"/>
        <w:tabs>
          <w:tab w:val="right" w:leader="dot" w:pos="8306"/>
        </w:tabs>
      </w:pPr>
      <w:hyperlink w:anchor="_Toc26451" w:history="1">
        <w:r>
          <w:rPr>
            <w:rFonts w:ascii="仿宋" w:eastAsia="仿宋" w:hAnsi="仿宋" w:cs="仿宋" w:hint="eastAsia"/>
            <w:lang w:eastAsia="zh-CN"/>
          </w:rPr>
          <w:t>(二)、加强资金流动监控</w:t>
        </w:r>
        <w:r>
          <w:tab/>
        </w:r>
        <w:r>
          <w:fldChar w:fldCharType="begin"/>
        </w:r>
        <w:r>
          <w:instrText xml:space="preserve"> PAGEREF _Toc26451 \h </w:instrText>
        </w:r>
        <w:r>
          <w:fldChar w:fldCharType="separate"/>
        </w:r>
        <w:r>
          <w:t>25</w:t>
        </w:r>
        <w:r>
          <w:fldChar w:fldCharType="end"/>
        </w:r>
      </w:hyperlink>
    </w:p>
    <w:p>
      <w:pPr>
        <w:pStyle w:val="TOC2"/>
        <w:tabs>
          <w:tab w:val="right" w:leader="dot" w:pos="8306"/>
        </w:tabs>
      </w:pPr>
      <w:hyperlink w:anchor="_Toc30082" w:history="1">
        <w:r>
          <w:rPr>
            <w:rFonts w:ascii="仿宋" w:eastAsia="仿宋" w:hAnsi="仿宋" w:cs="仿宋" w:hint="eastAsia"/>
            <w:lang w:eastAsia="zh-CN"/>
          </w:rPr>
          <w:t>(三)、制定完善的风险控制机制</w:t>
        </w:r>
        <w:r>
          <w:tab/>
        </w:r>
        <w:r>
          <w:fldChar w:fldCharType="begin"/>
        </w:r>
        <w:r>
          <w:instrText xml:space="preserve"> PAGEREF _Toc30082 \h </w:instrText>
        </w:r>
        <w:r>
          <w:fldChar w:fldCharType="separate"/>
        </w:r>
        <w:r>
          <w:t>26</w:t>
        </w:r>
        <w:r>
          <w:fldChar w:fldCharType="end"/>
        </w:r>
      </w:hyperlink>
    </w:p>
    <w:p>
      <w:pPr>
        <w:pStyle w:val="TOC2"/>
        <w:tabs>
          <w:tab w:val="right" w:leader="dot" w:pos="8306"/>
        </w:tabs>
      </w:pPr>
      <w:hyperlink w:anchor="_Toc23885" w:history="1">
        <w:r>
          <w:rPr>
            <w:rFonts w:ascii="仿宋" w:eastAsia="仿宋" w:hAnsi="仿宋" w:cs="仿宋" w:hint="eastAsia"/>
            <w:lang w:eastAsia="zh-CN"/>
          </w:rPr>
          <w:t>(四)、优化成本管理</w:t>
        </w:r>
        <w:r>
          <w:tab/>
        </w:r>
        <w:r>
          <w:fldChar w:fldCharType="begin"/>
        </w:r>
        <w:r>
          <w:instrText xml:space="preserve"> PAGEREF _Toc23885 \h </w:instrText>
        </w:r>
        <w:r>
          <w:fldChar w:fldCharType="separate"/>
        </w:r>
        <w:r>
          <w:t>28</w:t>
        </w:r>
        <w:r>
          <w:fldChar w:fldCharType="end"/>
        </w:r>
      </w:hyperlink>
    </w:p>
    <w:p>
      <w:pPr>
        <w:pStyle w:val="TOC1"/>
        <w:tabs>
          <w:tab w:val="right" w:leader="dot" w:pos="8306"/>
        </w:tabs>
      </w:pPr>
      <w:hyperlink w:anchor="_Toc21525" w:history="1">
        <w:r>
          <w:rPr>
            <w:rFonts w:ascii="仿宋" w:eastAsia="仿宋" w:hAnsi="仿宋" w:cs="仿宋" w:hint="eastAsia"/>
            <w:lang w:eastAsia="zh-CN"/>
          </w:rPr>
          <w:t>八、艺术品拍卖项目社会影响</w:t>
        </w:r>
        <w:r>
          <w:tab/>
        </w:r>
        <w:r>
          <w:fldChar w:fldCharType="begin"/>
        </w:r>
        <w:r>
          <w:instrText xml:space="preserve"> PAGEREF _Toc21525 \h </w:instrText>
        </w:r>
        <w:r>
          <w:fldChar w:fldCharType="separate"/>
        </w:r>
        <w:r>
          <w:t>29</w:t>
        </w:r>
        <w:r>
          <w:fldChar w:fldCharType="end"/>
        </w:r>
      </w:hyperlink>
    </w:p>
    <w:p>
      <w:pPr>
        <w:pStyle w:val="TOC2"/>
        <w:tabs>
          <w:tab w:val="right" w:leader="dot" w:pos="8306"/>
        </w:tabs>
      </w:pPr>
      <w:hyperlink w:anchor="_Toc30131" w:history="1">
        <w:r>
          <w:rPr>
            <w:rFonts w:ascii="仿宋" w:eastAsia="仿宋" w:hAnsi="仿宋" w:cs="仿宋" w:hint="eastAsia"/>
            <w:lang w:eastAsia="zh-CN"/>
          </w:rPr>
          <w:t>(一)、社会责任与义务</w:t>
        </w:r>
        <w:r>
          <w:tab/>
        </w:r>
        <w:r>
          <w:fldChar w:fldCharType="begin"/>
        </w:r>
        <w:r>
          <w:instrText xml:space="preserve"> PAGEREF _Toc30131 \h </w:instrText>
        </w:r>
        <w:r>
          <w:fldChar w:fldCharType="separate"/>
        </w:r>
        <w:r>
          <w:t>29</w:t>
        </w:r>
        <w:r>
          <w:fldChar w:fldCharType="end"/>
        </w:r>
      </w:hyperlink>
    </w:p>
    <w:p>
      <w:pPr>
        <w:pStyle w:val="TOC2"/>
        <w:tabs>
          <w:tab w:val="right" w:leader="dot" w:pos="8306"/>
        </w:tabs>
      </w:pPr>
      <w:hyperlink w:anchor="_Toc3500" w:history="1">
        <w:r>
          <w:rPr>
            <w:rFonts w:ascii="仿宋" w:eastAsia="仿宋" w:hAnsi="仿宋" w:cs="仿宋" w:hint="eastAsia"/>
            <w:lang w:eastAsia="zh-CN"/>
          </w:rPr>
          <w:t>(二)、社会参与与沟通</w:t>
        </w:r>
        <w:r>
          <w:tab/>
        </w:r>
        <w:r>
          <w:fldChar w:fldCharType="begin"/>
        </w:r>
        <w:r>
          <w:instrText xml:space="preserve"> PAGEREF _Toc3500 \h </w:instrText>
        </w:r>
        <w:r>
          <w:fldChar w:fldCharType="separate"/>
        </w:r>
        <w:r>
          <w:t>30</w:t>
        </w:r>
        <w:r>
          <w:fldChar w:fldCharType="end"/>
        </w:r>
      </w:hyperlink>
    </w:p>
    <w:p>
      <w:pPr>
        <w:pStyle w:val="TOC1"/>
        <w:tabs>
          <w:tab w:val="right" w:leader="dot" w:pos="8306"/>
        </w:tabs>
      </w:pPr>
      <w:hyperlink w:anchor="_Toc25396" w:history="1">
        <w:r>
          <w:rPr>
            <w:rFonts w:ascii="仿宋" w:eastAsia="仿宋" w:hAnsi="仿宋" w:cs="仿宋" w:hint="eastAsia"/>
            <w:lang w:eastAsia="zh-CN"/>
          </w:rPr>
          <w:t>九、艺术品拍卖项目计划安排</w:t>
        </w:r>
        <w:r>
          <w:tab/>
        </w:r>
        <w:r>
          <w:fldChar w:fldCharType="begin"/>
        </w:r>
        <w:r>
          <w:instrText xml:space="preserve"> PAGEREF _Toc25396 \h </w:instrText>
        </w:r>
        <w:r>
          <w:fldChar w:fldCharType="separate"/>
        </w:r>
        <w:r>
          <w:t>31</w:t>
        </w:r>
        <w:r>
          <w:fldChar w:fldCharType="end"/>
        </w:r>
      </w:hyperlink>
    </w:p>
    <w:p>
      <w:pPr>
        <w:pStyle w:val="TOC2"/>
        <w:tabs>
          <w:tab w:val="right" w:leader="dot" w:pos="8306"/>
        </w:tabs>
      </w:pPr>
      <w:hyperlink w:anchor="_Toc3700" w:history="1">
        <w:r>
          <w:rPr>
            <w:rFonts w:ascii="仿宋" w:eastAsia="仿宋" w:hAnsi="仿宋" w:cs="仿宋" w:hint="eastAsia"/>
            <w:lang w:eastAsia="zh-CN"/>
          </w:rPr>
          <w:t>(一)、建设周期</w:t>
        </w:r>
        <w:r>
          <w:tab/>
        </w:r>
        <w:r>
          <w:fldChar w:fldCharType="begin"/>
        </w:r>
        <w:r>
          <w:instrText xml:space="preserve"> PAGEREF _Toc3700 \h </w:instrText>
        </w:r>
        <w:r>
          <w:fldChar w:fldCharType="separate"/>
        </w:r>
        <w:r>
          <w:t>31</w:t>
        </w:r>
        <w:r>
          <w:fldChar w:fldCharType="end"/>
        </w:r>
      </w:hyperlink>
    </w:p>
    <w:p>
      <w:pPr>
        <w:pStyle w:val="TOC2"/>
        <w:tabs>
          <w:tab w:val="right" w:leader="dot" w:pos="8306"/>
        </w:tabs>
      </w:pPr>
      <w:hyperlink w:anchor="_Toc15521" w:history="1">
        <w:r>
          <w:rPr>
            <w:rFonts w:ascii="仿宋" w:eastAsia="仿宋" w:hAnsi="仿宋" w:cs="仿宋" w:hint="eastAsia"/>
            <w:lang w:eastAsia="zh-CN"/>
          </w:rPr>
          <w:t>(二)、建设进度</w:t>
        </w:r>
        <w:r>
          <w:tab/>
        </w:r>
        <w:r>
          <w:fldChar w:fldCharType="begin"/>
        </w:r>
        <w:r>
          <w:instrText xml:space="preserve"> PAGEREF _Toc15521 \h </w:instrText>
        </w:r>
        <w:r>
          <w:fldChar w:fldCharType="separate"/>
        </w:r>
        <w:r>
          <w:t>32</w:t>
        </w:r>
        <w:r>
          <w:fldChar w:fldCharType="end"/>
        </w:r>
      </w:hyperlink>
    </w:p>
    <w:p>
      <w:pPr>
        <w:pStyle w:val="TOC2"/>
        <w:tabs>
          <w:tab w:val="right" w:leader="dot" w:pos="8306"/>
        </w:tabs>
      </w:pPr>
      <w:hyperlink w:anchor="_Toc18431" w:history="1">
        <w:r>
          <w:rPr>
            <w:rFonts w:ascii="仿宋" w:eastAsia="仿宋" w:hAnsi="仿宋" w:cs="仿宋" w:hint="eastAsia"/>
            <w:lang w:eastAsia="zh-CN"/>
          </w:rPr>
          <w:t>(三)、进度安排注意事项</w:t>
        </w:r>
        <w:r>
          <w:tab/>
        </w:r>
        <w:r>
          <w:fldChar w:fldCharType="begin"/>
        </w:r>
        <w:r>
          <w:instrText xml:space="preserve"> PAGEREF _Toc18431 \h </w:instrText>
        </w:r>
        <w:r>
          <w:fldChar w:fldCharType="separate"/>
        </w:r>
        <w:r>
          <w:t>32</w:t>
        </w:r>
        <w:r>
          <w:fldChar w:fldCharType="end"/>
        </w:r>
      </w:hyperlink>
    </w:p>
    <w:p>
      <w:pPr>
        <w:pStyle w:val="TOC2"/>
        <w:tabs>
          <w:tab w:val="right" w:leader="dot" w:pos="8306"/>
        </w:tabs>
      </w:pPr>
      <w:hyperlink w:anchor="_Toc13090" w:history="1">
        <w:r>
          <w:rPr>
            <w:rFonts w:ascii="仿宋" w:eastAsia="仿宋" w:hAnsi="仿宋" w:cs="仿宋" w:hint="eastAsia"/>
            <w:lang w:eastAsia="zh-CN"/>
          </w:rPr>
          <w:t>(四)、人力资源配置</w:t>
        </w:r>
        <w:r>
          <w:tab/>
        </w:r>
        <w:r>
          <w:fldChar w:fldCharType="begin"/>
        </w:r>
        <w:r>
          <w:instrText xml:space="preserve"> PAGEREF _Toc13090 \h </w:instrText>
        </w:r>
        <w:r>
          <w:fldChar w:fldCharType="separate"/>
        </w:r>
        <w:r>
          <w:t>34</w:t>
        </w:r>
        <w:r>
          <w:fldChar w:fldCharType="end"/>
        </w:r>
      </w:hyperlink>
    </w:p>
    <w:p>
      <w:pPr>
        <w:pStyle w:val="TOC1"/>
        <w:tabs>
          <w:tab w:val="right" w:leader="dot" w:pos="8306"/>
        </w:tabs>
      </w:pPr>
      <w:hyperlink w:anchor="_Toc7478" w:history="1">
        <w:r>
          <w:rPr>
            <w:rFonts w:ascii="仿宋" w:eastAsia="仿宋" w:hAnsi="仿宋" w:cs="仿宋" w:hint="eastAsia"/>
            <w:lang w:eastAsia="zh-CN"/>
          </w:rPr>
          <w:t>十、艺术品拍卖项目创新与研发</w:t>
        </w:r>
        <w:r>
          <w:tab/>
        </w:r>
        <w:r>
          <w:fldChar w:fldCharType="begin"/>
        </w:r>
        <w:r>
          <w:instrText xml:space="preserve"> PAGEREF _Toc7478 \h </w:instrText>
        </w:r>
        <w:r>
          <w:fldChar w:fldCharType="separate"/>
        </w:r>
        <w:r>
          <w:t>35</w:t>
        </w:r>
        <w:r>
          <w:fldChar w:fldCharType="end"/>
        </w:r>
      </w:hyperlink>
    </w:p>
    <w:p>
      <w:pPr>
        <w:pStyle w:val="TOC2"/>
        <w:tabs>
          <w:tab w:val="right" w:leader="dot" w:pos="8306"/>
        </w:tabs>
      </w:pPr>
      <w:hyperlink w:anchor="_Toc8942" w:history="1">
        <w:r>
          <w:rPr>
            <w:rFonts w:ascii="仿宋" w:eastAsia="仿宋" w:hAnsi="仿宋" w:cs="仿宋" w:hint="eastAsia"/>
            <w:lang w:eastAsia="zh-CN"/>
          </w:rPr>
          <w:t>(一)、创新策略与方向</w:t>
        </w:r>
        <w:r>
          <w:tab/>
        </w:r>
        <w:r>
          <w:fldChar w:fldCharType="begin"/>
        </w:r>
        <w:r>
          <w:instrText xml:space="preserve"> PAGEREF _Toc8942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955" w:history="1">
        <w:r>
          <w:rPr>
            <w:rFonts w:ascii="仿宋" w:eastAsia="仿宋" w:hAnsi="仿宋" w:cs="仿宋" w:hint="eastAsia"/>
            <w:lang w:eastAsia="zh-CN"/>
          </w:rPr>
          <w:t>(二)、研发规划与投入</w:t>
        </w:r>
        <w:r>
          <w:tab/>
        </w:r>
        <w:r>
          <w:fldChar w:fldCharType="begin"/>
        </w:r>
        <w:r>
          <w:instrText xml:space="preserve"> PAGEREF _Toc12955 \h </w:instrText>
        </w:r>
        <w:r>
          <w:fldChar w:fldCharType="separate"/>
        </w:r>
        <w:r>
          <w:t>36</w:t>
        </w:r>
        <w:r>
          <w:fldChar w:fldCharType="end"/>
        </w:r>
      </w:hyperlink>
    </w:p>
    <w:p>
      <w:pPr>
        <w:pStyle w:val="TOC1"/>
        <w:tabs>
          <w:tab w:val="right" w:leader="dot" w:pos="8306"/>
        </w:tabs>
      </w:pPr>
      <w:hyperlink w:anchor="_Toc6916" w:history="1">
        <w:r>
          <w:rPr>
            <w:rFonts w:ascii="仿宋" w:eastAsia="仿宋" w:hAnsi="仿宋" w:cs="仿宋" w:hint="eastAsia"/>
            <w:lang w:eastAsia="zh-CN"/>
          </w:rPr>
          <w:t>十一、艺术品拍卖项目经营效益</w:t>
        </w:r>
        <w:r>
          <w:tab/>
        </w:r>
        <w:r>
          <w:fldChar w:fldCharType="begin"/>
        </w:r>
        <w:r>
          <w:instrText xml:space="preserve"> PAGEREF _Toc6916 \h </w:instrText>
        </w:r>
        <w:r>
          <w:fldChar w:fldCharType="separate"/>
        </w:r>
        <w:r>
          <w:t>38</w:t>
        </w:r>
        <w:r>
          <w:fldChar w:fldCharType="end"/>
        </w:r>
      </w:hyperlink>
    </w:p>
    <w:p>
      <w:pPr>
        <w:pStyle w:val="TOC2"/>
        <w:tabs>
          <w:tab w:val="right" w:leader="dot" w:pos="8306"/>
        </w:tabs>
      </w:pPr>
      <w:hyperlink w:anchor="_Toc28076" w:history="1">
        <w:r>
          <w:rPr>
            <w:rFonts w:ascii="仿宋" w:eastAsia="仿宋" w:hAnsi="仿宋" w:cs="仿宋" w:hint="eastAsia"/>
            <w:lang w:eastAsia="zh-CN"/>
          </w:rPr>
          <w:t>(一)、经济评价财务测算</w:t>
        </w:r>
        <w:r>
          <w:tab/>
        </w:r>
        <w:r>
          <w:fldChar w:fldCharType="begin"/>
        </w:r>
        <w:r>
          <w:instrText xml:space="preserve"> PAGEREF _Toc28076 \h </w:instrText>
        </w:r>
        <w:r>
          <w:fldChar w:fldCharType="separate"/>
        </w:r>
        <w:r>
          <w:t>38</w:t>
        </w:r>
        <w:r>
          <w:fldChar w:fldCharType="end"/>
        </w:r>
      </w:hyperlink>
    </w:p>
    <w:p>
      <w:pPr>
        <w:pStyle w:val="TOC2"/>
        <w:tabs>
          <w:tab w:val="right" w:leader="dot" w:pos="8306"/>
        </w:tabs>
      </w:pPr>
      <w:hyperlink w:anchor="_Toc7032" w:history="1">
        <w:r>
          <w:rPr>
            <w:rFonts w:ascii="仿宋" w:eastAsia="仿宋" w:hAnsi="仿宋" w:cs="仿宋" w:hint="eastAsia"/>
            <w:lang w:eastAsia="zh-CN"/>
          </w:rPr>
          <w:t>(二)、艺术品拍卖项目盈利能力分析</w:t>
        </w:r>
        <w:r>
          <w:tab/>
        </w:r>
        <w:r>
          <w:fldChar w:fldCharType="begin"/>
        </w:r>
        <w:r>
          <w:instrText xml:space="preserve"> PAGEREF _Toc7032 \h </w:instrText>
        </w:r>
        <w:r>
          <w:fldChar w:fldCharType="separate"/>
        </w:r>
        <w:r>
          <w:t>39</w:t>
        </w:r>
        <w:r>
          <w:fldChar w:fldCharType="end"/>
        </w:r>
      </w:hyperlink>
    </w:p>
    <w:p>
      <w:pPr>
        <w:pStyle w:val="TOC1"/>
        <w:tabs>
          <w:tab w:val="right" w:leader="dot" w:pos="8306"/>
        </w:tabs>
      </w:pPr>
      <w:hyperlink w:anchor="_Toc1141" w:history="1">
        <w:r>
          <w:rPr>
            <w:rFonts w:ascii="仿宋" w:eastAsia="仿宋" w:hAnsi="仿宋" w:cs="仿宋" w:hint="eastAsia"/>
            <w:lang w:eastAsia="zh-CN"/>
          </w:rPr>
          <w:t>十二、艺术品拍卖项目技术管理</w:t>
        </w:r>
        <w:r>
          <w:tab/>
        </w:r>
        <w:r>
          <w:fldChar w:fldCharType="begin"/>
        </w:r>
        <w:r>
          <w:instrText xml:space="preserve"> PAGEREF _Toc1141 \h </w:instrText>
        </w:r>
        <w:r>
          <w:fldChar w:fldCharType="separate"/>
        </w:r>
        <w:r>
          <w:t>40</w:t>
        </w:r>
        <w:r>
          <w:fldChar w:fldCharType="end"/>
        </w:r>
      </w:hyperlink>
    </w:p>
    <w:p>
      <w:pPr>
        <w:pStyle w:val="TOC2"/>
        <w:tabs>
          <w:tab w:val="right" w:leader="dot" w:pos="8306"/>
        </w:tabs>
      </w:pPr>
      <w:hyperlink w:anchor="_Toc1868" w:history="1">
        <w:r>
          <w:rPr>
            <w:rFonts w:ascii="仿宋" w:eastAsia="仿宋" w:hAnsi="仿宋" w:cs="仿宋" w:hint="eastAsia"/>
            <w:lang w:eastAsia="zh-CN"/>
          </w:rPr>
          <w:t>(一)、技术方案选用方向</w:t>
        </w:r>
        <w:r>
          <w:tab/>
        </w:r>
        <w:r>
          <w:fldChar w:fldCharType="begin"/>
        </w:r>
        <w:r>
          <w:instrText xml:space="preserve"> PAGEREF _Toc1868 \h </w:instrText>
        </w:r>
        <w:r>
          <w:fldChar w:fldCharType="separate"/>
        </w:r>
        <w:r>
          <w:t>40</w:t>
        </w:r>
        <w:r>
          <w:fldChar w:fldCharType="end"/>
        </w:r>
      </w:hyperlink>
    </w:p>
    <w:p>
      <w:pPr>
        <w:pStyle w:val="TOC2"/>
        <w:tabs>
          <w:tab w:val="right" w:leader="dot" w:pos="8306"/>
        </w:tabs>
      </w:pPr>
      <w:hyperlink w:anchor="_Toc18060" w:history="1">
        <w:r>
          <w:rPr>
            <w:rFonts w:ascii="仿宋" w:eastAsia="仿宋" w:hAnsi="仿宋" w:cs="仿宋" w:hint="eastAsia"/>
            <w:lang w:eastAsia="zh-CN"/>
          </w:rPr>
          <w:t>(二)、工艺技术方案选用原则</w:t>
        </w:r>
        <w:r>
          <w:tab/>
        </w:r>
        <w:r>
          <w:fldChar w:fldCharType="begin"/>
        </w:r>
        <w:r>
          <w:instrText xml:space="preserve"> PAGEREF _Toc18060 \h </w:instrText>
        </w:r>
        <w:r>
          <w:fldChar w:fldCharType="separate"/>
        </w:r>
        <w:r>
          <w:t>42</w:t>
        </w:r>
        <w:r>
          <w:fldChar w:fldCharType="end"/>
        </w:r>
      </w:hyperlink>
    </w:p>
    <w:p>
      <w:pPr>
        <w:pStyle w:val="TOC2"/>
        <w:tabs>
          <w:tab w:val="right" w:leader="dot" w:pos="8306"/>
        </w:tabs>
      </w:pPr>
      <w:hyperlink w:anchor="_Toc28145" w:history="1">
        <w:r>
          <w:rPr>
            <w:rFonts w:ascii="仿宋" w:eastAsia="仿宋" w:hAnsi="仿宋" w:cs="仿宋" w:hint="eastAsia"/>
            <w:lang w:eastAsia="zh-CN"/>
          </w:rPr>
          <w:t>(三)、工艺技术方案要求</w:t>
        </w:r>
        <w:r>
          <w:tab/>
        </w:r>
        <w:r>
          <w:fldChar w:fldCharType="begin"/>
        </w:r>
        <w:r>
          <w:instrText xml:space="preserve"> PAGEREF _Toc28145 \h </w:instrText>
        </w:r>
        <w:r>
          <w:fldChar w:fldCharType="separate"/>
        </w:r>
        <w:r>
          <w:t>44</w:t>
        </w:r>
        <w:r>
          <w:fldChar w:fldCharType="end"/>
        </w:r>
      </w:hyperlink>
    </w:p>
    <w:p>
      <w:pPr>
        <w:pStyle w:val="TOC1"/>
        <w:tabs>
          <w:tab w:val="right" w:leader="dot" w:pos="8306"/>
        </w:tabs>
      </w:pPr>
      <w:hyperlink w:anchor="_Toc21256" w:history="1">
        <w:r>
          <w:rPr>
            <w:rFonts w:ascii="仿宋" w:eastAsia="仿宋" w:hAnsi="仿宋" w:cs="仿宋" w:hint="eastAsia"/>
            <w:lang w:eastAsia="zh-CN"/>
          </w:rPr>
          <w:t>十三、风险识别与分类</w:t>
        </w:r>
        <w:r>
          <w:tab/>
        </w:r>
        <w:r>
          <w:fldChar w:fldCharType="begin"/>
        </w:r>
        <w:r>
          <w:instrText xml:space="preserve"> PAGEREF _Toc21256 \h </w:instrText>
        </w:r>
        <w:r>
          <w:fldChar w:fldCharType="separate"/>
        </w:r>
        <w:r>
          <w:t>46</w:t>
        </w:r>
        <w:r>
          <w:fldChar w:fldCharType="end"/>
        </w:r>
      </w:hyperlink>
    </w:p>
    <w:p>
      <w:pPr>
        <w:pStyle w:val="TOC2"/>
        <w:tabs>
          <w:tab w:val="right" w:leader="dot" w:pos="8306"/>
        </w:tabs>
      </w:pPr>
      <w:hyperlink w:anchor="_Toc12765" w:history="1">
        <w:r>
          <w:rPr>
            <w:rFonts w:ascii="仿宋" w:eastAsia="仿宋" w:hAnsi="仿宋" w:cs="仿宋" w:hint="eastAsia"/>
            <w:lang w:eastAsia="zh-CN"/>
          </w:rPr>
          <w:t>(一)、风险识别</w:t>
        </w:r>
        <w:r>
          <w:tab/>
        </w:r>
        <w:r>
          <w:fldChar w:fldCharType="begin"/>
        </w:r>
        <w:r>
          <w:instrText xml:space="preserve"> PAGEREF _Toc12765 \h </w:instrText>
        </w:r>
        <w:r>
          <w:fldChar w:fldCharType="separate"/>
        </w:r>
        <w:r>
          <w:t>46</w:t>
        </w:r>
        <w:r>
          <w:fldChar w:fldCharType="end"/>
        </w:r>
      </w:hyperlink>
    </w:p>
    <w:p>
      <w:pPr>
        <w:pStyle w:val="TOC2"/>
        <w:tabs>
          <w:tab w:val="right" w:leader="dot" w:pos="8306"/>
        </w:tabs>
      </w:pPr>
      <w:hyperlink w:anchor="_Toc19265" w:history="1">
        <w:r>
          <w:rPr>
            <w:rFonts w:ascii="仿宋" w:eastAsia="仿宋" w:hAnsi="仿宋" w:cs="仿宋" w:hint="eastAsia"/>
            <w:lang w:eastAsia="zh-CN"/>
          </w:rPr>
          <w:t>(二)、风险分类</w:t>
        </w:r>
        <w:r>
          <w:tab/>
        </w:r>
        <w:r>
          <w:fldChar w:fldCharType="begin"/>
        </w:r>
        <w:r>
          <w:instrText xml:space="preserve"> PAGEREF _Toc19265 \h </w:instrText>
        </w:r>
        <w:r>
          <w:fldChar w:fldCharType="separate"/>
        </w:r>
        <w:r>
          <w:t>47</w:t>
        </w:r>
        <w:r>
          <w:fldChar w:fldCharType="end"/>
        </w:r>
      </w:hyperlink>
    </w:p>
    <w:p>
      <w:pPr>
        <w:pStyle w:val="TOC1"/>
        <w:tabs>
          <w:tab w:val="right" w:leader="dot" w:pos="8306"/>
        </w:tabs>
      </w:pPr>
      <w:hyperlink w:anchor="_Toc31970" w:history="1">
        <w:r>
          <w:rPr>
            <w:rFonts w:ascii="仿宋" w:eastAsia="仿宋" w:hAnsi="仿宋" w:cs="仿宋" w:hint="eastAsia"/>
            <w:lang w:eastAsia="zh-CN"/>
          </w:rPr>
          <w:t>十四、艺术品拍卖项目治理与监督</w:t>
        </w:r>
        <w:r>
          <w:tab/>
        </w:r>
        <w:r>
          <w:fldChar w:fldCharType="begin"/>
        </w:r>
        <w:r>
          <w:instrText xml:space="preserve"> PAGEREF _Toc31970 \h </w:instrText>
        </w:r>
        <w:r>
          <w:fldChar w:fldCharType="separate"/>
        </w:r>
        <w:r>
          <w:t>49</w:t>
        </w:r>
        <w:r>
          <w:fldChar w:fldCharType="end"/>
        </w:r>
      </w:hyperlink>
    </w:p>
    <w:p>
      <w:pPr>
        <w:pStyle w:val="TOC2"/>
        <w:tabs>
          <w:tab w:val="right" w:leader="dot" w:pos="8306"/>
        </w:tabs>
      </w:pPr>
      <w:hyperlink w:anchor="_Toc20552" w:history="1">
        <w:r>
          <w:rPr>
            <w:rFonts w:ascii="仿宋" w:eastAsia="仿宋" w:hAnsi="仿宋" w:cs="仿宋" w:hint="eastAsia"/>
            <w:lang w:eastAsia="zh-CN"/>
          </w:rPr>
          <w:t>(一)、艺术品拍卖项目治理结构</w:t>
        </w:r>
        <w:r>
          <w:tab/>
        </w:r>
        <w:r>
          <w:fldChar w:fldCharType="begin"/>
        </w:r>
        <w:r>
          <w:instrText xml:space="preserve"> PAGEREF _Toc20552 \h </w:instrText>
        </w:r>
        <w:r>
          <w:fldChar w:fldCharType="separate"/>
        </w:r>
        <w:r>
          <w:t>49</w:t>
        </w:r>
        <w:r>
          <w:fldChar w:fldCharType="end"/>
        </w:r>
      </w:hyperlink>
    </w:p>
    <w:p>
      <w:pPr>
        <w:pStyle w:val="TOC2"/>
        <w:tabs>
          <w:tab w:val="right" w:leader="dot" w:pos="8306"/>
        </w:tabs>
      </w:pPr>
      <w:hyperlink w:anchor="_Toc14375" w:history="1">
        <w:r>
          <w:rPr>
            <w:rFonts w:ascii="仿宋" w:eastAsia="仿宋" w:hAnsi="仿宋" w:cs="仿宋" w:hint="eastAsia"/>
            <w:lang w:eastAsia="zh-CN"/>
          </w:rPr>
          <w:t>(二)、监督与审计</w:t>
        </w:r>
        <w:r>
          <w:tab/>
        </w:r>
        <w:r>
          <w:fldChar w:fldCharType="begin"/>
        </w:r>
        <w:r>
          <w:instrText xml:space="preserve"> PAGEREF _Toc14375 \h </w:instrText>
        </w:r>
        <w:r>
          <w:fldChar w:fldCharType="separate"/>
        </w:r>
        <w:r>
          <w:t>51</w:t>
        </w:r>
        <w:r>
          <w:fldChar w:fldCharType="end"/>
        </w:r>
      </w:hyperlink>
    </w:p>
    <w:p>
      <w:pPr>
        <w:pStyle w:val="TOC1"/>
        <w:tabs>
          <w:tab w:val="right" w:leader="dot" w:pos="8306"/>
        </w:tabs>
      </w:pPr>
      <w:hyperlink w:anchor="_Toc18820" w:history="1">
        <w:r>
          <w:rPr>
            <w:rFonts w:ascii="仿宋" w:eastAsia="仿宋" w:hAnsi="仿宋" w:cs="仿宋" w:hint="eastAsia"/>
            <w:lang w:eastAsia="zh-CN"/>
          </w:rPr>
          <w:t>十五、艺术品拍卖项目实施保障措施</w:t>
        </w:r>
        <w:r>
          <w:tab/>
        </w:r>
        <w:r>
          <w:fldChar w:fldCharType="begin"/>
        </w:r>
        <w:r>
          <w:instrText xml:space="preserve"> PAGEREF _Toc18820 \h </w:instrText>
        </w:r>
        <w:r>
          <w:fldChar w:fldCharType="separate"/>
        </w:r>
        <w:r>
          <w:t>52</w:t>
        </w:r>
        <w:r>
          <w:fldChar w:fldCharType="end"/>
        </w:r>
      </w:hyperlink>
    </w:p>
    <w:p>
      <w:pPr>
        <w:pStyle w:val="TOC2"/>
        <w:tabs>
          <w:tab w:val="right" w:leader="dot" w:pos="8306"/>
        </w:tabs>
      </w:pPr>
      <w:hyperlink w:anchor="_Toc11503" w:history="1">
        <w:r>
          <w:rPr>
            <w:rFonts w:ascii="仿宋" w:eastAsia="仿宋" w:hAnsi="仿宋" w:cs="仿宋" w:hint="eastAsia"/>
            <w:lang w:eastAsia="zh-CN"/>
          </w:rPr>
          <w:t>(一)、艺术品拍卖项目实施保障机制</w:t>
        </w:r>
        <w:r>
          <w:tab/>
        </w:r>
        <w:r>
          <w:fldChar w:fldCharType="begin"/>
        </w:r>
        <w:r>
          <w:instrText xml:space="preserve"> PAGEREF _Toc11503 \h </w:instrText>
        </w:r>
        <w:r>
          <w:fldChar w:fldCharType="separate"/>
        </w:r>
        <w:r>
          <w:t>52</w:t>
        </w:r>
        <w:r>
          <w:fldChar w:fldCharType="end"/>
        </w:r>
      </w:hyperlink>
    </w:p>
    <w:p>
      <w:pPr>
        <w:pStyle w:val="TOC2"/>
        <w:tabs>
          <w:tab w:val="right" w:leader="dot" w:pos="8306"/>
        </w:tabs>
      </w:pPr>
      <w:hyperlink w:anchor="_Toc9432" w:history="1">
        <w:r>
          <w:rPr>
            <w:rFonts w:ascii="仿宋" w:eastAsia="仿宋" w:hAnsi="仿宋" w:cs="仿宋" w:hint="eastAsia"/>
            <w:lang w:eastAsia="zh-CN"/>
          </w:rPr>
          <w:t>(二)、艺术品拍卖项目法律合规要求</w:t>
        </w:r>
        <w:r>
          <w:tab/>
        </w:r>
        <w:r>
          <w:fldChar w:fldCharType="begin"/>
        </w:r>
        <w:r>
          <w:instrText xml:space="preserve"> PAGEREF _Toc9432 \h </w:instrText>
        </w:r>
        <w:r>
          <w:fldChar w:fldCharType="separate"/>
        </w:r>
        <w:r>
          <w:t>56</w:t>
        </w:r>
        <w:r>
          <w:fldChar w:fldCharType="end"/>
        </w:r>
      </w:hyperlink>
    </w:p>
    <w:p>
      <w:pPr>
        <w:pStyle w:val="TOC2"/>
        <w:tabs>
          <w:tab w:val="right" w:leader="dot" w:pos="8306"/>
        </w:tabs>
      </w:pPr>
      <w:hyperlink w:anchor="_Toc23699" w:history="1">
        <w:r>
          <w:rPr>
            <w:rFonts w:ascii="仿宋" w:eastAsia="仿宋" w:hAnsi="仿宋" w:cs="仿宋" w:hint="eastAsia"/>
            <w:lang w:eastAsia="zh-CN"/>
          </w:rPr>
          <w:t>(三)、艺术品拍卖项目合同管理与法律事务</w:t>
        </w:r>
        <w:r>
          <w:tab/>
        </w:r>
        <w:r>
          <w:fldChar w:fldCharType="begin"/>
        </w:r>
        <w:r>
          <w:instrText xml:space="preserve"> PAGEREF _Toc23699 \h </w:instrText>
        </w:r>
        <w:r>
          <w:fldChar w:fldCharType="separate"/>
        </w:r>
        <w:r>
          <w:t>60</w:t>
        </w:r>
        <w:r>
          <w:fldChar w:fldCharType="end"/>
        </w:r>
      </w:hyperlink>
    </w:p>
    <w:p>
      <w:pPr>
        <w:pStyle w:val="TOC2"/>
        <w:tabs>
          <w:tab w:val="right" w:leader="dot" w:pos="8306"/>
        </w:tabs>
      </w:pPr>
      <w:hyperlink w:anchor="_Toc1328" w:history="1">
        <w:r>
          <w:rPr>
            <w:rFonts w:ascii="仿宋" w:eastAsia="仿宋" w:hAnsi="仿宋" w:cs="仿宋" w:hint="eastAsia"/>
            <w:lang w:eastAsia="zh-CN"/>
          </w:rPr>
          <w:t>(四)、艺术品拍卖项目知识产权保护策略</w:t>
        </w:r>
        <w:r>
          <w:tab/>
        </w:r>
        <w:r>
          <w:fldChar w:fldCharType="begin"/>
        </w:r>
        <w:r>
          <w:instrText xml:space="preserve"> PAGEREF _Toc1328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9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8230"/>
      <w:r>
        <w:rPr>
          <w:rFonts w:ascii="仿宋" w:eastAsia="仿宋" w:hAnsi="仿宋" w:cs="仿宋" w:hint="eastAsia"/>
          <w:sz w:val="28"/>
          <w:lang w:eastAsia="zh-CN"/>
        </w:rPr>
        <w:t>一、艺术品拍卖项目绩效评估</w:t>
      </w:r>
      <w:bookmarkEnd w:id="2"/>
    </w:p>
    <w:p>
      <w:pPr>
        <w:pStyle w:val="Heading2"/>
        <w:rPr>
          <w:rFonts w:ascii="仿宋" w:eastAsia="仿宋" w:hAnsi="仿宋" w:cs="仿宋" w:hint="eastAsia"/>
          <w:lang w:eastAsia="zh-CN"/>
        </w:rPr>
      </w:pPr>
      <w:bookmarkStart w:id="3" w:name="_Toc17435"/>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艺术品拍卖项目中，我们设计了一套全面的绩效评估指标，以确保艺术品拍卖项目的可控和成功交付。这些指标跨足艺术品拍卖项目目标、成本、进度和质量等多个维度，为我们提供了全面洞察艺术品拍卖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艺术品拍卖项目目标达成率是我们关注的首要指标。我们设定了明确的目标，并通过定期监测和评估，迅速发现并应对潜在的目标偏差。这为艺术品拍卖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成本绩效是另一个核心关注点。通过实际成本与预算成本的对比分析，我们深入了解成本差异的原因，及时调整资源分配，保持艺术品拍卖项目在经济效益方面的合理水平。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艺术品拍卖项目进度作为关键的绩效指标之一，得到了精心的关注。我们制定了详细的艺术品拍卖项目进度计划，并设立了进度符合度指标，确保实际进度与计划进度保持一致。这使我们能够快速发现和解决潜在的进度问题，保持艺术品拍卖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艺术品拍卖项目绩效的不可或缺的一环。我们引入了一系列的质量标准和客户满意度指标，以确保艺术品拍卖项目交付的成果在质量上达到或超越预期水平。通过持续监测这些指标，我们努力提升艺术品拍卖项目整体质量水平，为艺术品拍卖项目的成功交付提供有力保障。通过这些科学且全面的绩效评估，我们能够更好地引导艺术品拍卖项目的持续改进，确保艺术品拍卖项目目标的顺利达成。</w:t>
      </w:r>
    </w:p>
    <w:p>
      <w:pPr>
        <w:pStyle w:val="Heading2"/>
        <w:ind w:firstLine="560" w:firstLineChars="200"/>
        <w:rPr>
          <w:rFonts w:ascii="仿宋" w:eastAsia="仿宋" w:hAnsi="仿宋" w:cs="仿宋" w:hint="eastAsia"/>
          <w:sz w:val="28"/>
          <w:lang w:eastAsia="zh-CN"/>
        </w:rPr>
      </w:pPr>
      <w:bookmarkStart w:id="4" w:name="_Toc6558"/>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绩效评估是艺术品拍卖项目中的关键环节，为确保艺术品拍卖项目达到预期目标，我们采用了多层次、多维度的绩效评估方法。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艺术品拍卖项目的战略目标对齐，确保每个决策和行动都与艺术品拍卖项目整体目标保持一致。团队会定期召开战略对齐会议，审视当前工作与艺术品拍卖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艺术品拍卖项目进度、质量、成本和风险等方面。这些指标通过数据收集和分析，为艺术品拍卖项目管理团队提供了客观的评估依据。例如，我们通过艺术品拍卖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绩效评估不仅仅停留在艺术品拍卖项目内部，还考虑了艺术品拍卖项目对外部环境的影响。我们定期进行干系人满意度调查，以了解各利益相关方对艺术品拍卖项目的期望和满意度，并及时做出调整。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这种多层次、多角度的绩效评估方法，使得我们能够全面了解艺术品拍卖项目的运行状态，及时做出调整，确保艺术品拍卖项目在不断变化的环境中保持稳健前行。</w:t>
      </w:r>
    </w:p>
    <w:p>
      <w:pPr>
        <w:pStyle w:val="Heading2"/>
        <w:ind w:firstLine="560" w:firstLineChars="200"/>
        <w:rPr>
          <w:rFonts w:ascii="仿宋" w:eastAsia="仿宋" w:hAnsi="仿宋" w:cs="仿宋" w:hint="eastAsia"/>
          <w:sz w:val="28"/>
          <w:lang w:eastAsia="zh-CN"/>
        </w:rPr>
      </w:pPr>
      <w:bookmarkStart w:id="5" w:name="_Toc28547"/>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为了确保艺术品拍卖项目的有效管理和不断优化，我们采用了精心设计的绩效评估周期。这个周期旨在实现灵活、实时和全面的评估，以适应艺术品拍卖项目执行中的各种挑战。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艺术品拍卖项目的不同需求，分为短期、中期和长期。短期评估关注每个迭代或工作周期，以及时发现和解决当前任务中的问题。中期评估涵盖几个迭代，深入了解整体艺术品拍卖项目的趋势和性能。长期评估则着眼于整个艺术品拍卖项目阶段，确保艺术品拍卖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艺术品拍卖项目管理工具和协作平台，团队成员能够随时更新和分享艺术品拍卖项目数据。这种实时性的反馈机制使我们能够及时察觉潜在问题，快速调整，保持艺术品拍卖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艺术品拍卖项目的决策制定密不可分。每个周期的艺术品拍卖项目回顾会议成为集体总结经验、识别问题深层次原因并找到创新解决方案的平台。这种定期的反思与调整机制使艺术品拍卖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6198"/>
      <w:r>
        <w:rPr>
          <w:rFonts w:ascii="仿宋" w:eastAsia="仿宋" w:hAnsi="仿宋" w:cs="仿宋" w:hint="eastAsia"/>
          <w:sz w:val="28"/>
          <w:lang w:eastAsia="zh-CN"/>
        </w:rPr>
        <w:t>二、艺术品拍卖项目危机管理</w:t>
      </w:r>
      <w:bookmarkEnd w:id="6"/>
    </w:p>
    <w:p>
      <w:pPr>
        <w:pStyle w:val="Heading2"/>
        <w:rPr>
          <w:rFonts w:ascii="仿宋" w:eastAsia="仿宋" w:hAnsi="仿宋" w:cs="仿宋" w:hint="eastAsia"/>
          <w:lang w:eastAsia="zh-CN"/>
        </w:rPr>
      </w:pPr>
      <w:bookmarkStart w:id="7" w:name="_Toc21995"/>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艺术品拍卖项目危机管理中，危机预警与识别是确保艺术品拍卖项目稳健运行的核心步骤。通过建立全面的监测机制，艺术品拍卖项目团队旨在及时发现和理解潜在的风险和危机因素，以便采取及时的预防和应对措施，确保艺术品拍卖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首先，通过深入的风险评估，艺术品拍卖项目团队全面分析了整个艺术品拍卖项目和各个阶段可能存在的威胁。这包括准确评估每个潜在风险的发生概率和可能影响的程度，为后续危机预警提供了有力支持。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艺术品拍卖项目团队着重于明确定义艺术品拍卖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艺术品拍卖项目进展的持续监控，团队能够及时发现潜在问题并作出迅速反应。艺术品拍卖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在这一阶段，团队的专业素养和反应速度将发挥至关重要的作用，以确保潜在危机能够在初期得到有效的处理，最大程度地减轻负面影响。通过危机预警与识别，艺术品拍卖项目得以更有序、可控地推进。</w:t>
      </w:r>
    </w:p>
    <w:p>
      <w:pPr>
        <w:pStyle w:val="Heading2"/>
        <w:ind w:firstLine="560" w:firstLineChars="200"/>
        <w:rPr>
          <w:rFonts w:ascii="仿宋" w:eastAsia="仿宋" w:hAnsi="仿宋" w:cs="仿宋" w:hint="eastAsia"/>
          <w:sz w:val="28"/>
          <w:lang w:eastAsia="zh-CN"/>
        </w:rPr>
      </w:pPr>
      <w:bookmarkStart w:id="8" w:name="_Toc4244"/>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在危机发生时，艺术品拍卖项目团队立即行动，成立了应急小组。该小组的任务是迅速制定并实施紧急应对措施，以最小化潜在损失。以下是采取的主要措施：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暂停艺术品拍卖项目进度：为遏制危机蔓延，艺术品拍卖项目暂时停止进行，以便全面评估当前状况。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资源重新分配：重新评估艺术品拍卖项目资源的分配，确保最大限度地减小损失。</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实时沟通：与关键利益相关者建立实时沟通机制，向他们传递艺术品拍卖项目危机的实际状况，保障艺术品拍卖项目核心利益。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在紧急应对的同时，艺术品拍卖项目团队强调了团队协作和有效沟通的重要性。以下是团队协作的关键举措：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信息共享机制：建立了信息共享平台，确保团队成员能够及时获取艺术品拍卖项目危机的实时信息。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领导者沟通：艺术品拍卖项目领导者通过定期会议和即时沟通工具，指导团队应对危机，保持团队稳定运行。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随着危机得到初步控制，艺术品拍卖项目团队转向制定恢复计划，以确保艺术品拍卖项目能够从中迅速恢复。主要恢复计划包括：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修复受损的进度计划：重新评估艺术品拍卖项目进度，制定修复计划，确保艺术品拍卖项目尽快回归正常进程。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重新调整资源分配：优化资源分配，确保艺术品拍卖项目在有限资源下高效运转。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风险管理机制加强：对艺术品拍卖项目风险进行全面评估，制定更强化的风险管理策略，以预防未来可能的危机。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29614"/>
      <w:r>
        <w:rPr>
          <w:rFonts w:ascii="仿宋" w:eastAsia="仿宋" w:hAnsi="仿宋" w:cs="仿宋" w:hint="eastAsia"/>
          <w:sz w:val="28"/>
          <w:lang w:eastAsia="zh-CN"/>
        </w:rPr>
        <w:t>三、艺术品拍卖项目可持续发展</w:t>
      </w:r>
      <w:bookmarkEnd w:id="9"/>
    </w:p>
    <w:p>
      <w:pPr>
        <w:pStyle w:val="Heading2"/>
        <w:rPr>
          <w:rFonts w:ascii="仿宋" w:eastAsia="仿宋" w:hAnsi="仿宋" w:cs="仿宋" w:hint="eastAsia"/>
          <w:lang w:eastAsia="zh-CN"/>
        </w:rPr>
      </w:pPr>
      <w:bookmarkStart w:id="10" w:name="_Toc1487"/>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艺术品拍卖项目中，艺术品拍卖项目团队着眼于未来，明确了可持续发展的战略方向。制定的具体可持续发展目标包括降低资源使用、采用环保技术、最大化社会效益等。这一步骤不仅有助于艺术品拍卖项目在环保和社会责任方面达到最高标准，也为未来提供了明确的指引，确保艺术品拍卖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可持续实践的融入艺术品拍卖项目管理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艺术品拍卖项目管理周期。从艺术品拍卖项目规划开始，艺术品拍卖项目团队就考虑了环境和社会的因素。在执行阶段，艺术品拍卖项目团队积极推动绿色技术的应用，优化资源利用。此外，关注员工的社会责任，通过培训和沟通活动提高员工对可持续发展的认知，使他们能够在日常工作中践行可持续实践。这些举措不仅为艺术品拍卖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32525"/>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扎根于艺术品拍卖项目的可持续发展理念，我们深信环保与社会责任是艺术品拍卖项目成功的关键支柱。在艺术品拍卖项目的每一步，我们都致力于通过创新和实践，履行对环境和社会的坚定责任。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艺术品拍卖项目团队通过引入先进的环保技术、建立高效的废物处理系统以及推动能源节约措施，积极履行环保责任。定期的环保监测和评估确保艺术品拍卖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艺术品拍卖项目不仅致力于自身可持续发展，还注重对社会的回馈。通过支持社区艺术品拍卖项目、参与慈善事业、提供培训机会等方式，艺术品拍卖项目积极履行社会责任。与当地社区建立积极互动，关注员工的工作与生活平衡，以及员工的身心健康，是艺术品拍卖项目在社会责任层面的关键举措。这样的实践不仅增强了艺术品拍卖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7841"/>
      <w:r>
        <w:rPr>
          <w:rFonts w:ascii="仿宋" w:eastAsia="仿宋" w:hAnsi="仿宋" w:cs="仿宋" w:hint="eastAsia"/>
          <w:sz w:val="28"/>
          <w:lang w:eastAsia="zh-CN"/>
        </w:rPr>
        <w:t>四、艺术品拍卖项目概论</w:t>
      </w:r>
      <w:bookmarkEnd w:id="12"/>
    </w:p>
    <w:p>
      <w:pPr>
        <w:pStyle w:val="Heading2"/>
        <w:rPr>
          <w:rFonts w:ascii="仿宋" w:eastAsia="仿宋" w:hAnsi="仿宋" w:cs="仿宋" w:hint="eastAsia"/>
          <w:lang w:eastAsia="zh-CN"/>
        </w:rPr>
      </w:pPr>
      <w:bookmarkStart w:id="13" w:name="_Toc3948"/>
      <w:r>
        <w:rPr>
          <w:rFonts w:ascii="仿宋" w:eastAsia="仿宋" w:hAnsi="仿宋" w:cs="仿宋" w:hint="eastAsia"/>
          <w:lang w:eastAsia="zh-CN"/>
        </w:rPr>
        <w:t>(一)、艺术品拍卖项目概况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艺术品拍卖项目的起源追溯至对市场的深入洞察。市场的不断演变与变革为艺术品拍卖项目提供了难得的机遇。当前市场存在的需求缺口和变革的大环境共同构成了艺术品拍卖项目的背景。这个艺术品拍卖项目旨在充分利用市场机遇，填补行业中尚未满足的需求，为客户提供全新的解决方案。市场的变革和需求的增长使得这个艺术品拍卖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艺术品拍卖项目名称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艺术品拍卖项目正式命名为艺术品拍卖。这个名称不仅仅是一个标识，更代表了艺术品拍卖项目的核心理念和愿景。它蕴含着艺术品拍卖项目所要解决问题的关键字，具有强烈的表达和辨识度，为艺术品拍卖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艺术品拍卖项目目标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艺术品拍卖项目的核心目标是提供一种全新、高效的解决方案，满足客户日益增长的需求。艺术品拍卖项目追求的不仅仅是满足市场需求，更是在市场中获得卓越的竞争优势。通过不断提升产品或服务的质量和创新水平，艺术品拍卖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艺术品拍卖项目范围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艺术品拍卖项目全面涵盖了产品研发、制造、市场推广和售后服务，确保从产品设计到最终用户体验的全方位关注。这一全面的艺术品拍卖项目范围是为了确保艺术品拍卖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艺术品拍卖项目时间表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艺术品拍卖项目计划在未来18个月内完成，包括研发、测试、市场试点和正式推出等不同阶段。这个时间表的合理设计是为了确保艺术品拍卖项目各个阶段的顺利推进，以便按时交付高质量的成果。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1.6 艺术品拍卖项目预算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艺术品拍卖项目总预算估算为XX百万美元，主要分配在研发、市场推广、人员培训和运营等方面。这一充足的预算为艺术品拍卖项目提供了充足的资源，确保艺术品拍卖项目在各个方面都能取得优异的表现。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艺术品拍卖项目风险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艺术品拍卖项目可能面临的风险包括市场接受度低、技术难题、竞争激烈等。艺术品拍卖项目团队已经制定了相应的风险应对计划，通过前瞻性的风险管理，确保艺术品拍卖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艺术品拍卖项目团队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艺术品拍卖项目汇聚了一支经验丰富、多领域专业素养的核心团队，确保艺术品拍卖项目在各个方面都能拥有高水平的执行力。团队的协同作战是艺术品拍卖项目成功的关键因素之一。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艺术品拍卖项目背景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艺术品拍卖项目的背景根植于市场对更高效、创新产品的渴望，同时也受到科技发展对行业格局的深刻改变的影响。这为艺术品拍卖项目提供了广阔的发展空间和市场需求。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艺术品拍卖项目现状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截至目前，艺术品拍卖项目已完成市场调研和技术验证，取得了初步的成功。这为艺术品拍卖项目在未来的发展奠定了坚实的基础，为更远大的目标打下了坚实的基石。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14885"/>
      <w:r>
        <w:rPr>
          <w:rFonts w:ascii="仿宋" w:eastAsia="仿宋" w:hAnsi="仿宋" w:cs="仿宋" w:hint="eastAsia"/>
          <w:sz w:val="28"/>
          <w:lang w:eastAsia="zh-CN"/>
        </w:rPr>
        <w:t>(二)、艺术品拍卖项目目标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keyword》艺术品拍卖项目首要业务目标是在市场中占据有利地位，实现产品/服务的成功推广和销售。通过不断提升产品质量、创新性，艺术品拍卖项目追求成为行业中的领导者，赢得更多客户的青睐。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在科技迅速发展的时代，艺术品拍卖项目着眼于技术创新。通过持续的研发和技术升级，艺术品拍卖项目旨在推出更具创新性的产品或服务，以满足市场对新鲜、先进解决方案的需求。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为了建立可持续的客户关系，艺术品拍卖项目设定了客户满意度目标。通过提供卓越的产品质量和优质的客户服务，艺术品拍卖项目追求赢得客户的信任和忠诚度，确保他们的满意度达到行业领先水平。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艺术品拍卖项目注重社会责任和可持续发展。通过实施环保、社会责任艺术品拍卖项目，艺术品拍卖项目致力于在经济发展的同时保护环境，促进社会公平，实现可持续经营。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艺术品拍卖项目的团队是实现目标的核心驱动力。因此，艺术品拍卖项目设定了团队发展目标，包括提升团队成员的专业技能、培养领导力，以及搭建协同高效的团队工作氛围。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16283"/>
      <w:r>
        <w:rPr>
          <w:rFonts w:ascii="仿宋" w:eastAsia="仿宋" w:hAnsi="仿宋" w:cs="仿宋" w:hint="eastAsia"/>
          <w:sz w:val="28"/>
          <w:lang w:eastAsia="zh-CN"/>
        </w:rPr>
        <w:t>(三)、艺术品拍卖项目提出的理由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艺术品拍卖项目提出的理由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艺术品拍卖项目的提出源于对市场机遇的深刻洞察。当前市场中存在的需求缺口和行业发展趋势表明，有巨大的商业机会等待被开发。通过准确捕捉市场机遇，艺术品拍卖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艺术品拍卖项目的理念基于对技术创新的信仰。通过持续的研发和技术投入，艺术品拍卖项目有望推出更具创新性的产品或服务。在科技飞速发展的当下，艺术品拍卖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艺术品拍卖项目的提出是为了增强企业的行业竞争力。通过提升产品或服务的质量和独特性，艺术品拍卖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艺术品拍卖项目响应了消费者需求的变化。随着社会和科技的不断发展，消费者对产品和服务的需求也在发生变化。通过深入了解并及时回应消费者的新需求，艺术品拍卖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艺术品拍卖项目的提出是企业战略发展规划的一部分。在面对日益激烈的市场竞争和不断变化的商业环境中，艺术品拍卖项目作为企业战略的一环，旨在为企业开辟新的增长领域，巩固企业在行业中的地位。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艺术品拍卖项目的提出不仅仅是基于商业考量，还注重社会责任。通过推出环保、社会责任等方面的艺术品拍卖项目，艺术品拍卖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艺术品拍卖项目的提出反映了对利益相关者期望的关注。包括客户、员工、投资者等利益相关者在企业发展中都有着各自的期望，艺术品拍卖项目力求在满足这些期望的同时，取得更大的共赢。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26504"/>
      <w:r>
        <w:rPr>
          <w:rFonts w:ascii="仿宋" w:eastAsia="仿宋" w:hAnsi="仿宋" w:cs="仿宋" w:hint="eastAsia"/>
          <w:sz w:val="28"/>
          <w:lang w:eastAsia="zh-CN"/>
        </w:rPr>
        <w:t>(四)、艺术品拍卖项目意义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在实施艺术品拍卖项目的过程中，我们不仅仅是在追逐商业成功，更是为企业和社会的多个层面创造了深远的意义。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艺术品拍卖项目的首要意义在于提升企业的市场竞争力。通过持续的创新和对产品质量的高标准要求，艺术品拍卖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艺术品拍卖项目的推进将促使行业技术水平的提升。通过引入先进技术和创新性解决方案，艺术品拍卖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艺术品拍卖项目不仅创造了大量就业机会，提高了就业水平，还注重社会责任和环保。通过参与社会公益事业和推动环保艺术品拍卖项目，艺术品拍卖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综合而言，艺术品拍卖项目意义重大，不仅推动了企业的发展，也为行业和社会的进步贡献了积极力量。这是一个全面而深刻的影响，将在未来产生可持续的正面效应。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11077"/>
      <w:r>
        <w:rPr>
          <w:rFonts w:ascii="仿宋" w:eastAsia="仿宋" w:hAnsi="仿宋" w:cs="仿宋" w:hint="eastAsia"/>
          <w:sz w:val="28"/>
          <w:lang w:eastAsia="zh-CN"/>
        </w:rPr>
        <w:t>(五)、艺术品拍卖项目背景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在当今迅猛发展的商业环境中，艺术品拍卖项目的动因根植于对多方面因素的审慎考量。这个艺术品拍卖项目的提出并非孤立的决策，而是对企业所处背景深入思考的产物。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艺术品拍卖项目背后的首要原因。科技的迅速发展和全球市场的快速变化使得企业必须灵活应对。艺术品拍卖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竞争的激烈程度也是艺术品拍卖项目背景中不可忽视的一环。企业需要在激烈竞争中脱颖而出，为此，艺术品拍卖项目致力于打破常规，提供独特的价值主张，以吸引客户并确保市场份额的增长。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https://d.book118.com/596041230233010044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艺术品拍卖项目规划设计方案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艺术品拍卖项目规划设计方案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艺术品拍卖项目规划设计方案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艺术品拍卖项目规划设计方案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艺术品拍卖项目规划设计方案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艺术品拍卖项目规划设计方案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艺术品拍卖项目规划设计方案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艺术品拍卖项目规划设计方案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艺术品拍卖项目规划设计方案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艺术品拍卖项目规划设计方案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艺术品拍卖项目规划设计方案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艺术品拍卖项目规划设计方案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艺术品拍卖项目规划设计方案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艺术品拍卖项目规划设计方案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艺术品拍卖项目规划设计方案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艺术品拍卖项目规划设计方案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艺术品拍卖项目规划设计方案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A37A9F"/>
    <w:rsid w:val="0CA37A9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96041230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2024-02-06T08:08:00Z</dcterms:created>
  <dcterms:modified xsi:type="dcterms:W3CDTF">2024-02-06T08:09:15Z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77704184A3074871BEECE0799BFBC1DE_11</vt:lpwstr>
  </property>
  <property fmtid="{D5CDD505-2E9C-101B-9397-08002B2CF9AE}" pid="3" name="KSOProductBuildVer">
    <vt:lpwstr>2052-12.1.0.16250</vt:lpwstr>
  </property>
</Properties>
</file>