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立体仓库设备，相关物料搬运设备项目计划设计方案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29" w:history="1">
        <w:r>
          <w:rPr>
            <w:rFonts w:ascii="仿宋" w:eastAsia="仿宋" w:hAnsi="仿宋" w:cs="仿宋" w:hint="eastAsia"/>
            <w:lang w:eastAsia="zh-CN"/>
          </w:rPr>
          <w:t>前言</w:t>
        </w:r>
        <w:r>
          <w:tab/>
        </w:r>
        <w:r>
          <w:fldChar w:fldCharType="begin"/>
        </w:r>
        <w:r>
          <w:instrText xml:space="preserve"> PAGEREF _Toc29529 \h </w:instrText>
        </w:r>
        <w:r>
          <w:fldChar w:fldCharType="separate"/>
        </w:r>
        <w:r>
          <w:t>3</w:t>
        </w:r>
        <w:r>
          <w:fldChar w:fldCharType="end"/>
        </w:r>
      </w:hyperlink>
    </w:p>
    <w:p>
      <w:pPr>
        <w:pStyle w:val="TOC1"/>
        <w:tabs>
          <w:tab w:val="right" w:leader="dot" w:pos="8306"/>
        </w:tabs>
      </w:pPr>
      <w:hyperlink w:anchor="_Toc12818" w:history="1">
        <w:r>
          <w:rPr>
            <w:rFonts w:ascii="仿宋" w:eastAsia="仿宋" w:hAnsi="仿宋" w:cs="仿宋" w:hint="eastAsia"/>
            <w:lang w:eastAsia="zh-CN"/>
          </w:rPr>
          <w:t>一、立体仓库设备，相关物料搬运设备项目土建工程</w:t>
        </w:r>
        <w:r>
          <w:tab/>
        </w:r>
        <w:r>
          <w:fldChar w:fldCharType="begin"/>
        </w:r>
        <w:r>
          <w:instrText xml:space="preserve"> PAGEREF _Toc12818 \h </w:instrText>
        </w:r>
        <w:r>
          <w:fldChar w:fldCharType="separate"/>
        </w:r>
        <w:r>
          <w:t>3</w:t>
        </w:r>
        <w:r>
          <w:fldChar w:fldCharType="end"/>
        </w:r>
      </w:hyperlink>
    </w:p>
    <w:p>
      <w:pPr>
        <w:pStyle w:val="TOC2"/>
        <w:tabs>
          <w:tab w:val="right" w:leader="dot" w:pos="8306"/>
        </w:tabs>
      </w:pPr>
      <w:hyperlink w:anchor="_Toc32224" w:history="1">
        <w:r>
          <w:rPr>
            <w:rFonts w:ascii="仿宋" w:eastAsia="仿宋" w:hAnsi="仿宋" w:cs="仿宋" w:hint="eastAsia"/>
            <w:lang w:eastAsia="zh-CN"/>
          </w:rPr>
          <w:t>(一)、建筑工程设计原则</w:t>
        </w:r>
        <w:r>
          <w:tab/>
        </w:r>
        <w:r>
          <w:fldChar w:fldCharType="begin"/>
        </w:r>
        <w:r>
          <w:instrText xml:space="preserve"> PAGEREF _Toc32224 \h </w:instrText>
        </w:r>
        <w:r>
          <w:fldChar w:fldCharType="separate"/>
        </w:r>
        <w:r>
          <w:t>3</w:t>
        </w:r>
        <w:r>
          <w:fldChar w:fldCharType="end"/>
        </w:r>
      </w:hyperlink>
    </w:p>
    <w:p>
      <w:pPr>
        <w:pStyle w:val="TOC2"/>
        <w:tabs>
          <w:tab w:val="right" w:leader="dot" w:pos="8306"/>
        </w:tabs>
      </w:pPr>
      <w:hyperlink w:anchor="_Toc1848" w:history="1">
        <w:r>
          <w:rPr>
            <w:rFonts w:ascii="仿宋" w:eastAsia="仿宋" w:hAnsi="仿宋" w:cs="仿宋" w:hint="eastAsia"/>
            <w:lang w:eastAsia="zh-CN"/>
          </w:rPr>
          <w:t>(二)、土建工程设计年限及安全等级</w:t>
        </w:r>
        <w:r>
          <w:tab/>
        </w:r>
        <w:r>
          <w:fldChar w:fldCharType="begin"/>
        </w:r>
        <w:r>
          <w:instrText xml:space="preserve"> PAGEREF _Toc1848 \h </w:instrText>
        </w:r>
        <w:r>
          <w:fldChar w:fldCharType="separate"/>
        </w:r>
        <w:r>
          <w:t>4</w:t>
        </w:r>
        <w:r>
          <w:fldChar w:fldCharType="end"/>
        </w:r>
      </w:hyperlink>
    </w:p>
    <w:p>
      <w:pPr>
        <w:pStyle w:val="TOC2"/>
        <w:tabs>
          <w:tab w:val="right" w:leader="dot" w:pos="8306"/>
        </w:tabs>
      </w:pPr>
      <w:hyperlink w:anchor="_Toc22229" w:history="1">
        <w:r>
          <w:rPr>
            <w:rFonts w:ascii="仿宋" w:eastAsia="仿宋" w:hAnsi="仿宋" w:cs="仿宋" w:hint="eastAsia"/>
            <w:lang w:eastAsia="zh-CN"/>
          </w:rPr>
          <w:t>(三)、建筑工程设计总体要求</w:t>
        </w:r>
        <w:r>
          <w:tab/>
        </w:r>
        <w:r>
          <w:fldChar w:fldCharType="begin"/>
        </w:r>
        <w:r>
          <w:instrText xml:space="preserve"> PAGEREF _Toc22229 \h </w:instrText>
        </w:r>
        <w:r>
          <w:fldChar w:fldCharType="separate"/>
        </w:r>
        <w:r>
          <w:t>5</w:t>
        </w:r>
        <w:r>
          <w:fldChar w:fldCharType="end"/>
        </w:r>
      </w:hyperlink>
    </w:p>
    <w:p>
      <w:pPr>
        <w:pStyle w:val="TOC2"/>
        <w:tabs>
          <w:tab w:val="right" w:leader="dot" w:pos="8306"/>
        </w:tabs>
      </w:pPr>
      <w:hyperlink w:anchor="_Toc20289" w:history="1">
        <w:r>
          <w:rPr>
            <w:rFonts w:ascii="仿宋" w:eastAsia="仿宋" w:hAnsi="仿宋" w:cs="仿宋" w:hint="eastAsia"/>
            <w:lang w:eastAsia="zh-CN"/>
          </w:rPr>
          <w:t>(四)、土建工程建设指标</w:t>
        </w:r>
        <w:r>
          <w:tab/>
        </w:r>
        <w:r>
          <w:fldChar w:fldCharType="begin"/>
        </w:r>
        <w:r>
          <w:instrText xml:space="preserve"> PAGEREF _Toc20289 \h </w:instrText>
        </w:r>
        <w:r>
          <w:fldChar w:fldCharType="separate"/>
        </w:r>
        <w:r>
          <w:t>6</w:t>
        </w:r>
        <w:r>
          <w:fldChar w:fldCharType="end"/>
        </w:r>
      </w:hyperlink>
    </w:p>
    <w:p>
      <w:pPr>
        <w:pStyle w:val="TOC1"/>
        <w:tabs>
          <w:tab w:val="right" w:leader="dot" w:pos="8306"/>
        </w:tabs>
      </w:pPr>
      <w:hyperlink w:anchor="_Toc29094" w:history="1">
        <w:r>
          <w:rPr>
            <w:rFonts w:ascii="仿宋" w:eastAsia="仿宋" w:hAnsi="仿宋" w:cs="仿宋" w:hint="eastAsia"/>
            <w:lang w:eastAsia="zh-CN"/>
          </w:rPr>
          <w:t>二、立体仓库设备，相关物料搬运设备项目选址可行性分析</w:t>
        </w:r>
        <w:r>
          <w:tab/>
        </w:r>
        <w:r>
          <w:fldChar w:fldCharType="begin"/>
        </w:r>
        <w:r>
          <w:instrText xml:space="preserve"> PAGEREF _Toc29094 \h </w:instrText>
        </w:r>
        <w:r>
          <w:fldChar w:fldCharType="separate"/>
        </w:r>
        <w:r>
          <w:t>6</w:t>
        </w:r>
        <w:r>
          <w:fldChar w:fldCharType="end"/>
        </w:r>
      </w:hyperlink>
    </w:p>
    <w:p>
      <w:pPr>
        <w:pStyle w:val="TOC2"/>
        <w:tabs>
          <w:tab w:val="right" w:leader="dot" w:pos="8306"/>
        </w:tabs>
      </w:pPr>
      <w:hyperlink w:anchor="_Toc25382" w:history="1">
        <w:r>
          <w:rPr>
            <w:rFonts w:ascii="仿宋" w:eastAsia="仿宋" w:hAnsi="仿宋" w:cs="仿宋" w:hint="eastAsia"/>
            <w:lang w:eastAsia="zh-CN"/>
          </w:rPr>
          <w:t>(一)、立体仓库设备，相关物料搬运设备项目选址</w:t>
        </w:r>
        <w:r>
          <w:tab/>
        </w:r>
        <w:r>
          <w:fldChar w:fldCharType="begin"/>
        </w:r>
        <w:r>
          <w:instrText xml:space="preserve"> PAGEREF _Toc25382 \h </w:instrText>
        </w:r>
        <w:r>
          <w:fldChar w:fldCharType="separate"/>
        </w:r>
        <w:r>
          <w:t>6</w:t>
        </w:r>
        <w:r>
          <w:fldChar w:fldCharType="end"/>
        </w:r>
      </w:hyperlink>
    </w:p>
    <w:p>
      <w:pPr>
        <w:pStyle w:val="TOC2"/>
        <w:tabs>
          <w:tab w:val="right" w:leader="dot" w:pos="8306"/>
        </w:tabs>
      </w:pPr>
      <w:hyperlink w:anchor="_Toc20876" w:history="1">
        <w:r>
          <w:rPr>
            <w:rFonts w:ascii="仿宋" w:eastAsia="仿宋" w:hAnsi="仿宋" w:cs="仿宋" w:hint="eastAsia"/>
            <w:lang w:eastAsia="zh-CN"/>
          </w:rPr>
          <w:t>(二)、用地控制指标</w:t>
        </w:r>
        <w:r>
          <w:tab/>
        </w:r>
        <w:r>
          <w:fldChar w:fldCharType="begin"/>
        </w:r>
        <w:r>
          <w:instrText xml:space="preserve"> PAGEREF _Toc20876 \h </w:instrText>
        </w:r>
        <w:r>
          <w:fldChar w:fldCharType="separate"/>
        </w:r>
        <w:r>
          <w:t>7</w:t>
        </w:r>
        <w:r>
          <w:fldChar w:fldCharType="end"/>
        </w:r>
      </w:hyperlink>
    </w:p>
    <w:p>
      <w:pPr>
        <w:pStyle w:val="TOC2"/>
        <w:tabs>
          <w:tab w:val="right" w:leader="dot" w:pos="8306"/>
        </w:tabs>
      </w:pPr>
      <w:hyperlink w:anchor="_Toc5852" w:history="1">
        <w:r>
          <w:rPr>
            <w:rFonts w:ascii="仿宋" w:eastAsia="仿宋" w:hAnsi="仿宋" w:cs="仿宋" w:hint="eastAsia"/>
            <w:lang w:eastAsia="zh-CN"/>
          </w:rPr>
          <w:t>(三)、节约用地措施</w:t>
        </w:r>
        <w:r>
          <w:tab/>
        </w:r>
        <w:r>
          <w:fldChar w:fldCharType="begin"/>
        </w:r>
        <w:r>
          <w:instrText xml:space="preserve"> PAGEREF _Toc5852 \h </w:instrText>
        </w:r>
        <w:r>
          <w:fldChar w:fldCharType="separate"/>
        </w:r>
        <w:r>
          <w:t>9</w:t>
        </w:r>
        <w:r>
          <w:fldChar w:fldCharType="end"/>
        </w:r>
      </w:hyperlink>
    </w:p>
    <w:p>
      <w:pPr>
        <w:pStyle w:val="TOC2"/>
        <w:tabs>
          <w:tab w:val="right" w:leader="dot" w:pos="8306"/>
        </w:tabs>
      </w:pPr>
      <w:hyperlink w:anchor="_Toc18901" w:history="1">
        <w:r>
          <w:rPr>
            <w:rFonts w:ascii="仿宋" w:eastAsia="仿宋" w:hAnsi="仿宋" w:cs="仿宋" w:hint="eastAsia"/>
            <w:lang w:eastAsia="zh-CN"/>
          </w:rPr>
          <w:t>(四)、总图布置方案</w:t>
        </w:r>
        <w:r>
          <w:tab/>
        </w:r>
        <w:r>
          <w:fldChar w:fldCharType="begin"/>
        </w:r>
        <w:r>
          <w:instrText xml:space="preserve"> PAGEREF _Toc18901 \h </w:instrText>
        </w:r>
        <w:r>
          <w:fldChar w:fldCharType="separate"/>
        </w:r>
        <w:r>
          <w:t>10</w:t>
        </w:r>
        <w:r>
          <w:fldChar w:fldCharType="end"/>
        </w:r>
      </w:hyperlink>
    </w:p>
    <w:p>
      <w:pPr>
        <w:pStyle w:val="TOC2"/>
        <w:tabs>
          <w:tab w:val="right" w:leader="dot" w:pos="8306"/>
        </w:tabs>
      </w:pPr>
      <w:hyperlink w:anchor="_Toc19167" w:history="1">
        <w:r>
          <w:rPr>
            <w:rFonts w:ascii="仿宋" w:eastAsia="仿宋" w:hAnsi="仿宋" w:cs="仿宋" w:hint="eastAsia"/>
            <w:lang w:eastAsia="zh-CN"/>
          </w:rPr>
          <w:t>(五)、选址综合评价</w:t>
        </w:r>
        <w:r>
          <w:tab/>
        </w:r>
        <w:r>
          <w:fldChar w:fldCharType="begin"/>
        </w:r>
        <w:r>
          <w:instrText xml:space="preserve"> PAGEREF _Toc19167 \h </w:instrText>
        </w:r>
        <w:r>
          <w:fldChar w:fldCharType="separate"/>
        </w:r>
        <w:r>
          <w:t>11</w:t>
        </w:r>
        <w:r>
          <w:fldChar w:fldCharType="end"/>
        </w:r>
      </w:hyperlink>
    </w:p>
    <w:p>
      <w:pPr>
        <w:pStyle w:val="TOC1"/>
        <w:tabs>
          <w:tab w:val="right" w:leader="dot" w:pos="8306"/>
        </w:tabs>
      </w:pPr>
      <w:hyperlink w:anchor="_Toc20946" w:history="1">
        <w:r>
          <w:rPr>
            <w:rFonts w:ascii="仿宋" w:eastAsia="仿宋" w:hAnsi="仿宋" w:cs="仿宋" w:hint="eastAsia"/>
            <w:lang w:eastAsia="zh-CN"/>
          </w:rPr>
          <w:t>三、立体仓库设备，相关物料搬运设备项目建设单位说明</w:t>
        </w:r>
        <w:r>
          <w:tab/>
        </w:r>
        <w:r>
          <w:fldChar w:fldCharType="begin"/>
        </w:r>
        <w:r>
          <w:instrText xml:space="preserve"> PAGEREF _Toc20946 \h </w:instrText>
        </w:r>
        <w:r>
          <w:fldChar w:fldCharType="separate"/>
        </w:r>
        <w:r>
          <w:t>12</w:t>
        </w:r>
        <w:r>
          <w:fldChar w:fldCharType="end"/>
        </w:r>
      </w:hyperlink>
    </w:p>
    <w:p>
      <w:pPr>
        <w:pStyle w:val="TOC2"/>
        <w:tabs>
          <w:tab w:val="right" w:leader="dot" w:pos="8306"/>
        </w:tabs>
      </w:pPr>
      <w:hyperlink w:anchor="_Toc22264" w:history="1">
        <w:r>
          <w:rPr>
            <w:rFonts w:ascii="仿宋" w:eastAsia="仿宋" w:hAnsi="仿宋" w:cs="仿宋" w:hint="eastAsia"/>
            <w:lang w:eastAsia="zh-CN"/>
          </w:rPr>
          <w:t>(一)、立体仓库设备，相关物料搬运设备项目承办单位基本情况</w:t>
        </w:r>
        <w:r>
          <w:tab/>
        </w:r>
        <w:r>
          <w:fldChar w:fldCharType="begin"/>
        </w:r>
        <w:r>
          <w:instrText xml:space="preserve"> PAGEREF _Toc22264 \h </w:instrText>
        </w:r>
        <w:r>
          <w:fldChar w:fldCharType="separate"/>
        </w:r>
        <w:r>
          <w:t>12</w:t>
        </w:r>
        <w:r>
          <w:fldChar w:fldCharType="end"/>
        </w:r>
      </w:hyperlink>
    </w:p>
    <w:p>
      <w:pPr>
        <w:pStyle w:val="TOC2"/>
        <w:tabs>
          <w:tab w:val="right" w:leader="dot" w:pos="8306"/>
        </w:tabs>
      </w:pPr>
      <w:hyperlink w:anchor="_Toc4343" w:history="1">
        <w:r>
          <w:rPr>
            <w:rFonts w:ascii="仿宋" w:eastAsia="仿宋" w:hAnsi="仿宋" w:cs="仿宋" w:hint="eastAsia"/>
            <w:lang w:eastAsia="zh-CN"/>
          </w:rPr>
          <w:t>(二)、公司经济效益分析</w:t>
        </w:r>
        <w:r>
          <w:tab/>
        </w:r>
        <w:r>
          <w:fldChar w:fldCharType="begin"/>
        </w:r>
        <w:r>
          <w:instrText xml:space="preserve"> PAGEREF _Toc4343 \h </w:instrText>
        </w:r>
        <w:r>
          <w:fldChar w:fldCharType="separate"/>
        </w:r>
        <w:r>
          <w:t>13</w:t>
        </w:r>
        <w:r>
          <w:fldChar w:fldCharType="end"/>
        </w:r>
      </w:hyperlink>
    </w:p>
    <w:p>
      <w:pPr>
        <w:pStyle w:val="TOC1"/>
        <w:tabs>
          <w:tab w:val="right" w:leader="dot" w:pos="8306"/>
        </w:tabs>
      </w:pPr>
      <w:hyperlink w:anchor="_Toc82" w:history="1">
        <w:r>
          <w:rPr>
            <w:rFonts w:ascii="仿宋" w:eastAsia="仿宋" w:hAnsi="仿宋" w:cs="仿宋" w:hint="eastAsia"/>
            <w:lang w:eastAsia="zh-CN"/>
          </w:rPr>
          <w:t>四、市场分析、调研</w:t>
        </w:r>
        <w:r>
          <w:tab/>
        </w:r>
        <w:r>
          <w:fldChar w:fldCharType="begin"/>
        </w:r>
        <w:r>
          <w:instrText xml:space="preserve"> PAGEREF _Toc82 \h </w:instrText>
        </w:r>
        <w:r>
          <w:fldChar w:fldCharType="separate"/>
        </w:r>
        <w:r>
          <w:t>14</w:t>
        </w:r>
        <w:r>
          <w:fldChar w:fldCharType="end"/>
        </w:r>
      </w:hyperlink>
    </w:p>
    <w:p>
      <w:pPr>
        <w:pStyle w:val="TOC2"/>
        <w:tabs>
          <w:tab w:val="right" w:leader="dot" w:pos="8306"/>
        </w:tabs>
      </w:pPr>
      <w:hyperlink w:anchor="_Toc11562" w:history="1">
        <w:r>
          <w:rPr>
            <w:rFonts w:ascii="仿宋" w:eastAsia="仿宋" w:hAnsi="仿宋" w:cs="仿宋" w:hint="eastAsia"/>
            <w:lang w:eastAsia="zh-CN"/>
          </w:rPr>
          <w:t>(一)、立体仓库设备，相关物料搬运设备行业分析</w:t>
        </w:r>
        <w:r>
          <w:tab/>
        </w:r>
        <w:r>
          <w:fldChar w:fldCharType="begin"/>
        </w:r>
        <w:r>
          <w:instrText xml:space="preserve"> PAGEREF _Toc11562 \h </w:instrText>
        </w:r>
        <w:r>
          <w:fldChar w:fldCharType="separate"/>
        </w:r>
        <w:r>
          <w:t>14</w:t>
        </w:r>
        <w:r>
          <w:fldChar w:fldCharType="end"/>
        </w:r>
      </w:hyperlink>
    </w:p>
    <w:p>
      <w:pPr>
        <w:pStyle w:val="TOC2"/>
        <w:tabs>
          <w:tab w:val="right" w:leader="dot" w:pos="8306"/>
        </w:tabs>
      </w:pPr>
      <w:hyperlink w:anchor="_Toc32026" w:history="1">
        <w:r>
          <w:rPr>
            <w:rFonts w:ascii="仿宋" w:eastAsia="仿宋" w:hAnsi="仿宋" w:cs="仿宋" w:hint="eastAsia"/>
            <w:lang w:eastAsia="zh-CN"/>
          </w:rPr>
          <w:t>(二)、立体仓库设备，相关物料搬运设备市场分析预测</w:t>
        </w:r>
        <w:r>
          <w:tab/>
        </w:r>
        <w:r>
          <w:fldChar w:fldCharType="begin"/>
        </w:r>
        <w:r>
          <w:instrText xml:space="preserve"> PAGEREF _Toc32026 \h </w:instrText>
        </w:r>
        <w:r>
          <w:fldChar w:fldCharType="separate"/>
        </w:r>
        <w:r>
          <w:t>15</w:t>
        </w:r>
        <w:r>
          <w:fldChar w:fldCharType="end"/>
        </w:r>
      </w:hyperlink>
    </w:p>
    <w:p>
      <w:pPr>
        <w:pStyle w:val="TOC1"/>
        <w:tabs>
          <w:tab w:val="right" w:leader="dot" w:pos="8306"/>
        </w:tabs>
      </w:pPr>
      <w:hyperlink w:anchor="_Toc29780" w:history="1">
        <w:r>
          <w:rPr>
            <w:rFonts w:ascii="仿宋" w:eastAsia="仿宋" w:hAnsi="仿宋" w:cs="仿宋" w:hint="eastAsia"/>
            <w:lang w:eastAsia="zh-CN"/>
          </w:rPr>
          <w:t>五、产品规划分析</w:t>
        </w:r>
        <w:r>
          <w:tab/>
        </w:r>
        <w:r>
          <w:fldChar w:fldCharType="begin"/>
        </w:r>
        <w:r>
          <w:instrText xml:space="preserve"> PAGEREF _Toc29780 \h </w:instrText>
        </w:r>
        <w:r>
          <w:fldChar w:fldCharType="separate"/>
        </w:r>
        <w:r>
          <w:t>16</w:t>
        </w:r>
        <w:r>
          <w:fldChar w:fldCharType="end"/>
        </w:r>
      </w:hyperlink>
    </w:p>
    <w:p>
      <w:pPr>
        <w:pStyle w:val="TOC2"/>
        <w:tabs>
          <w:tab w:val="right" w:leader="dot" w:pos="8306"/>
        </w:tabs>
      </w:pPr>
      <w:hyperlink w:anchor="_Toc23100" w:history="1">
        <w:r>
          <w:rPr>
            <w:rFonts w:ascii="仿宋" w:eastAsia="仿宋" w:hAnsi="仿宋" w:cs="仿宋" w:hint="eastAsia"/>
            <w:lang w:eastAsia="zh-CN"/>
          </w:rPr>
          <w:t>(一)、产品规划</w:t>
        </w:r>
        <w:r>
          <w:tab/>
        </w:r>
        <w:r>
          <w:fldChar w:fldCharType="begin"/>
        </w:r>
        <w:r>
          <w:instrText xml:space="preserve"> PAGEREF _Toc23100 \h </w:instrText>
        </w:r>
        <w:r>
          <w:fldChar w:fldCharType="separate"/>
        </w:r>
        <w:r>
          <w:t>16</w:t>
        </w:r>
        <w:r>
          <w:fldChar w:fldCharType="end"/>
        </w:r>
      </w:hyperlink>
    </w:p>
    <w:p>
      <w:pPr>
        <w:pStyle w:val="TOC2"/>
        <w:tabs>
          <w:tab w:val="right" w:leader="dot" w:pos="8306"/>
        </w:tabs>
      </w:pPr>
      <w:hyperlink w:anchor="_Toc943" w:history="1">
        <w:r>
          <w:rPr>
            <w:rFonts w:ascii="仿宋" w:eastAsia="仿宋" w:hAnsi="仿宋" w:cs="仿宋" w:hint="eastAsia"/>
            <w:lang w:eastAsia="zh-CN"/>
          </w:rPr>
          <w:t>(二)、建设规模</w:t>
        </w:r>
        <w:r>
          <w:tab/>
        </w:r>
        <w:r>
          <w:fldChar w:fldCharType="begin"/>
        </w:r>
        <w:r>
          <w:instrText xml:space="preserve"> PAGEREF _Toc943 \h </w:instrText>
        </w:r>
        <w:r>
          <w:fldChar w:fldCharType="separate"/>
        </w:r>
        <w:r>
          <w:t>17</w:t>
        </w:r>
        <w:r>
          <w:fldChar w:fldCharType="end"/>
        </w:r>
      </w:hyperlink>
    </w:p>
    <w:p>
      <w:pPr>
        <w:pStyle w:val="TOC1"/>
        <w:tabs>
          <w:tab w:val="right" w:leader="dot" w:pos="8306"/>
        </w:tabs>
      </w:pPr>
      <w:hyperlink w:anchor="_Toc31747" w:history="1">
        <w:r>
          <w:rPr>
            <w:rFonts w:ascii="仿宋" w:eastAsia="仿宋" w:hAnsi="仿宋" w:cs="仿宋" w:hint="eastAsia"/>
            <w:lang w:eastAsia="zh-CN"/>
          </w:rPr>
          <w:t>六、立体仓库设备，相关物料搬运设备项目危机管理</w:t>
        </w:r>
        <w:r>
          <w:tab/>
        </w:r>
        <w:r>
          <w:fldChar w:fldCharType="begin"/>
        </w:r>
        <w:r>
          <w:instrText xml:space="preserve"> PAGEREF _Toc31747 \h </w:instrText>
        </w:r>
        <w:r>
          <w:fldChar w:fldCharType="separate"/>
        </w:r>
        <w:r>
          <w:t>18</w:t>
        </w:r>
        <w:r>
          <w:fldChar w:fldCharType="end"/>
        </w:r>
      </w:hyperlink>
    </w:p>
    <w:p>
      <w:pPr>
        <w:pStyle w:val="TOC2"/>
        <w:tabs>
          <w:tab w:val="right" w:leader="dot" w:pos="8306"/>
        </w:tabs>
      </w:pPr>
      <w:hyperlink w:anchor="_Toc25200" w:history="1">
        <w:r>
          <w:rPr>
            <w:rFonts w:ascii="仿宋" w:eastAsia="仿宋" w:hAnsi="仿宋" w:cs="仿宋" w:hint="eastAsia"/>
            <w:lang w:eastAsia="zh-CN"/>
          </w:rPr>
          <w:t>(一)、危机预警与识别</w:t>
        </w:r>
        <w:r>
          <w:tab/>
        </w:r>
        <w:r>
          <w:fldChar w:fldCharType="begin"/>
        </w:r>
        <w:r>
          <w:instrText xml:space="preserve"> PAGEREF _Toc25200 \h </w:instrText>
        </w:r>
        <w:r>
          <w:fldChar w:fldCharType="separate"/>
        </w:r>
        <w:r>
          <w:t>18</w:t>
        </w:r>
        <w:r>
          <w:fldChar w:fldCharType="end"/>
        </w:r>
      </w:hyperlink>
    </w:p>
    <w:p>
      <w:pPr>
        <w:pStyle w:val="TOC2"/>
        <w:tabs>
          <w:tab w:val="right" w:leader="dot" w:pos="8306"/>
        </w:tabs>
      </w:pPr>
      <w:hyperlink w:anchor="_Toc30876" w:history="1">
        <w:r>
          <w:rPr>
            <w:rFonts w:ascii="仿宋" w:eastAsia="仿宋" w:hAnsi="仿宋" w:cs="仿宋" w:hint="eastAsia"/>
            <w:lang w:eastAsia="zh-CN"/>
          </w:rPr>
          <w:t>(二)、危机应对与恢复</w:t>
        </w:r>
        <w:r>
          <w:tab/>
        </w:r>
        <w:r>
          <w:fldChar w:fldCharType="begin"/>
        </w:r>
        <w:r>
          <w:instrText xml:space="preserve"> PAGEREF _Toc30876 \h </w:instrText>
        </w:r>
        <w:r>
          <w:fldChar w:fldCharType="separate"/>
        </w:r>
        <w:r>
          <w:t>19</w:t>
        </w:r>
        <w:r>
          <w:fldChar w:fldCharType="end"/>
        </w:r>
      </w:hyperlink>
    </w:p>
    <w:p>
      <w:pPr>
        <w:pStyle w:val="TOC1"/>
        <w:tabs>
          <w:tab w:val="right" w:leader="dot" w:pos="8306"/>
        </w:tabs>
      </w:pPr>
      <w:hyperlink w:anchor="_Toc29362" w:history="1">
        <w:r>
          <w:rPr>
            <w:rFonts w:ascii="仿宋" w:eastAsia="仿宋" w:hAnsi="仿宋" w:cs="仿宋" w:hint="eastAsia"/>
            <w:lang w:eastAsia="zh-CN"/>
          </w:rPr>
          <w:t>七、立体仓库设备，相关物料搬运设备项目风险管理</w:t>
        </w:r>
        <w:r>
          <w:tab/>
        </w:r>
        <w:r>
          <w:fldChar w:fldCharType="begin"/>
        </w:r>
        <w:r>
          <w:instrText xml:space="preserve"> PAGEREF _Toc29362 \h </w:instrText>
        </w:r>
        <w:r>
          <w:fldChar w:fldCharType="separate"/>
        </w:r>
        <w:r>
          <w:t>21</w:t>
        </w:r>
        <w:r>
          <w:fldChar w:fldCharType="end"/>
        </w:r>
      </w:hyperlink>
    </w:p>
    <w:p>
      <w:pPr>
        <w:pStyle w:val="TOC2"/>
        <w:tabs>
          <w:tab w:val="right" w:leader="dot" w:pos="8306"/>
        </w:tabs>
      </w:pPr>
      <w:hyperlink w:anchor="_Toc17357" w:history="1">
        <w:r>
          <w:rPr>
            <w:rFonts w:ascii="仿宋" w:eastAsia="仿宋" w:hAnsi="仿宋" w:cs="仿宋" w:hint="eastAsia"/>
            <w:lang w:eastAsia="zh-CN"/>
          </w:rPr>
          <w:t>(一)、风险识别与评估</w:t>
        </w:r>
        <w:r>
          <w:tab/>
        </w:r>
        <w:r>
          <w:fldChar w:fldCharType="begin"/>
        </w:r>
        <w:r>
          <w:instrText xml:space="preserve"> PAGEREF _Toc17357 \h </w:instrText>
        </w:r>
        <w:r>
          <w:fldChar w:fldCharType="separate"/>
        </w:r>
        <w:r>
          <w:t>21</w:t>
        </w:r>
        <w:r>
          <w:fldChar w:fldCharType="end"/>
        </w:r>
      </w:hyperlink>
    </w:p>
    <w:p>
      <w:pPr>
        <w:pStyle w:val="TOC2"/>
        <w:tabs>
          <w:tab w:val="right" w:leader="dot" w:pos="8306"/>
        </w:tabs>
      </w:pPr>
      <w:hyperlink w:anchor="_Toc29396" w:history="1">
        <w:r>
          <w:rPr>
            <w:rFonts w:ascii="仿宋" w:eastAsia="仿宋" w:hAnsi="仿宋" w:cs="仿宋" w:hint="eastAsia"/>
            <w:lang w:eastAsia="zh-CN"/>
          </w:rPr>
          <w:t>(二)、风险应对策略</w:t>
        </w:r>
        <w:r>
          <w:tab/>
        </w:r>
        <w:r>
          <w:fldChar w:fldCharType="begin"/>
        </w:r>
        <w:r>
          <w:instrText xml:space="preserve"> PAGEREF _Toc29396 \h </w:instrText>
        </w:r>
        <w:r>
          <w:fldChar w:fldCharType="separate"/>
        </w:r>
        <w:r>
          <w:t>22</w:t>
        </w:r>
        <w:r>
          <w:fldChar w:fldCharType="end"/>
        </w:r>
      </w:hyperlink>
    </w:p>
    <w:p>
      <w:pPr>
        <w:pStyle w:val="TOC2"/>
        <w:tabs>
          <w:tab w:val="right" w:leader="dot" w:pos="8306"/>
        </w:tabs>
      </w:pPr>
      <w:hyperlink w:anchor="_Toc7528" w:history="1">
        <w:r>
          <w:rPr>
            <w:rFonts w:ascii="仿宋" w:eastAsia="仿宋" w:hAnsi="仿宋" w:cs="仿宋" w:hint="eastAsia"/>
            <w:lang w:eastAsia="zh-CN"/>
          </w:rPr>
          <w:t>(三)、风险监控与控制</w:t>
        </w:r>
        <w:r>
          <w:tab/>
        </w:r>
        <w:r>
          <w:fldChar w:fldCharType="begin"/>
        </w:r>
        <w:r>
          <w:instrText xml:space="preserve"> PAGEREF _Toc7528 \h </w:instrText>
        </w:r>
        <w:r>
          <w:fldChar w:fldCharType="separate"/>
        </w:r>
        <w:r>
          <w:t>24</w:t>
        </w:r>
        <w:r>
          <w:fldChar w:fldCharType="end"/>
        </w:r>
      </w:hyperlink>
    </w:p>
    <w:p>
      <w:pPr>
        <w:pStyle w:val="TOC1"/>
        <w:tabs>
          <w:tab w:val="right" w:leader="dot" w:pos="8306"/>
        </w:tabs>
      </w:pPr>
      <w:hyperlink w:anchor="_Toc23205" w:history="1">
        <w:r>
          <w:rPr>
            <w:rFonts w:ascii="仿宋" w:eastAsia="仿宋" w:hAnsi="仿宋" w:cs="仿宋" w:hint="eastAsia"/>
            <w:lang w:eastAsia="zh-CN"/>
          </w:rPr>
          <w:t>八、立体仓库设备，相关物料搬运设备项目环境影响分析</w:t>
        </w:r>
        <w:r>
          <w:tab/>
        </w:r>
        <w:r>
          <w:fldChar w:fldCharType="begin"/>
        </w:r>
        <w:r>
          <w:instrText xml:space="preserve"> PAGEREF _Toc23205 \h </w:instrText>
        </w:r>
        <w:r>
          <w:fldChar w:fldCharType="separate"/>
        </w:r>
        <w:r>
          <w:t>25</w:t>
        </w:r>
        <w:r>
          <w:fldChar w:fldCharType="end"/>
        </w:r>
      </w:hyperlink>
    </w:p>
    <w:p>
      <w:pPr>
        <w:pStyle w:val="TOC2"/>
        <w:tabs>
          <w:tab w:val="right" w:leader="dot" w:pos="8306"/>
        </w:tabs>
      </w:pPr>
      <w:hyperlink w:anchor="_Toc55" w:history="1">
        <w:r>
          <w:rPr>
            <w:rFonts w:ascii="仿宋" w:eastAsia="仿宋" w:hAnsi="仿宋" w:cs="仿宋" w:hint="eastAsia"/>
            <w:lang w:eastAsia="zh-CN"/>
          </w:rPr>
          <w:t>(一)、建设区域环境质量现状</w:t>
        </w:r>
        <w:r>
          <w:tab/>
        </w:r>
        <w:r>
          <w:fldChar w:fldCharType="begin"/>
        </w:r>
        <w:r>
          <w:instrText xml:space="preserve"> PAGEREF _Toc55 \h </w:instrText>
        </w:r>
        <w:r>
          <w:fldChar w:fldCharType="separate"/>
        </w:r>
        <w:r>
          <w:t>25</w:t>
        </w:r>
        <w:r>
          <w:fldChar w:fldCharType="end"/>
        </w:r>
      </w:hyperlink>
    </w:p>
    <w:p>
      <w:pPr>
        <w:pStyle w:val="TOC2"/>
        <w:tabs>
          <w:tab w:val="right" w:leader="dot" w:pos="8306"/>
        </w:tabs>
      </w:pPr>
      <w:hyperlink w:anchor="_Toc31505" w:history="1">
        <w:r>
          <w:rPr>
            <w:rFonts w:ascii="仿宋" w:eastAsia="仿宋" w:hAnsi="仿宋" w:cs="仿宋" w:hint="eastAsia"/>
            <w:lang w:eastAsia="zh-CN"/>
          </w:rPr>
          <w:t>(二)、建设期环境保护</w:t>
        </w:r>
        <w:r>
          <w:tab/>
        </w:r>
        <w:r>
          <w:fldChar w:fldCharType="begin"/>
        </w:r>
        <w:r>
          <w:instrText xml:space="preserve"> PAGEREF _Toc31505 \h </w:instrText>
        </w:r>
        <w:r>
          <w:fldChar w:fldCharType="separate"/>
        </w:r>
        <w:r>
          <w:t>27</w:t>
        </w:r>
        <w:r>
          <w:fldChar w:fldCharType="end"/>
        </w:r>
      </w:hyperlink>
    </w:p>
    <w:p>
      <w:pPr>
        <w:pStyle w:val="TOC2"/>
        <w:tabs>
          <w:tab w:val="right" w:leader="dot" w:pos="8306"/>
        </w:tabs>
      </w:pPr>
      <w:hyperlink w:anchor="_Toc32126" w:history="1">
        <w:r>
          <w:rPr>
            <w:rFonts w:ascii="仿宋" w:eastAsia="仿宋" w:hAnsi="仿宋" w:cs="仿宋" w:hint="eastAsia"/>
            <w:lang w:eastAsia="zh-CN"/>
          </w:rPr>
          <w:t>(三)、运营期环境保护</w:t>
        </w:r>
        <w:r>
          <w:tab/>
        </w:r>
        <w:r>
          <w:fldChar w:fldCharType="begin"/>
        </w:r>
        <w:r>
          <w:instrText xml:space="preserve"> PAGEREF _Toc32126 \h </w:instrText>
        </w:r>
        <w:r>
          <w:fldChar w:fldCharType="separate"/>
        </w:r>
        <w:r>
          <w:t>28</w:t>
        </w:r>
        <w:r>
          <w:fldChar w:fldCharType="end"/>
        </w:r>
      </w:hyperlink>
    </w:p>
    <w:p>
      <w:pPr>
        <w:pStyle w:val="TOC2"/>
        <w:tabs>
          <w:tab w:val="right" w:leader="dot" w:pos="8306"/>
        </w:tabs>
      </w:pPr>
      <w:hyperlink w:anchor="_Toc15415" w:history="1">
        <w:r>
          <w:rPr>
            <w:rFonts w:ascii="仿宋" w:eastAsia="仿宋" w:hAnsi="仿宋" w:cs="仿宋" w:hint="eastAsia"/>
            <w:lang w:eastAsia="zh-CN"/>
          </w:rPr>
          <w:t>(四)、立体仓库设备，相关物料搬运设备项目建设对区域经济的影响</w:t>
        </w:r>
        <w:r>
          <w:tab/>
        </w:r>
        <w:r>
          <w:fldChar w:fldCharType="begin"/>
        </w:r>
        <w:r>
          <w:instrText xml:space="preserve"> PAGEREF _Toc15415 \h </w:instrText>
        </w:r>
        <w:r>
          <w:fldChar w:fldCharType="separate"/>
        </w:r>
        <w:r>
          <w:t>30</w:t>
        </w:r>
        <w:r>
          <w:fldChar w:fldCharType="end"/>
        </w:r>
      </w:hyperlink>
    </w:p>
    <w:p>
      <w:pPr>
        <w:pStyle w:val="TOC2"/>
        <w:tabs>
          <w:tab w:val="right" w:leader="dot" w:pos="8306"/>
        </w:tabs>
      </w:pPr>
      <w:hyperlink w:anchor="_Toc4414" w:history="1">
        <w:r>
          <w:rPr>
            <w:rFonts w:ascii="仿宋" w:eastAsia="仿宋" w:hAnsi="仿宋" w:cs="仿宋" w:hint="eastAsia"/>
            <w:lang w:eastAsia="zh-CN"/>
          </w:rPr>
          <w:t>(五)、废弃物处理</w:t>
        </w:r>
        <w:r>
          <w:tab/>
        </w:r>
        <w:r>
          <w:fldChar w:fldCharType="begin"/>
        </w:r>
        <w:r>
          <w:instrText xml:space="preserve"> PAGEREF _Toc4414 \h </w:instrText>
        </w:r>
        <w:r>
          <w:fldChar w:fldCharType="separate"/>
        </w:r>
        <w:r>
          <w:t>32</w:t>
        </w:r>
        <w:r>
          <w:fldChar w:fldCharType="end"/>
        </w:r>
      </w:hyperlink>
    </w:p>
    <w:p>
      <w:pPr>
        <w:pStyle w:val="TOC2"/>
        <w:tabs>
          <w:tab w:val="right" w:leader="dot" w:pos="8306"/>
        </w:tabs>
      </w:pPr>
      <w:hyperlink w:anchor="_Toc29955" w:history="1">
        <w:r>
          <w:rPr>
            <w:rFonts w:ascii="仿宋" w:eastAsia="仿宋" w:hAnsi="仿宋" w:cs="仿宋" w:hint="eastAsia"/>
            <w:lang w:eastAsia="zh-CN"/>
          </w:rPr>
          <w:t>(六)、特殊环境影响分析</w:t>
        </w:r>
        <w:r>
          <w:tab/>
        </w:r>
        <w:r>
          <w:fldChar w:fldCharType="begin"/>
        </w:r>
        <w:r>
          <w:instrText xml:space="preserve"> PAGEREF _Toc29955 \h </w:instrText>
        </w:r>
        <w:r>
          <w:fldChar w:fldCharType="separate"/>
        </w:r>
        <w:r>
          <w:t>33</w:t>
        </w:r>
        <w:r>
          <w:fldChar w:fldCharType="end"/>
        </w:r>
      </w:hyperlink>
    </w:p>
    <w:p>
      <w:pPr>
        <w:pStyle w:val="TOC2"/>
        <w:tabs>
          <w:tab w:val="right" w:leader="dot" w:pos="8306"/>
        </w:tabs>
      </w:pPr>
      <w:hyperlink w:anchor="_Toc7645" w:history="1">
        <w:r>
          <w:rPr>
            <w:rFonts w:ascii="仿宋" w:eastAsia="仿宋" w:hAnsi="仿宋" w:cs="仿宋" w:hint="eastAsia"/>
            <w:lang w:eastAsia="zh-CN"/>
          </w:rPr>
          <w:t>(七)、清洁生产</w:t>
        </w:r>
        <w:r>
          <w:tab/>
        </w:r>
        <w:r>
          <w:fldChar w:fldCharType="begin"/>
        </w:r>
        <w:r>
          <w:instrText xml:space="preserve"> PAGEREF _Toc7645 \h </w:instrText>
        </w:r>
        <w:r>
          <w:fldChar w:fldCharType="separate"/>
        </w:r>
        <w:r>
          <w:t>34</w:t>
        </w:r>
        <w:r>
          <w:fldChar w:fldCharType="end"/>
        </w:r>
      </w:hyperlink>
    </w:p>
    <w:p>
      <w:pPr>
        <w:pStyle w:val="TOC2"/>
        <w:tabs>
          <w:tab w:val="right" w:leader="dot" w:pos="8306"/>
        </w:tabs>
      </w:pPr>
      <w:hyperlink w:anchor="_Toc28865" w:history="1">
        <w:r>
          <w:rPr>
            <w:rFonts w:ascii="仿宋" w:eastAsia="仿宋" w:hAnsi="仿宋" w:cs="仿宋" w:hint="eastAsia"/>
            <w:lang w:eastAsia="zh-CN"/>
          </w:rPr>
          <w:t>(八)、环境保护综合评价</w:t>
        </w:r>
        <w:r>
          <w:tab/>
        </w:r>
        <w:r>
          <w:fldChar w:fldCharType="begin"/>
        </w:r>
        <w:r>
          <w:instrText xml:space="preserve"> PAGEREF _Toc28865 \h </w:instrText>
        </w:r>
        <w:r>
          <w:fldChar w:fldCharType="separate"/>
        </w:r>
        <w:r>
          <w:t>36</w:t>
        </w:r>
        <w:r>
          <w:fldChar w:fldCharType="end"/>
        </w:r>
      </w:hyperlink>
    </w:p>
    <w:p>
      <w:pPr>
        <w:pStyle w:val="TOC1"/>
        <w:tabs>
          <w:tab w:val="right" w:leader="dot" w:pos="8306"/>
        </w:tabs>
      </w:pPr>
      <w:hyperlink w:anchor="_Toc29165" w:history="1">
        <w:r>
          <w:rPr>
            <w:rFonts w:ascii="仿宋" w:eastAsia="仿宋" w:hAnsi="仿宋" w:cs="仿宋" w:hint="eastAsia"/>
            <w:lang w:eastAsia="zh-CN"/>
          </w:rPr>
          <w:t>九、立体仓库设备，相关物料搬运设备项目财务管理</w:t>
        </w:r>
        <w:r>
          <w:tab/>
        </w:r>
        <w:r>
          <w:fldChar w:fldCharType="begin"/>
        </w:r>
        <w:r>
          <w:instrText xml:space="preserve"> PAGEREF _Toc29165 \h </w:instrText>
        </w:r>
        <w:r>
          <w:fldChar w:fldCharType="separate"/>
        </w:r>
        <w:r>
          <w:t>37</w:t>
        </w:r>
        <w:r>
          <w:fldChar w:fldCharType="end"/>
        </w:r>
      </w:hyperlink>
    </w:p>
    <w:p>
      <w:pPr>
        <w:pStyle w:val="TOC2"/>
        <w:tabs>
          <w:tab w:val="right" w:leader="dot" w:pos="8306"/>
        </w:tabs>
      </w:pPr>
      <w:hyperlink w:anchor="_Toc6739" w:history="1">
        <w:r>
          <w:rPr>
            <w:rFonts w:ascii="仿宋" w:eastAsia="仿宋" w:hAnsi="仿宋" w:cs="仿宋" w:hint="eastAsia"/>
            <w:lang w:eastAsia="zh-CN"/>
          </w:rPr>
          <w:t>(一)、资金需求大</w:t>
        </w:r>
        <w:r>
          <w:tab/>
        </w:r>
        <w:r>
          <w:fldChar w:fldCharType="begin"/>
        </w:r>
        <w:r>
          <w:instrText xml:space="preserve"> PAGEREF _Toc6739 \h </w:instrText>
        </w:r>
        <w:r>
          <w:fldChar w:fldCharType="separate"/>
        </w:r>
        <w:r>
          <w:t>37</w:t>
        </w:r>
        <w:r>
          <w:fldChar w:fldCharType="end"/>
        </w:r>
      </w:hyperlink>
    </w:p>
    <w:p>
      <w:pPr>
        <w:pStyle w:val="TOC2"/>
        <w:tabs>
          <w:tab w:val="right" w:leader="dot" w:pos="8306"/>
        </w:tabs>
      </w:pPr>
      <w:hyperlink w:anchor="_Toc4373" w:history="1">
        <w:r>
          <w:rPr>
            <w:rFonts w:ascii="仿宋" w:eastAsia="仿宋" w:hAnsi="仿宋" w:cs="仿宋" w:hint="eastAsia"/>
            <w:lang w:eastAsia="zh-CN"/>
          </w:rPr>
          <w:t>(二)、研发周期长</w:t>
        </w:r>
        <w:r>
          <w:tab/>
        </w:r>
        <w:r>
          <w:fldChar w:fldCharType="begin"/>
        </w:r>
        <w:r>
          <w:instrText xml:space="preserve"> PAGEREF _Toc4373 \h </w:instrText>
        </w:r>
        <w:r>
          <w:fldChar w:fldCharType="separate"/>
        </w:r>
        <w:r>
          <w:t>38</w:t>
        </w:r>
        <w:r>
          <w:fldChar w:fldCharType="end"/>
        </w:r>
      </w:hyperlink>
    </w:p>
    <w:p>
      <w:pPr>
        <w:pStyle w:val="TOC2"/>
        <w:tabs>
          <w:tab w:val="right" w:leader="dot" w:pos="8306"/>
        </w:tabs>
      </w:pPr>
      <w:hyperlink w:anchor="_Toc16865" w:history="1">
        <w:r>
          <w:rPr>
            <w:rFonts w:ascii="仿宋" w:eastAsia="仿宋" w:hAnsi="仿宋" w:cs="仿宋" w:hint="eastAsia"/>
            <w:lang w:eastAsia="zh-CN"/>
          </w:rPr>
          <w:t>(三)、市场风险大</w:t>
        </w:r>
        <w:r>
          <w:tab/>
        </w:r>
        <w:r>
          <w:fldChar w:fldCharType="begin"/>
        </w:r>
        <w:r>
          <w:instrText xml:space="preserve"> PAGEREF _Toc16865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 w:history="1">
        <w:r>
          <w:rPr>
            <w:rFonts w:ascii="仿宋" w:eastAsia="仿宋" w:hAnsi="仿宋" w:cs="仿宋" w:hint="eastAsia"/>
            <w:lang w:eastAsia="zh-CN"/>
          </w:rPr>
          <w:t>(四)、利润率高</w:t>
        </w:r>
        <w:r>
          <w:tab/>
        </w:r>
        <w:r>
          <w:fldChar w:fldCharType="begin"/>
        </w:r>
        <w:r>
          <w:instrText xml:space="preserve"> PAGEREF _Toc373 \h </w:instrText>
        </w:r>
        <w:r>
          <w:fldChar w:fldCharType="separate"/>
        </w:r>
        <w:r>
          <w:t>43</w:t>
        </w:r>
        <w:r>
          <w:fldChar w:fldCharType="end"/>
        </w:r>
      </w:hyperlink>
    </w:p>
    <w:p>
      <w:pPr>
        <w:pStyle w:val="TOC1"/>
        <w:tabs>
          <w:tab w:val="right" w:leader="dot" w:pos="8306"/>
        </w:tabs>
      </w:pPr>
      <w:hyperlink w:anchor="_Toc22847" w:history="1">
        <w:r>
          <w:rPr>
            <w:rFonts w:ascii="仿宋" w:eastAsia="仿宋" w:hAnsi="仿宋" w:cs="仿宋" w:hint="eastAsia"/>
            <w:lang w:eastAsia="zh-CN"/>
          </w:rPr>
          <w:t>十、立体仓库设备，相关物料搬运设备项目经营效益</w:t>
        </w:r>
        <w:r>
          <w:tab/>
        </w:r>
        <w:r>
          <w:fldChar w:fldCharType="begin"/>
        </w:r>
        <w:r>
          <w:instrText xml:space="preserve"> PAGEREF _Toc22847 \h </w:instrText>
        </w:r>
        <w:r>
          <w:fldChar w:fldCharType="separate"/>
        </w:r>
        <w:r>
          <w:t>45</w:t>
        </w:r>
        <w:r>
          <w:fldChar w:fldCharType="end"/>
        </w:r>
      </w:hyperlink>
    </w:p>
    <w:p>
      <w:pPr>
        <w:pStyle w:val="TOC2"/>
        <w:tabs>
          <w:tab w:val="right" w:leader="dot" w:pos="8306"/>
        </w:tabs>
      </w:pPr>
      <w:hyperlink w:anchor="_Toc10492" w:history="1">
        <w:r>
          <w:rPr>
            <w:rFonts w:ascii="仿宋" w:eastAsia="仿宋" w:hAnsi="仿宋" w:cs="仿宋" w:hint="eastAsia"/>
            <w:lang w:eastAsia="zh-CN"/>
          </w:rPr>
          <w:t>(一)、经济评价财务测算</w:t>
        </w:r>
        <w:r>
          <w:tab/>
        </w:r>
        <w:r>
          <w:fldChar w:fldCharType="begin"/>
        </w:r>
        <w:r>
          <w:instrText xml:space="preserve"> PAGEREF _Toc10492 \h </w:instrText>
        </w:r>
        <w:r>
          <w:fldChar w:fldCharType="separate"/>
        </w:r>
        <w:r>
          <w:t>45</w:t>
        </w:r>
        <w:r>
          <w:fldChar w:fldCharType="end"/>
        </w:r>
      </w:hyperlink>
    </w:p>
    <w:p>
      <w:pPr>
        <w:pStyle w:val="TOC2"/>
        <w:tabs>
          <w:tab w:val="right" w:leader="dot" w:pos="8306"/>
        </w:tabs>
      </w:pPr>
      <w:hyperlink w:anchor="_Toc9316" w:history="1">
        <w:r>
          <w:rPr>
            <w:rFonts w:ascii="仿宋" w:eastAsia="仿宋" w:hAnsi="仿宋" w:cs="仿宋" w:hint="eastAsia"/>
            <w:lang w:eastAsia="zh-CN"/>
          </w:rPr>
          <w:t>(二)、立体仓库设备，相关物料搬运设备项目盈利能力分析</w:t>
        </w:r>
        <w:r>
          <w:tab/>
        </w:r>
        <w:r>
          <w:fldChar w:fldCharType="begin"/>
        </w:r>
        <w:r>
          <w:instrText xml:space="preserve"> PAGEREF _Toc9316 \h </w:instrText>
        </w:r>
        <w:r>
          <w:fldChar w:fldCharType="separate"/>
        </w:r>
        <w:r>
          <w:t>46</w:t>
        </w:r>
        <w:r>
          <w:fldChar w:fldCharType="end"/>
        </w:r>
      </w:hyperlink>
    </w:p>
    <w:p>
      <w:pPr>
        <w:pStyle w:val="TOC1"/>
        <w:tabs>
          <w:tab w:val="right" w:leader="dot" w:pos="8306"/>
        </w:tabs>
      </w:pPr>
      <w:hyperlink w:anchor="_Toc25216" w:history="1">
        <w:r>
          <w:rPr>
            <w:rFonts w:ascii="仿宋" w:eastAsia="仿宋" w:hAnsi="仿宋" w:cs="仿宋" w:hint="eastAsia"/>
            <w:lang w:eastAsia="zh-CN"/>
          </w:rPr>
          <w:t>十一、立体仓库设备，相关物料搬运设备项目社会影响</w:t>
        </w:r>
        <w:r>
          <w:tab/>
        </w:r>
        <w:r>
          <w:fldChar w:fldCharType="begin"/>
        </w:r>
        <w:r>
          <w:instrText xml:space="preserve"> PAGEREF _Toc25216 \h </w:instrText>
        </w:r>
        <w:r>
          <w:fldChar w:fldCharType="separate"/>
        </w:r>
        <w:r>
          <w:t>47</w:t>
        </w:r>
        <w:r>
          <w:fldChar w:fldCharType="end"/>
        </w:r>
      </w:hyperlink>
    </w:p>
    <w:p>
      <w:pPr>
        <w:pStyle w:val="TOC2"/>
        <w:tabs>
          <w:tab w:val="right" w:leader="dot" w:pos="8306"/>
        </w:tabs>
      </w:pPr>
      <w:hyperlink w:anchor="_Toc1694" w:history="1">
        <w:r>
          <w:rPr>
            <w:rFonts w:ascii="仿宋" w:eastAsia="仿宋" w:hAnsi="仿宋" w:cs="仿宋" w:hint="eastAsia"/>
            <w:lang w:eastAsia="zh-CN"/>
          </w:rPr>
          <w:t>(一)、社会责任与义务</w:t>
        </w:r>
        <w:r>
          <w:tab/>
        </w:r>
        <w:r>
          <w:fldChar w:fldCharType="begin"/>
        </w:r>
        <w:r>
          <w:instrText xml:space="preserve"> PAGEREF _Toc1694 \h </w:instrText>
        </w:r>
        <w:r>
          <w:fldChar w:fldCharType="separate"/>
        </w:r>
        <w:r>
          <w:t>47</w:t>
        </w:r>
        <w:r>
          <w:fldChar w:fldCharType="end"/>
        </w:r>
      </w:hyperlink>
    </w:p>
    <w:p>
      <w:pPr>
        <w:pStyle w:val="TOC2"/>
        <w:tabs>
          <w:tab w:val="right" w:leader="dot" w:pos="8306"/>
        </w:tabs>
      </w:pPr>
      <w:hyperlink w:anchor="_Toc28835" w:history="1">
        <w:r>
          <w:rPr>
            <w:rFonts w:ascii="仿宋" w:eastAsia="仿宋" w:hAnsi="仿宋" w:cs="仿宋" w:hint="eastAsia"/>
            <w:lang w:eastAsia="zh-CN"/>
          </w:rPr>
          <w:t>(二)、社会参与与沟通</w:t>
        </w:r>
        <w:r>
          <w:tab/>
        </w:r>
        <w:r>
          <w:fldChar w:fldCharType="begin"/>
        </w:r>
        <w:r>
          <w:instrText xml:space="preserve"> PAGEREF _Toc28835 \h </w:instrText>
        </w:r>
        <w:r>
          <w:fldChar w:fldCharType="separate"/>
        </w:r>
        <w:r>
          <w:t>48</w:t>
        </w:r>
        <w:r>
          <w:fldChar w:fldCharType="end"/>
        </w:r>
      </w:hyperlink>
    </w:p>
    <w:p>
      <w:pPr>
        <w:pStyle w:val="TOC1"/>
        <w:tabs>
          <w:tab w:val="right" w:leader="dot" w:pos="8306"/>
        </w:tabs>
      </w:pPr>
      <w:hyperlink w:anchor="_Toc6762" w:history="1">
        <w:r>
          <w:rPr>
            <w:rFonts w:ascii="仿宋" w:eastAsia="仿宋" w:hAnsi="仿宋" w:cs="仿宋" w:hint="eastAsia"/>
            <w:lang w:eastAsia="zh-CN"/>
          </w:rPr>
          <w:t>十二、立体仓库设备，相关物料搬运设备项目创新与研发</w:t>
        </w:r>
        <w:r>
          <w:tab/>
        </w:r>
        <w:r>
          <w:fldChar w:fldCharType="begin"/>
        </w:r>
        <w:r>
          <w:instrText xml:space="preserve"> PAGEREF _Toc6762 \h </w:instrText>
        </w:r>
        <w:r>
          <w:fldChar w:fldCharType="separate"/>
        </w:r>
        <w:r>
          <w:t>49</w:t>
        </w:r>
        <w:r>
          <w:fldChar w:fldCharType="end"/>
        </w:r>
      </w:hyperlink>
    </w:p>
    <w:p>
      <w:pPr>
        <w:pStyle w:val="TOC2"/>
        <w:tabs>
          <w:tab w:val="right" w:leader="dot" w:pos="8306"/>
        </w:tabs>
      </w:pPr>
      <w:hyperlink w:anchor="_Toc25795" w:history="1">
        <w:r>
          <w:rPr>
            <w:rFonts w:ascii="仿宋" w:eastAsia="仿宋" w:hAnsi="仿宋" w:cs="仿宋" w:hint="eastAsia"/>
            <w:lang w:eastAsia="zh-CN"/>
          </w:rPr>
          <w:t>(一)、创新策略与方向</w:t>
        </w:r>
        <w:r>
          <w:tab/>
        </w:r>
        <w:r>
          <w:fldChar w:fldCharType="begin"/>
        </w:r>
        <w:r>
          <w:instrText xml:space="preserve"> PAGEREF _Toc25795 \h </w:instrText>
        </w:r>
        <w:r>
          <w:fldChar w:fldCharType="separate"/>
        </w:r>
        <w:r>
          <w:t>49</w:t>
        </w:r>
        <w:r>
          <w:fldChar w:fldCharType="end"/>
        </w:r>
      </w:hyperlink>
    </w:p>
    <w:p>
      <w:pPr>
        <w:pStyle w:val="TOC2"/>
        <w:tabs>
          <w:tab w:val="right" w:leader="dot" w:pos="8306"/>
        </w:tabs>
      </w:pPr>
      <w:hyperlink w:anchor="_Toc28958" w:history="1">
        <w:r>
          <w:rPr>
            <w:rFonts w:ascii="仿宋" w:eastAsia="仿宋" w:hAnsi="仿宋" w:cs="仿宋" w:hint="eastAsia"/>
            <w:lang w:eastAsia="zh-CN"/>
          </w:rPr>
          <w:t>(二)、研发规划与投入</w:t>
        </w:r>
        <w:r>
          <w:tab/>
        </w:r>
        <w:r>
          <w:fldChar w:fldCharType="begin"/>
        </w:r>
        <w:r>
          <w:instrText xml:space="preserve"> PAGEREF _Toc28958 \h </w:instrText>
        </w:r>
        <w:r>
          <w:fldChar w:fldCharType="separate"/>
        </w:r>
        <w:r>
          <w:t>51</w:t>
        </w:r>
        <w:r>
          <w:fldChar w:fldCharType="end"/>
        </w:r>
      </w:hyperlink>
    </w:p>
    <w:p>
      <w:pPr>
        <w:pStyle w:val="TOC1"/>
        <w:tabs>
          <w:tab w:val="right" w:leader="dot" w:pos="8306"/>
        </w:tabs>
      </w:pPr>
      <w:hyperlink w:anchor="_Toc648" w:history="1">
        <w:r>
          <w:rPr>
            <w:rFonts w:ascii="仿宋" w:eastAsia="仿宋" w:hAnsi="仿宋" w:cs="仿宋" w:hint="eastAsia"/>
            <w:lang w:eastAsia="zh-CN"/>
          </w:rPr>
          <w:t>十三、利益相关者分析与沟通计划</w:t>
        </w:r>
        <w:r>
          <w:tab/>
        </w:r>
        <w:r>
          <w:fldChar w:fldCharType="begin"/>
        </w:r>
        <w:r>
          <w:instrText xml:space="preserve"> PAGEREF _Toc648 \h </w:instrText>
        </w:r>
        <w:r>
          <w:fldChar w:fldCharType="separate"/>
        </w:r>
        <w:r>
          <w:t>53</w:t>
        </w:r>
        <w:r>
          <w:fldChar w:fldCharType="end"/>
        </w:r>
      </w:hyperlink>
    </w:p>
    <w:p>
      <w:pPr>
        <w:pStyle w:val="TOC2"/>
        <w:tabs>
          <w:tab w:val="right" w:leader="dot" w:pos="8306"/>
        </w:tabs>
      </w:pPr>
      <w:hyperlink w:anchor="_Toc196" w:history="1">
        <w:r>
          <w:rPr>
            <w:rFonts w:ascii="仿宋" w:eastAsia="仿宋" w:hAnsi="仿宋" w:cs="仿宋" w:hint="eastAsia"/>
            <w:lang w:eastAsia="zh-CN"/>
          </w:rPr>
          <w:t>(一)、利益相关者分析</w:t>
        </w:r>
        <w:r>
          <w:tab/>
        </w:r>
        <w:r>
          <w:fldChar w:fldCharType="begin"/>
        </w:r>
        <w:r>
          <w:instrText xml:space="preserve"> PAGEREF _Toc196 \h </w:instrText>
        </w:r>
        <w:r>
          <w:fldChar w:fldCharType="separate"/>
        </w:r>
        <w:r>
          <w:t>53</w:t>
        </w:r>
        <w:r>
          <w:fldChar w:fldCharType="end"/>
        </w:r>
      </w:hyperlink>
    </w:p>
    <w:p>
      <w:pPr>
        <w:pStyle w:val="TOC2"/>
        <w:tabs>
          <w:tab w:val="right" w:leader="dot" w:pos="8306"/>
        </w:tabs>
      </w:pPr>
      <w:hyperlink w:anchor="_Toc11474" w:history="1">
        <w:r>
          <w:rPr>
            <w:rFonts w:ascii="仿宋" w:eastAsia="仿宋" w:hAnsi="仿宋" w:cs="仿宋" w:hint="eastAsia"/>
            <w:lang w:eastAsia="zh-CN"/>
          </w:rPr>
          <w:t>(二)、沟通计划</w:t>
        </w:r>
        <w:r>
          <w:tab/>
        </w:r>
        <w:r>
          <w:fldChar w:fldCharType="begin"/>
        </w:r>
        <w:r>
          <w:instrText xml:space="preserve"> PAGEREF _Toc11474 \h </w:instrText>
        </w:r>
        <w:r>
          <w:fldChar w:fldCharType="separate"/>
        </w:r>
        <w:r>
          <w:t>54</w:t>
        </w:r>
        <w:r>
          <w:fldChar w:fldCharType="end"/>
        </w:r>
      </w:hyperlink>
    </w:p>
    <w:p>
      <w:pPr>
        <w:pStyle w:val="TOC1"/>
        <w:tabs>
          <w:tab w:val="right" w:leader="dot" w:pos="8306"/>
        </w:tabs>
      </w:pPr>
      <w:hyperlink w:anchor="_Toc14801" w:history="1">
        <w:r>
          <w:rPr>
            <w:rFonts w:ascii="仿宋" w:eastAsia="仿宋" w:hAnsi="仿宋" w:cs="仿宋" w:hint="eastAsia"/>
            <w:lang w:eastAsia="zh-CN"/>
          </w:rPr>
          <w:t>十四、立体仓库设备，相关物料搬运设备项目实施时间节点</w:t>
        </w:r>
        <w:r>
          <w:tab/>
        </w:r>
        <w:r>
          <w:fldChar w:fldCharType="begin"/>
        </w:r>
        <w:r>
          <w:instrText xml:space="preserve"> PAGEREF _Toc14801 \h </w:instrText>
        </w:r>
        <w:r>
          <w:fldChar w:fldCharType="separate"/>
        </w:r>
        <w:r>
          <w:t>55</w:t>
        </w:r>
        <w:r>
          <w:fldChar w:fldCharType="end"/>
        </w:r>
      </w:hyperlink>
    </w:p>
    <w:p>
      <w:pPr>
        <w:pStyle w:val="TOC2"/>
        <w:tabs>
          <w:tab w:val="right" w:leader="dot" w:pos="8306"/>
        </w:tabs>
      </w:pPr>
      <w:hyperlink w:anchor="_Toc3853" w:history="1">
        <w:r>
          <w:rPr>
            <w:rFonts w:ascii="仿宋" w:eastAsia="仿宋" w:hAnsi="仿宋" w:cs="仿宋" w:hint="eastAsia"/>
            <w:lang w:eastAsia="zh-CN"/>
          </w:rPr>
          <w:t>(一)、立体仓库设备，相关物料搬运设备项目启动阶段时间节点</w:t>
        </w:r>
        <w:r>
          <w:tab/>
        </w:r>
        <w:r>
          <w:fldChar w:fldCharType="begin"/>
        </w:r>
        <w:r>
          <w:instrText xml:space="preserve"> PAGEREF _Toc3853 \h </w:instrText>
        </w:r>
        <w:r>
          <w:fldChar w:fldCharType="separate"/>
        </w:r>
        <w:r>
          <w:t>55</w:t>
        </w:r>
        <w:r>
          <w:fldChar w:fldCharType="end"/>
        </w:r>
      </w:hyperlink>
    </w:p>
    <w:p>
      <w:pPr>
        <w:pStyle w:val="TOC2"/>
        <w:tabs>
          <w:tab w:val="right" w:leader="dot" w:pos="8306"/>
        </w:tabs>
      </w:pPr>
      <w:hyperlink w:anchor="_Toc19361" w:history="1">
        <w:r>
          <w:rPr>
            <w:rFonts w:ascii="仿宋" w:eastAsia="仿宋" w:hAnsi="仿宋" w:cs="仿宋" w:hint="eastAsia"/>
            <w:lang w:eastAsia="zh-CN"/>
          </w:rPr>
          <w:t>(二)、立体仓库设备，相关物料搬运设备项目执行阶段时间节点</w:t>
        </w:r>
        <w:r>
          <w:tab/>
        </w:r>
        <w:r>
          <w:fldChar w:fldCharType="begin"/>
        </w:r>
        <w:r>
          <w:instrText xml:space="preserve"> PAGEREF _Toc19361 \h </w:instrText>
        </w:r>
        <w:r>
          <w:fldChar w:fldCharType="separate"/>
        </w:r>
        <w:r>
          <w:t>57</w:t>
        </w:r>
        <w:r>
          <w:fldChar w:fldCharType="end"/>
        </w:r>
      </w:hyperlink>
    </w:p>
    <w:p>
      <w:pPr>
        <w:pStyle w:val="TOC2"/>
        <w:tabs>
          <w:tab w:val="right" w:leader="dot" w:pos="8306"/>
        </w:tabs>
      </w:pPr>
      <w:hyperlink w:anchor="_Toc3641" w:history="1">
        <w:r>
          <w:rPr>
            <w:rFonts w:ascii="仿宋" w:eastAsia="仿宋" w:hAnsi="仿宋" w:cs="仿宋" w:hint="eastAsia"/>
            <w:lang w:eastAsia="zh-CN"/>
          </w:rPr>
          <w:t>(三)、立体仓库设备，相关物料搬运设备项目完成阶段时间节点</w:t>
        </w:r>
        <w:r>
          <w:tab/>
        </w:r>
        <w:r>
          <w:fldChar w:fldCharType="begin"/>
        </w:r>
        <w:r>
          <w:instrText xml:space="preserve"> PAGEREF _Toc3641 \h </w:instrText>
        </w:r>
        <w:r>
          <w:fldChar w:fldCharType="separate"/>
        </w:r>
        <w:r>
          <w:t>58</w:t>
        </w:r>
        <w:r>
          <w:fldChar w:fldCharType="end"/>
        </w:r>
      </w:hyperlink>
    </w:p>
    <w:p>
      <w:pPr>
        <w:pStyle w:val="TOC1"/>
        <w:tabs>
          <w:tab w:val="right" w:leader="dot" w:pos="8306"/>
        </w:tabs>
      </w:pPr>
      <w:hyperlink w:anchor="_Toc5608" w:history="1">
        <w:r>
          <w:rPr>
            <w:rFonts w:ascii="仿宋" w:eastAsia="仿宋" w:hAnsi="仿宋" w:cs="仿宋" w:hint="eastAsia"/>
            <w:lang w:eastAsia="zh-CN"/>
          </w:rPr>
          <w:t>十五、风险识别与分类</w:t>
        </w:r>
        <w:r>
          <w:tab/>
        </w:r>
        <w:r>
          <w:fldChar w:fldCharType="begin"/>
        </w:r>
        <w:r>
          <w:instrText xml:space="preserve"> PAGEREF _Toc5608 \h </w:instrText>
        </w:r>
        <w:r>
          <w:fldChar w:fldCharType="separate"/>
        </w:r>
        <w:r>
          <w:t>59</w:t>
        </w:r>
        <w:r>
          <w:fldChar w:fldCharType="end"/>
        </w:r>
      </w:hyperlink>
    </w:p>
    <w:p>
      <w:pPr>
        <w:pStyle w:val="TOC2"/>
        <w:tabs>
          <w:tab w:val="right" w:leader="dot" w:pos="8306"/>
        </w:tabs>
      </w:pPr>
      <w:hyperlink w:anchor="_Toc10025" w:history="1">
        <w:r>
          <w:rPr>
            <w:rFonts w:ascii="仿宋" w:eastAsia="仿宋" w:hAnsi="仿宋" w:cs="仿宋" w:hint="eastAsia"/>
            <w:lang w:eastAsia="zh-CN"/>
          </w:rPr>
          <w:t>(一)、风险识别</w:t>
        </w:r>
        <w:r>
          <w:tab/>
        </w:r>
        <w:r>
          <w:fldChar w:fldCharType="begin"/>
        </w:r>
        <w:r>
          <w:instrText xml:space="preserve"> PAGEREF _Toc10025 \h </w:instrText>
        </w:r>
        <w:r>
          <w:fldChar w:fldCharType="separate"/>
        </w:r>
        <w:r>
          <w:t>59</w:t>
        </w:r>
        <w:r>
          <w:fldChar w:fldCharType="end"/>
        </w:r>
      </w:hyperlink>
    </w:p>
    <w:p>
      <w:pPr>
        <w:pStyle w:val="TOC2"/>
        <w:tabs>
          <w:tab w:val="right" w:leader="dot" w:pos="8306"/>
        </w:tabs>
      </w:pPr>
      <w:hyperlink w:anchor="_Toc30314" w:history="1">
        <w:r>
          <w:rPr>
            <w:rFonts w:ascii="仿宋" w:eastAsia="仿宋" w:hAnsi="仿宋" w:cs="仿宋" w:hint="eastAsia"/>
            <w:lang w:eastAsia="zh-CN"/>
          </w:rPr>
          <w:t>(二)、风险分类</w:t>
        </w:r>
        <w:r>
          <w:tab/>
        </w:r>
        <w:r>
          <w:fldChar w:fldCharType="begin"/>
        </w:r>
        <w:r>
          <w:instrText xml:space="preserve"> PAGEREF _Toc30314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18"/>
      <w:r>
        <w:rPr>
          <w:rFonts w:ascii="仿宋" w:eastAsia="仿宋" w:hAnsi="仿宋" w:cs="仿宋" w:hint="eastAsia"/>
          <w:sz w:val="28"/>
          <w:lang w:eastAsia="zh-CN"/>
        </w:rPr>
        <w:t>一、立体仓库设备，相关物料搬运设备项目土建工程</w:t>
      </w:r>
      <w:bookmarkEnd w:id="2"/>
    </w:p>
    <w:p>
      <w:pPr>
        <w:pStyle w:val="Heading2"/>
        <w:rPr>
          <w:rFonts w:ascii="仿宋" w:eastAsia="仿宋" w:hAnsi="仿宋" w:cs="仿宋" w:hint="eastAsia"/>
          <w:lang w:eastAsia="zh-CN"/>
        </w:rPr>
      </w:pPr>
      <w:bookmarkStart w:id="3" w:name="_Toc3222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在立体仓库设备，相关物料搬运设备项目的建筑工程设计中，我们将秉承一系列重要的设计原则，以确保立体仓库设备，相关物料搬运设备项目建筑在功能、美观、可持续性等方面达到最佳效果。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首要原则是确保建筑的功能性得到最大化的发挥。我们将充分理解立体仓库设备，相关物料搬运设备项目的实际需求，合理布局各个功能区域，保证建筑在满足业务需求的同时，提供高效的工作环境。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在建筑设计中，我们将综合考虑建设和运营成本。通过精细的经济效益分析，确保设计方案在高效利用资源的同时，对立体仓库设备，相关物料搬运设备项目的长期盈利能力有积极的贡献。</w:t>
      </w:r>
    </w:p>
    <w:p>
      <w:pPr>
        <w:pStyle w:val="Heading2"/>
        <w:ind w:firstLine="560" w:firstLineChars="200"/>
        <w:rPr>
          <w:rFonts w:ascii="仿宋" w:eastAsia="仿宋" w:hAnsi="仿宋" w:cs="仿宋" w:hint="eastAsia"/>
          <w:sz w:val="28"/>
          <w:lang w:eastAsia="zh-CN"/>
        </w:rPr>
      </w:pPr>
      <w:bookmarkStart w:id="4" w:name="_Toc184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立体仓库设备，相关物料搬运设备项目的土建工程设计中，我们将精准设定设计年限，结合立体仓库设备，相关物料搬运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立体仓库设备，相关物料搬运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22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立体仓库设备，相关物料搬运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立体仓库设备，相关物料搬运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立体仓库设备，相关物料搬运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2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本期工程立体仓库设备，相关物料搬运设备项目预计总建筑面积XXX平方米，其中：计容建筑面积XXX平方米，计划建筑工程投资XX万元，占立体仓库设备，相关物料搬运设备项目总投资的XX%。</w:t>
      </w:r>
    </w:p>
    <w:p>
      <w:pPr>
        <w:pStyle w:val="Heading1"/>
        <w:ind w:firstLine="560" w:firstLineChars="200"/>
        <w:rPr>
          <w:rFonts w:ascii="仿宋" w:eastAsia="仿宋" w:hAnsi="仿宋" w:cs="仿宋" w:hint="eastAsia"/>
          <w:sz w:val="28"/>
          <w:lang w:eastAsia="zh-CN"/>
        </w:rPr>
      </w:pPr>
      <w:bookmarkStart w:id="7" w:name="_Toc29094"/>
      <w:r>
        <w:rPr>
          <w:rFonts w:ascii="仿宋" w:eastAsia="仿宋" w:hAnsi="仿宋" w:cs="仿宋" w:hint="eastAsia"/>
          <w:sz w:val="28"/>
          <w:lang w:eastAsia="zh-CN"/>
        </w:rPr>
        <w:t>二、立体仓库设备，相关物料搬运设备项目选址可行性分析</w:t>
      </w:r>
      <w:bookmarkEnd w:id="7"/>
    </w:p>
    <w:p>
      <w:pPr>
        <w:pStyle w:val="Heading2"/>
        <w:rPr>
          <w:rFonts w:ascii="仿宋" w:eastAsia="仿宋" w:hAnsi="仿宋" w:cs="仿宋" w:hint="eastAsia"/>
          <w:lang w:eastAsia="zh-CN"/>
        </w:rPr>
      </w:pPr>
      <w:bookmarkStart w:id="8" w:name="_Toc25382"/>
      <w:r>
        <w:rPr>
          <w:rFonts w:ascii="仿宋" w:eastAsia="仿宋" w:hAnsi="仿宋" w:cs="仿宋" w:hint="eastAsia"/>
          <w:lang w:eastAsia="zh-CN"/>
        </w:rPr>
        <w:t>(一)、立体仓库设备，相关物料搬运设备项目选址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该立体仓库设备，相关物料搬运设备项目选址位于XX省XX市XX区XXX街道</w:t>
      </w:r>
    </w:p>
    <w:p>
      <w:pPr>
        <w:pStyle w:val="Heading2"/>
        <w:ind w:firstLine="560" w:firstLineChars="200"/>
        <w:rPr>
          <w:rFonts w:ascii="仿宋" w:eastAsia="仿宋" w:hAnsi="仿宋" w:cs="仿宋" w:hint="eastAsia"/>
          <w:sz w:val="28"/>
          <w:lang w:eastAsia="zh-CN"/>
        </w:rPr>
      </w:pPr>
      <w:bookmarkStart w:id="9" w:name="_Toc2087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立体仓库设备，相关物料搬运设备项目的征地面积将根据立体仓库设备，相关物料搬运设备项目的实际规模和需求进行精确规划。具体面积XXX平方米，旨在确保立体仓库设备，相关物料搬运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净用地面积是在征地面积基础上去除不可利用面积后的实际可开发用地。具体面积XXX平方米，考虑到环保、交通、安全等多方面因素，以确保立体仓库设备，相关物料搬运设备项目在整体利用效率上达到最优。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立体仓库设备，相关物料搬运设备项目计划建设的建筑总规模具体面积XXX平方米。这一规模的确定综合考虑了立体仓库设备，相关物料搬运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立体仓库设备，相关物料搬运设备项目用地中被规划为绿地的比例。具体面积XXX平方米，旨在通过合理规划绿地，改善立体仓库设备，相关物料搬运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容积率是用地上可以建设的建筑总体积与用地面积之比。具体面积XXX，通过合理的容积率规划，确保立体仓库设备，相关物料搬运设备项目建筑规模与周边环境和谐共生。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立体仓库设备，相关物料搬运设备项目选址与当地城市规划相一致，具体面积XXX平方米。通过与城市规划部门深入沟通，确保立体仓库设备，相关物料搬运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立体仓库设备，相关物料搬运设备项目选址符合当地产业政策，具体面积XXX平方米。这包括立体仓库设备，相关物料搬运设备项目对当地经济的促进作用，以及对相关产业的带动效应，确保立体仓库设备，相关物料搬运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立体仓库设备，相关物料搬运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立体仓库设备，相关物料搬运设备项目选址具备必要的公共设施配套，具体面积XXX平方米。这包括交通便利性、教育、医疗等基础设施，以提高居民生活品质，使得立体仓库设备，相关物料搬运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考虑用地总体要求对当地社会稳定性的影响，具体面积XXX平方米。通过深入了解当地社区反馈，确保立体仓库设备，相关物料搬运设备项目的选址和建设过程对当地社会和谐稳定产生积极作用。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立体仓库设备，相关物料搬运设备项目选址不仅符合法规和规划，还在实际操作中具有可行性。这一全面规划将为立体仓库设备，相关物料搬运设备项目的成功实施提供坚实的基础，确保立体仓库设备，相关物料搬运设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5852"/>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立体仓库设备，相关物料搬运设备项目的设备规划和空间设计中，我们将采取灵活设备布局的措施。设备布局将根据实际需求进行灵活设计，避免不必要的浪费。通过合理规划设备摆放位置，我们将提高设备的利用率，减少设备间距，以确保立体仓库设备，相关物料搬运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立体仓库设备，相关物料搬运设备项目内部引入共享设施的概念，例如共享会议室、办公区等。通过这种方式，我们可以减少对资源的重复建设，提高资源共享效率，从而减小立体仓库设备，相关物料搬运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8901"/>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立体仓库设备，相关物料搬运设备项目的总图布置中，我们将不同功能区域进行明确的规划，以最大程度满足立体仓库设备，相关物料搬运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916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立体仓库设备，相关物料搬运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体仓库设备，相关物料搬运设备项目对环境的影响是综合评价的重要因素之一。我们将详细考虑选址周边的自然环境、生态保护区、水源地等情况，确保立体仓库设备，相关物料搬运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立体仓库设备，相关物料搬运设备项目所在地的相关政策，确保立体仓库设备，相关物料搬运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考虑到社会稳定性对企业运营的重要性，我们将评估选址地区的社会安全情况、劳工关系、社区反馈等方面，以确保立体仓库设备，相关物料搬运设备项目的建设和运营不会受到社会稳定性的负面影响。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最后，我们将综合考虑用地成本，包括土地购置费用、土地开发成本等。通过对用地成本的详细评估，我们能够做出更为精确的经济效益分析，为立体仓库设备，相关物料搬运设备项目的投资决策提供有力支持。</w:t>
      </w:r>
    </w:p>
    <w:p>
      <w:pPr>
        <w:pStyle w:val="Heading1"/>
        <w:ind w:firstLine="560" w:firstLineChars="200"/>
        <w:rPr>
          <w:rFonts w:ascii="仿宋" w:eastAsia="仿宋" w:hAnsi="仿宋" w:cs="仿宋" w:hint="eastAsia"/>
          <w:sz w:val="28"/>
          <w:lang w:eastAsia="zh-CN"/>
        </w:rPr>
      </w:pPr>
      <w:bookmarkStart w:id="13" w:name="_Toc20946"/>
      <w:r>
        <w:rPr>
          <w:rFonts w:ascii="仿宋" w:eastAsia="仿宋" w:hAnsi="仿宋" w:cs="仿宋" w:hint="eastAsia"/>
          <w:sz w:val="28"/>
          <w:lang w:eastAsia="zh-CN"/>
        </w:rPr>
        <w:t>三、立体仓库设备，相关物料搬运设备项目建设单位说明</w:t>
      </w:r>
      <w:bookmarkEnd w:id="13"/>
    </w:p>
    <w:p>
      <w:pPr>
        <w:pStyle w:val="Heading2"/>
        <w:rPr>
          <w:rFonts w:ascii="仿宋" w:eastAsia="仿宋" w:hAnsi="仿宋" w:cs="仿宋" w:hint="eastAsia"/>
          <w:lang w:eastAsia="zh-CN"/>
        </w:rPr>
      </w:pPr>
      <w:bookmarkStart w:id="14" w:name="_Toc22264"/>
      <w:r>
        <w:rPr>
          <w:rFonts w:ascii="仿宋" w:eastAsia="仿宋" w:hAnsi="仿宋" w:cs="仿宋" w:hint="eastAsia"/>
          <w:lang w:eastAsia="zh-CN"/>
        </w:rPr>
        <w:t>(一)、立体仓库设备，相关物料搬运设备项目承办单位基本情况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434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立体仓库设备，相关物料搬运设备项目承办单位的XXXX，我们着眼于实现可持续的经济效益。通过技术创新和解决方案的提供，公司预计在立体仓库设备，相关物料搬运设备项目执行期间将获得可观的收入增长。这一收入来源主要包括立体仓库设备，相关物料搬运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同时，我们注重成本控制和效率提升，以确保立体仓库设备，相关物料搬运设备项目的可持续盈利。透过精细的管理和资源优化，公司期望实现立体仓库设备，相关物料搬运设备项目利润最大化。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立体仓库设备，相关物料搬运设备项目实施进行全面的投资评估，包括立体仓库设备，相关物料搬运设备项目启动阶段的资金投入和后续运营成本。通过对立体仓库设备，相关物料搬运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立体仓库设备，相关物料搬运设备项目实施过程中具备足够的资金流动性，公司将进行详尽的现金流分析。这包括资金需求的合理预测、立体仓库设备，相关物料搬运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82"/>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1562"/>
      <w:r>
        <w:rPr>
          <w:rFonts w:ascii="仿宋" w:eastAsia="仿宋" w:hAnsi="仿宋" w:cs="仿宋" w:hint="eastAsia"/>
          <w:lang w:eastAsia="zh-CN"/>
        </w:rPr>
        <w:t>(一)、立体仓库设备，相关物料搬运设备行业分析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行业一直以来都是市场的关注焦点。行业内的发展趋势、竞争态势以及潜在机会都对立体仓库设备，相关物料搬运设备项目的推进产生深远的影响。通过深入研究行业的整体概貌，我们将更好地理解行业的核心特征，为立体仓库设备，相关物料搬运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行业，技术一直是推动创新和发展的关键因素。我们将对当前技术趋势进行详尽分析，包括但不限于人工智能、大数据应用、先进制造技术等。这有助于立体仓库设备，相关物料搬运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立体仓库设备，相关物料搬运设备项目成功的基础。我们将对主要竞争对手进行深入研究，包括其市场份额、产品特点、市场定位等。通过全面了解竞争对手的优势和劣势，立体仓库设备，相关物料搬运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2026"/>
      <w:r>
        <w:rPr>
          <w:rFonts w:ascii="仿宋" w:eastAsia="仿宋" w:hAnsi="仿宋" w:cs="仿宋" w:hint="eastAsia"/>
          <w:sz w:val="28"/>
          <w:lang w:eastAsia="zh-CN"/>
        </w:rPr>
        <w:t>(二)、立体仓库设备，相关物料搬运设备市场分析预测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立体仓库设备，相关物料搬运设备市场未来的增长趋势。这包括市场的整体规模、各细分领域的发展趋势等。立体仓库设备，相关物料搬运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立体仓库设备，相关物料搬运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立体仓库设备，相关物料搬运设备项目实施过程中需要充分考虑的因素。我们将对市场风险进行全面评估，包括但不限于政策法规风险、市场竞争风险、技术变革风险等。通过对潜在风险的深入分析，立体仓库设备，相关物料搬运设备项目可以制定相应的风险缓解策略，降低不确定性对立体仓库设备，相关物料搬运设备项目的影响。</w:t>
      </w:r>
    </w:p>
    <w:p>
      <w:pPr>
        <w:pStyle w:val="Heading1"/>
        <w:ind w:firstLine="560" w:firstLineChars="200"/>
        <w:rPr>
          <w:rFonts w:ascii="仿宋" w:eastAsia="仿宋" w:hAnsi="仿宋" w:cs="仿宋" w:hint="eastAsia"/>
          <w:sz w:val="28"/>
          <w:lang w:eastAsia="zh-CN"/>
        </w:rPr>
      </w:pPr>
      <w:bookmarkStart w:id="19" w:name="_Toc29780"/>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310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立体仓库设备，相关物料搬运设备项目的主要产品是XXXX，预计年产值为XXX万元。这一产品在市场中占据着重要的地位，其广泛的应用范围使得该立体仓库设备，相关物料搬运设备项目的市场前景非常广阔。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https://d.book118.com/596055055233010044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13327"/>
    <w:rsid w:val="603133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5505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2024-02-06T18:45:00Z</dcterms:created>
  <dcterms:modified xsi:type="dcterms:W3CDTF">2024-02-06T18:45:47Z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ADA37E9F88844654B45D967E706390CC_11</vt:lpwstr>
  </property>
  <property fmtid="{D5CDD505-2E9C-101B-9397-08002B2CF9AE}" pid="3" name="KSOProductBuildVer">
    <vt:lpwstr>2052-12.1.0.16250</vt:lpwstr>
  </property>
</Properties>
</file>