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879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制剂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辅料项目创业计划书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37586234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)、制剂辅料项目建设期原辅材料供应情况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(二)、制剂辅料项目运营期原辅材料供应及质量管理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三、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制剂辅料项目建设背景及必要性分析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4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9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二)、制剂辅料项目技术工艺分析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制剂辅料项目技术流程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二)、制剂辅料项目总平面设计要求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制剂辅料项目实施保障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制剂辅料项目进度安排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)、制剂辅料项目实施保障措施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九、劳动安全生产分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29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22757215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、供应链管理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34761230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二)、招聘计划与流程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五)、人才流动与留存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旨在规范和指导制剂辅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料项</w:t>
      </w:r>
      <w:r>
        <w:rPr>
          <w:rFonts w:ascii="FangSong" w:eastAsia="FangSong" w:hAnsi="FangSong" w:cs="FangSong"/>
          <w:spacing w:val="-11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的实施过程。本方案的开展将包括制剂辅料项目的目的和背景、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需求分析、项目</w:t>
      </w:r>
      <w:r>
        <w:rPr>
          <w:rFonts w:ascii="FangSong" w:eastAsia="FangSong" w:hAnsi="FangSong" w:cs="FangSong"/>
          <w:spacing w:val="-4"/>
          <w:sz w:val="28"/>
          <w:szCs w:val="28"/>
        </w:rPr>
        <w:t>范</w:t>
      </w:r>
      <w:r>
        <w:rPr>
          <w:rFonts w:ascii="FangSong" w:eastAsia="FangSong" w:hAnsi="FangSong" w:cs="FangSong"/>
          <w:spacing w:val="-3"/>
          <w:sz w:val="28"/>
          <w:szCs w:val="28"/>
        </w:rPr>
        <w:t>围、时间计划、资源分配等重要内容。此方案的编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写</w:t>
      </w:r>
      <w:r>
        <w:rPr>
          <w:rFonts w:ascii="FangSong" w:eastAsia="FangSong" w:hAnsi="FangSong" w:cs="FangSong"/>
          <w:spacing w:val="-9"/>
          <w:sz w:val="28"/>
          <w:szCs w:val="28"/>
        </w:rPr>
        <w:t>旨</w:t>
      </w:r>
      <w:r>
        <w:rPr>
          <w:rFonts w:ascii="FangSong" w:eastAsia="FangSong" w:hAnsi="FangSong" w:cs="FangSong"/>
          <w:spacing w:val="-6"/>
          <w:sz w:val="28"/>
          <w:szCs w:val="28"/>
        </w:rPr>
        <w:t>在促进知识和经验的交流，为相关人员提供一个共同认知的平台。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请注</w:t>
      </w:r>
      <w:r>
        <w:rPr>
          <w:rFonts w:ascii="FangSong" w:eastAsia="FangSong" w:hAnsi="FangSong" w:cs="FangSong"/>
          <w:spacing w:val="-3"/>
          <w:sz w:val="28"/>
          <w:szCs w:val="28"/>
        </w:rPr>
        <w:t>意</w:t>
      </w:r>
      <w:r>
        <w:rPr>
          <w:rFonts w:ascii="FangSong" w:eastAsia="FangSong" w:hAnsi="FangSong" w:cs="FangSong"/>
          <w:spacing w:val="-2"/>
          <w:sz w:val="28"/>
          <w:szCs w:val="28"/>
        </w:rPr>
        <w:t>，本方案不可做为商业用途，只用作学习交流。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(一)、制剂辅料项目建设期原辅材料供应情况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4" w:right="14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在制</w:t>
      </w:r>
      <w:r>
        <w:rPr>
          <w:rFonts w:ascii="FangSong" w:eastAsia="FangSong" w:hAnsi="FangSong" w:cs="FangSong"/>
          <w:spacing w:val="-15"/>
          <w:sz w:val="28"/>
          <w:szCs w:val="28"/>
        </w:rPr>
        <w:t>剂</w:t>
      </w:r>
      <w:r>
        <w:rPr>
          <w:rFonts w:ascii="FangSong" w:eastAsia="FangSong" w:hAnsi="FangSong" w:cs="FangSong"/>
          <w:spacing w:val="-8"/>
          <w:sz w:val="28"/>
          <w:szCs w:val="28"/>
        </w:rPr>
        <w:t>辅料项目的建设和运营过程中，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程顺利进行和产品质量稳定的重要环节。本章将详细探讨制剂辅</w:t>
      </w:r>
      <w:r>
        <w:rPr>
          <w:rFonts w:ascii="FangSong" w:eastAsia="FangSong" w:hAnsi="FangSong" w:cs="FangSong"/>
          <w:spacing w:val="-3"/>
          <w:sz w:val="28"/>
          <w:szCs w:val="28"/>
        </w:rPr>
        <w:t>料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目建设期和运营期的原辅材料供应情况，以及相关的质量管理措施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制剂辅料项目建设期原辅材</w:t>
      </w:r>
      <w:r>
        <w:rPr>
          <w:rFonts w:ascii="FangSong" w:eastAsia="FangSong" w:hAnsi="FangSong" w:cs="FangSong"/>
          <w:sz w:val="28"/>
          <w:szCs w:val="28"/>
        </w:rPr>
        <w:t>料供应情况</w:t>
      </w:r>
    </w:p>
    <w:p>
      <w:pPr>
        <w:spacing w:before="292" w:line="411" w:lineRule="auto"/>
        <w:ind w:left="37" w:right="19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在制</w:t>
      </w:r>
      <w:r>
        <w:rPr>
          <w:rFonts w:ascii="FangSong" w:eastAsia="FangSong" w:hAnsi="FangSong" w:cs="FangSong"/>
          <w:spacing w:val="-15"/>
          <w:sz w:val="28"/>
          <w:szCs w:val="28"/>
        </w:rPr>
        <w:t>剂</w:t>
      </w:r>
      <w:r>
        <w:rPr>
          <w:rFonts w:ascii="FangSong" w:eastAsia="FangSong" w:hAnsi="FangSong" w:cs="FangSong"/>
          <w:spacing w:val="-8"/>
          <w:sz w:val="28"/>
          <w:szCs w:val="28"/>
        </w:rPr>
        <w:t>辅料项目建设期间，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量有着直接的影响。下面是制剂辅料项目建设期原辅材料供应情况</w:t>
      </w:r>
      <w:r>
        <w:rPr>
          <w:rFonts w:ascii="FangSong" w:eastAsia="FangSong" w:hAnsi="FangSong" w:cs="FangSong"/>
          <w:spacing w:val="-2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主</w:t>
      </w:r>
      <w:r>
        <w:rPr>
          <w:rFonts w:ascii="FangSong" w:eastAsia="FangSong" w:hAnsi="FangSong" w:cs="FangSong"/>
          <w:spacing w:val="-13"/>
          <w:sz w:val="28"/>
          <w:szCs w:val="28"/>
        </w:rPr>
        <w:t>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96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1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7" w:line="220" w:lineRule="auto"/>
        <w:ind w:left="10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</w:p>
    <w:p>
      <w:pPr>
        <w:sectPr>
          <w:pgSz w:w="11906" w:h="16839"/>
          <w:pgMar w:top="1431" w:right="1603" w:bottom="0" w:left="1785" w:header="0" w:footer="0" w:gutter="0"/>
          <w:pgNumType w:start="5"/>
          <w:cols w:space="708"/>
        </w:sectPr>
      </w:pPr>
    </w:p>
    <w:p>
      <w:pPr>
        <w:spacing w:before="183" w:line="220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before="290"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(二)、制剂辅料项目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制剂</w:t>
      </w:r>
      <w:r>
        <w:rPr>
          <w:rFonts w:ascii="FangSong" w:eastAsia="FangSong" w:hAnsi="FangSong" w:cs="FangSong"/>
          <w:spacing w:val="-14"/>
          <w:sz w:val="28"/>
          <w:szCs w:val="28"/>
        </w:rPr>
        <w:t>辅</w:t>
      </w:r>
      <w:r>
        <w:rPr>
          <w:rFonts w:ascii="FangSong" w:eastAsia="FangSong" w:hAnsi="FangSong" w:cs="FangSong"/>
          <w:spacing w:val="-8"/>
          <w:sz w:val="28"/>
          <w:szCs w:val="28"/>
        </w:rPr>
        <w:t>料项目进入运营期后，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原辅材料的持续供应和质量管理同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样至关重要。下面</w:t>
      </w:r>
      <w:r>
        <w:rPr>
          <w:rFonts w:ascii="FangSong" w:eastAsia="FangSong" w:hAnsi="FangSong" w:cs="FangSong"/>
          <w:spacing w:val="-3"/>
          <w:sz w:val="28"/>
          <w:szCs w:val="28"/>
        </w:rPr>
        <w:t>是制剂辅料项目运营期原辅材料供应及质量管理的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关</w:t>
      </w:r>
      <w:r>
        <w:rPr>
          <w:rFonts w:ascii="FangSong" w:eastAsia="FangSong" w:hAnsi="FangSong" w:cs="FangSong"/>
          <w:spacing w:val="-13"/>
          <w:sz w:val="28"/>
          <w:szCs w:val="28"/>
        </w:rPr>
        <w:t>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1"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2" w:line="417" w:lineRule="auto"/>
        <w:ind w:left="35" w:right="19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制剂</w:t>
      </w:r>
      <w:r>
        <w:rPr>
          <w:rFonts w:ascii="FangSong" w:eastAsia="FangSong" w:hAnsi="FangSong" w:cs="FangSong"/>
          <w:spacing w:val="-14"/>
          <w:sz w:val="28"/>
          <w:szCs w:val="28"/>
        </w:rPr>
        <w:t>辅</w:t>
      </w:r>
      <w:r>
        <w:rPr>
          <w:rFonts w:ascii="FangSong" w:eastAsia="FangSong" w:hAnsi="FangSong" w:cs="FangSong"/>
          <w:spacing w:val="-8"/>
          <w:sz w:val="28"/>
          <w:szCs w:val="28"/>
        </w:rPr>
        <w:t>料行业作为一个充满活力的领域，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涵盖了广泛的产品和服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7" w:line="219" w:lineRule="auto"/>
        <w:ind w:left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着科技的迅猛发展，制剂辅料行业在技术上取得了显著的突破。</w:t>
      </w:r>
    </w:p>
    <w:p>
      <w:pPr>
        <w:sectPr>
          <w:pgSz w:w="11906" w:h="16839"/>
          <w:pgMar w:top="1431" w:right="1603" w:bottom="0" w:left="1785" w:header="0" w:footer="0" w:gutter="0"/>
          <w:pgNumType w:start="7"/>
          <w:cols w:space="708"/>
        </w:sectPr>
      </w:pPr>
    </w:p>
    <w:p>
      <w:pPr>
        <w:spacing w:before="180" w:line="415" w:lineRule="auto"/>
        <w:ind w:left="31" w:right="14" w:firstLine="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4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**制剂辅料行业**是一片充满活力的领域，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国家经济的健康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展做出了积极贡献。行业内涉及的领域包括但不限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41" w:right="14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制剂</w:t>
      </w:r>
      <w:r>
        <w:rPr>
          <w:rFonts w:ascii="FangSong" w:eastAsia="FangSong" w:hAnsi="FangSong" w:cs="FangSong"/>
          <w:spacing w:val="-14"/>
          <w:sz w:val="28"/>
          <w:szCs w:val="28"/>
        </w:rPr>
        <w:t>辅</w:t>
      </w:r>
      <w:r>
        <w:rPr>
          <w:rFonts w:ascii="FangSong" w:eastAsia="FangSong" w:hAnsi="FangSong" w:cs="FangSong"/>
          <w:spacing w:val="-8"/>
          <w:sz w:val="28"/>
          <w:szCs w:val="28"/>
        </w:rPr>
        <w:t>料行业市场规模庞大，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1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41" w:right="196" w:hanging="8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战略在市场上崭露</w:t>
      </w:r>
      <w:r>
        <w:rPr>
          <w:rFonts w:ascii="FangSong" w:eastAsia="FangSong" w:hAnsi="FangSong" w:cs="FangSong"/>
          <w:spacing w:val="-3"/>
          <w:sz w:val="28"/>
          <w:szCs w:val="28"/>
        </w:rPr>
        <w:t>头</w:t>
      </w:r>
      <w:r>
        <w:rPr>
          <w:rFonts w:ascii="FangSong" w:eastAsia="FangSong" w:hAnsi="FangSong" w:cs="FangSong"/>
          <w:spacing w:val="-2"/>
          <w:sz w:val="28"/>
          <w:szCs w:val="28"/>
        </w:rPr>
        <w:t>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着科技的飞速发展，制剂辅料行业在技术上取得了显著的突破。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三、制剂辅料项目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right="9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126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3" w:line="415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</w:p>
    <w:p>
      <w:pPr>
        <w:sectPr>
          <w:pgSz w:w="11906" w:h="16839"/>
          <w:pgMar w:top="1431" w:right="1603" w:bottom="0" w:left="1785" w:header="0" w:footer="0" w:gutter="0"/>
          <w:pgNumType w:start="9"/>
          <w:cols w:space="708"/>
        </w:sectPr>
      </w:pPr>
    </w:p>
    <w:p>
      <w:pPr>
        <w:spacing w:before="182" w:line="221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</w:rPr>
        <w:t>能制造、互联网</w:t>
      </w:r>
      <w:r>
        <w:rPr>
          <w:rFonts w:ascii="FangSong" w:eastAsia="FangSong" w:hAnsi="FangSong" w:cs="FangSong"/>
          <w:spacing w:val="-2"/>
          <w:sz w:val="28"/>
          <w:szCs w:val="28"/>
        </w:rPr>
        <w:t>应用等方面的创新已经成为行业竞争的新焦点。</w:t>
      </w:r>
    </w:p>
    <w:p>
      <w:pPr>
        <w:spacing w:before="287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0" w:line="416" w:lineRule="auto"/>
        <w:ind w:left="64" w:right="14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行业不仅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5" w:line="411" w:lineRule="auto"/>
        <w:ind w:left="31" w:right="102" w:firstLine="5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6"/>
          <w:sz w:val="28"/>
          <w:szCs w:val="28"/>
        </w:rPr>
        <w:t>获</w:t>
      </w:r>
      <w:r>
        <w:rPr>
          <w:rFonts w:ascii="FangSong" w:eastAsia="FangSong" w:hAnsi="FangSong" w:cs="FangSong"/>
          <w:spacing w:val="-10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6" w:line="414" w:lineRule="auto"/>
        <w:ind w:left="31" w:right="7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性能验证、产</w:t>
      </w:r>
      <w:r>
        <w:rPr>
          <w:rFonts w:ascii="FangSong" w:eastAsia="FangSong" w:hAnsi="FangSong" w:cs="FangSong"/>
          <w:spacing w:val="-2"/>
          <w:sz w:val="28"/>
          <w:szCs w:val="28"/>
        </w:rPr>
        <w:t>品完善和批量生产等工作的有序展开。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4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(二)、制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剂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辅料项目技术工艺分析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6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ectPr>
          <w:pgSz w:w="11906" w:h="16839"/>
          <w:pgMar w:top="1431" w:right="1750" w:bottom="0" w:left="1785" w:header="0" w:footer="0" w:gutter="0"/>
          <w:pgNumType w:start="12"/>
          <w:cols w:space="708"/>
        </w:sectPr>
      </w:pPr>
    </w:p>
    <w:p>
      <w:pPr>
        <w:spacing w:before="185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提供优质产品和服务。保障工艺流程能够满足制剂辅料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操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4"/>
          <w:sz w:val="28"/>
          <w:szCs w:val="28"/>
        </w:rPr>
        <w:t>，提高产品合格率。</w:t>
      </w:r>
    </w:p>
    <w:p>
      <w:pPr>
        <w:spacing w:before="1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1" w:right="5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制剂辅料项目建设贯彻“三同时”的原则，注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重环境保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37" w:right="7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制剂</w:t>
      </w:r>
      <w:r>
        <w:rPr>
          <w:rFonts w:ascii="FangSong" w:eastAsia="FangSong" w:hAnsi="FangSong" w:cs="FangSong"/>
          <w:spacing w:val="-14"/>
          <w:sz w:val="28"/>
          <w:szCs w:val="28"/>
        </w:rPr>
        <w:t>辅</w:t>
      </w:r>
      <w:r>
        <w:rPr>
          <w:rFonts w:ascii="FangSong" w:eastAsia="FangSong" w:hAnsi="FangSong" w:cs="FangSong"/>
          <w:spacing w:val="-8"/>
          <w:sz w:val="28"/>
          <w:szCs w:val="28"/>
        </w:rPr>
        <w:t>料项目拟采用国内成熟的生产工艺，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生产技术由生产技术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人员和研</w:t>
      </w:r>
      <w:r>
        <w:rPr>
          <w:rFonts w:ascii="FangSong" w:eastAsia="FangSong" w:hAnsi="FangSong" w:cs="FangSong"/>
          <w:spacing w:val="-2"/>
          <w:sz w:val="28"/>
          <w:szCs w:val="28"/>
        </w:rPr>
        <w:t>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7" w:line="415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4"/>
          <w:sz w:val="28"/>
          <w:szCs w:val="28"/>
        </w:rPr>
        <w:t>剂辅料项目的技术保障措施从设计、施工、试运行到投产、销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售</w:t>
      </w:r>
      <w:r>
        <w:rPr>
          <w:rFonts w:ascii="FangSong" w:eastAsia="FangSong" w:hAnsi="FangSong" w:cs="FangSong"/>
          <w:spacing w:val="-12"/>
          <w:sz w:val="28"/>
          <w:szCs w:val="28"/>
        </w:rPr>
        <w:t>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以确保制剂辅料项目在技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术开发和生产技术</w:t>
      </w:r>
      <w:r>
        <w:rPr>
          <w:rFonts w:ascii="FangSong" w:eastAsia="FangSong" w:hAnsi="FangSong" w:cs="FangSong"/>
          <w:spacing w:val="-3"/>
          <w:sz w:val="28"/>
          <w:szCs w:val="28"/>
        </w:rPr>
        <w:t>应用上达到现代化生产水平。这种综合的技术支持</w:t>
      </w:r>
    </w:p>
    <w:p>
      <w:pPr>
        <w:sectPr>
          <w:pgSz w:w="11906" w:h="16839"/>
          <w:pgMar w:top="1431" w:right="1743" w:bottom="0" w:left="1785" w:header="0" w:footer="0" w:gutter="0"/>
          <w:pgNumType w:start="13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将确保制剂辅</w:t>
      </w:r>
      <w:r>
        <w:rPr>
          <w:rFonts w:ascii="FangSong" w:eastAsia="FangSong" w:hAnsi="FangSong" w:cs="FangSong"/>
          <w:spacing w:val="-3"/>
          <w:sz w:val="28"/>
          <w:szCs w:val="28"/>
        </w:rPr>
        <w:t>料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项目的可持续发展和高效运营。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三)、制剂辅料项目技术流程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通过质量检测、过程监控确保产品符合标准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89" w:line="224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2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8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在制剂辅料项目运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90" w:line="411" w:lineRule="auto"/>
        <w:ind w:left="1157" w:right="32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</w:t>
      </w:r>
      <w:r>
        <w:rPr>
          <w:rFonts w:ascii="FangSong" w:eastAsia="FangSong" w:hAnsi="FangSong" w:cs="FangSong"/>
          <w:spacing w:val="-2"/>
          <w:sz w:val="28"/>
          <w:szCs w:val="28"/>
        </w:rPr>
        <w:t>分析工具监测和分析制剂辅料项目各环节数据。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" w:line="415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共同构建了高效、稳定的制剂辅料项目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技术实施框架，</w:t>
      </w:r>
      <w:r>
        <w:rPr>
          <w:rFonts w:ascii="FangSong" w:eastAsia="FangSong" w:hAnsi="FangSong" w:cs="FangSong"/>
          <w:spacing w:val="-2"/>
          <w:sz w:val="28"/>
          <w:szCs w:val="28"/>
        </w:rPr>
        <w:t>确保制剂辅料项目顺利推进。</w:t>
      </w:r>
    </w:p>
    <w:p>
      <w:pPr>
        <w:spacing w:before="247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7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保选用的设备能够满足制剂辅料项目的技术要求，例如：</w:t>
      </w:r>
    </w:p>
    <w:p>
      <w:pPr>
        <w:spacing w:before="290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9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选设备与制剂辅料项目工艺流程相匹配，例如：</w:t>
      </w:r>
    </w:p>
    <w:p>
      <w:pPr>
        <w:sectPr>
          <w:pgSz w:w="11906" w:h="16839"/>
          <w:pgMar w:top="1431" w:right="1697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734" w:right="657" w:hanging="1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4"/>
          <w:sz w:val="28"/>
          <w:szCs w:val="28"/>
        </w:rPr>
        <w:t>确认设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的生产能力是否符合制剂辅料项目的产能需求。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4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411" w:lineRule="auto"/>
        <w:ind w:left="733" w:right="542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选择</w:t>
      </w:r>
      <w:r>
        <w:rPr>
          <w:rFonts w:ascii="FangSong" w:eastAsia="FangSong" w:hAnsi="FangSong" w:cs="FangSong"/>
          <w:spacing w:val="-4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有良好信誉和提供及时售后服务的设备厂家，例如：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2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2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在制</w:t>
      </w:r>
      <w:r>
        <w:rPr>
          <w:rFonts w:ascii="FangSong" w:eastAsia="FangSong" w:hAnsi="FangSong" w:cs="FangSong"/>
          <w:spacing w:val="-15"/>
          <w:sz w:val="28"/>
          <w:szCs w:val="28"/>
        </w:rPr>
        <w:t>剂</w:t>
      </w:r>
      <w:r>
        <w:rPr>
          <w:rFonts w:ascii="FangSong" w:eastAsia="FangSong" w:hAnsi="FangSong" w:cs="FangSong"/>
          <w:spacing w:val="-8"/>
          <w:sz w:val="28"/>
          <w:szCs w:val="28"/>
        </w:rPr>
        <w:t>辅料项目的建筑工程设计过程中，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计原则，以确保制剂辅</w:t>
      </w:r>
      <w:r>
        <w:rPr>
          <w:rFonts w:ascii="FangSong" w:eastAsia="FangSong" w:hAnsi="FangSong" w:cs="FangSong"/>
          <w:spacing w:val="-3"/>
          <w:sz w:val="28"/>
          <w:szCs w:val="28"/>
        </w:rPr>
        <w:t>料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6" w:lineRule="auto"/>
        <w:ind w:left="38" w:right="19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要</w:t>
      </w:r>
      <w:r>
        <w:rPr>
          <w:rFonts w:ascii="FangSong" w:eastAsia="FangSong" w:hAnsi="FangSong" w:cs="FangSong"/>
          <w:spacing w:val="-11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</w:p>
    <w:p>
      <w:pPr>
        <w:sectPr>
          <w:pgSz w:w="11906" w:h="16839"/>
          <w:pgMar w:top="1431" w:right="1603" w:bottom="0" w:left="1785" w:header="0" w:footer="0" w:gutter="0"/>
          <w:pgNumType w:start="17"/>
          <w:cols w:space="708"/>
        </w:sectPr>
      </w:pPr>
    </w:p>
    <w:p>
      <w:pPr>
        <w:spacing w:before="183" w:line="219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290" w:line="222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9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制剂辅料项目总平面设计要求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制剂</w:t>
      </w:r>
      <w:r>
        <w:rPr>
          <w:rFonts w:ascii="FangSong" w:eastAsia="FangSong" w:hAnsi="FangSong" w:cs="FangSong"/>
          <w:spacing w:val="-14"/>
          <w:sz w:val="28"/>
          <w:szCs w:val="28"/>
        </w:rPr>
        <w:t>辅</w:t>
      </w:r>
      <w:r>
        <w:rPr>
          <w:rFonts w:ascii="FangSong" w:eastAsia="FangSong" w:hAnsi="FangSong" w:cs="FangSong"/>
          <w:spacing w:val="-8"/>
          <w:sz w:val="28"/>
          <w:szCs w:val="28"/>
        </w:rPr>
        <w:t>料项目总平面设计将充分考虑以下要求，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pacing w:val="-5"/>
          <w:sz w:val="28"/>
          <w:szCs w:val="28"/>
        </w:rPr>
        <w:t>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定，适应制剂辅料项目的实际使用需要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ectPr>
          <w:pgSz w:w="11906" w:h="16839"/>
          <w:pgMar w:top="1431" w:right="1718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9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剂辅料项目所处地区的地质条件和地震风险，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抗震设防烈度。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3"/>
          <w:sz w:val="28"/>
          <w:szCs w:val="28"/>
        </w:rPr>
        <w:t>构将被设计以保证在地震发生时能够安全稳定地承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受</w:t>
      </w:r>
      <w:r>
        <w:rPr>
          <w:rFonts w:ascii="FangSong" w:eastAsia="FangSong" w:hAnsi="FangSong" w:cs="FangSong"/>
          <w:spacing w:val="-7"/>
          <w:sz w:val="28"/>
          <w:szCs w:val="28"/>
        </w:rPr>
        <w:t>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0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结合制剂辅料项目的实际需求和环境条件，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</w:t>
      </w:r>
      <w:r>
        <w:rPr>
          <w:rFonts w:ascii="FangSong" w:eastAsia="FangSong" w:hAnsi="FangSong" w:cs="FangSong"/>
          <w:spacing w:val="-7"/>
          <w:sz w:val="28"/>
          <w:szCs w:val="28"/>
        </w:rPr>
        <w:t>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性</w:t>
      </w:r>
      <w:r>
        <w:rPr>
          <w:rFonts w:ascii="FangSong" w:eastAsia="FangSong" w:hAnsi="FangSong" w:cs="FangSong"/>
          <w:spacing w:val="-8"/>
          <w:sz w:val="28"/>
          <w:szCs w:val="28"/>
        </w:rPr>
        <w:t>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保持良</w:t>
      </w:r>
      <w:r>
        <w:rPr>
          <w:rFonts w:ascii="FangSong" w:eastAsia="FangSong" w:hAnsi="FangSong" w:cs="FangSong"/>
          <w:spacing w:val="-3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415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筑工程的设计总体要求是确保制剂辅料项目实现预期功能、安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全</w:t>
      </w:r>
      <w:r>
        <w:rPr>
          <w:rFonts w:ascii="FangSong" w:eastAsia="FangSong" w:hAnsi="FangSong" w:cs="FangSong"/>
          <w:spacing w:val="-20"/>
          <w:sz w:val="28"/>
          <w:szCs w:val="28"/>
        </w:rPr>
        <w:t>稳</w:t>
      </w:r>
      <w:r>
        <w:rPr>
          <w:rFonts w:ascii="FangSong" w:eastAsia="FangSong" w:hAnsi="FangSong" w:cs="FangSong"/>
          <w:spacing w:val="-13"/>
          <w:sz w:val="28"/>
          <w:szCs w:val="28"/>
        </w:rPr>
        <w:t>定、符合法规标准，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并在美学、经济和可持续性等方面取得平衡。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下面</w:t>
      </w:r>
      <w:r>
        <w:rPr>
          <w:rFonts w:ascii="FangSong" w:eastAsia="FangSong" w:hAnsi="FangSong" w:cs="FangSong"/>
          <w:spacing w:val="-6"/>
          <w:sz w:val="28"/>
          <w:szCs w:val="28"/>
        </w:rPr>
        <w:t>是</w:t>
      </w:r>
      <w:r>
        <w:rPr>
          <w:rFonts w:ascii="FangSong" w:eastAsia="FangSong" w:hAnsi="FangSong" w:cs="FangSong"/>
          <w:spacing w:val="-4"/>
          <w:sz w:val="28"/>
          <w:szCs w:val="28"/>
        </w:rPr>
        <w:t>我们对建筑工程设计的总体要求：</w:t>
      </w:r>
    </w:p>
    <w:p>
      <w:pPr>
        <w:sectPr>
          <w:pgSz w:w="11906" w:h="16839"/>
          <w:pgMar w:top="1431" w:right="1697" w:bottom="0" w:left="1785" w:header="0" w:footer="0" w:gutter="0"/>
          <w:pgNumType w:start="20"/>
          <w:cols w:space="708"/>
        </w:sectPr>
      </w:pPr>
    </w:p>
    <w:p>
      <w:pPr>
        <w:spacing w:before="183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4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建筑的功能布局满足制剂辅料项目需求，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理分布，形成高效的空间利用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9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89" w:line="219" w:lineRule="auto"/>
        <w:ind w:right="9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</w:t>
      </w:r>
      <w:r>
        <w:rPr>
          <w:rFonts w:ascii="FangSong" w:eastAsia="FangSong" w:hAnsi="FangSong" w:cs="FangSong"/>
          <w:spacing w:val="-13"/>
          <w:sz w:val="28"/>
          <w:szCs w:val="28"/>
        </w:rPr>
        <w:t>回</w:t>
      </w:r>
    </w:p>
    <w:p>
      <w:pPr>
        <w:spacing w:before="29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ectPr>
          <w:pgSz w:w="11906" w:h="16839"/>
          <w:pgMar w:top="1431" w:right="1704" w:bottom="0" w:left="1785" w:header="0" w:footer="0" w:gutter="0"/>
          <w:pgNumType w:start="21"/>
          <w:cols w:space="708"/>
        </w:sectPr>
      </w:pPr>
    </w:p>
    <w:p>
      <w:pPr>
        <w:spacing w:before="184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3" w:line="415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能够达到高标准，满足制剂辅料项目的长期发展需求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2" w:right="7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制剂辅料项目规</w:t>
      </w:r>
      <w:r>
        <w:rPr>
          <w:rFonts w:ascii="FangSong" w:eastAsia="FangSong" w:hAnsi="FangSong" w:cs="FangSong"/>
          <w:spacing w:val="-3"/>
          <w:sz w:val="28"/>
          <w:szCs w:val="28"/>
        </w:rPr>
        <w:t>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剂辅料项目的功能布局和需求，确保各功能区域得到合理的利</w:t>
      </w:r>
      <w:r>
        <w:rPr>
          <w:rFonts w:ascii="FangSong" w:eastAsia="FangSong" w:hAnsi="FangSong" w:cs="FangSong"/>
          <w:sz w:val="28"/>
          <w:szCs w:val="28"/>
        </w:rPr>
        <w:t>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7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https://d.book118.com/596102234221010101</w:t>
        </w:r>
      </w:hyperlink>
    </w:p>
    <w:p/>
    <w:sectPr>
      <w:pgSz w:w="11906" w:h="16839"/>
      <w:pgMar w:top="1431" w:right="1724" w:bottom="0" w:left="1785" w:header="0" w:footer="0" w:gutter="0"/>
      <w:pgNumType w:start="2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59610223422101010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2024-03-13T13:00:56Z</vt:filetime>
  </property>
  <property fmtid="{D5CDD505-2E9C-101B-9397-08002B2CF9AE}" pid="3" name="CRO">
    <vt:lpwstr>wqlLaW5nc29mdCBQREYgdG8gV1BTIDgw</vt:lpwstr>
  </property>
</Properties>
</file>