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Ｘ射线高频高压发生装置战略市场规划报告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853" w:history="1">
        <w:r>
          <w:rPr>
            <w:rFonts w:ascii="仿宋" w:eastAsia="仿宋" w:hAnsi="仿宋" w:cs="仿宋" w:hint="eastAsia"/>
            <w:lang w:val="en-GB"/>
          </w:rPr>
          <w:t>概论</w:t>
        </w:r>
        <w:r>
          <w:tab/>
        </w:r>
        <w:r>
          <w:fldChar w:fldCharType="begin"/>
        </w:r>
        <w:r>
          <w:instrText xml:space="preserve"> PAGEREF _Toc14853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3" w:history="1">
        <w:r>
          <w:rPr>
            <w:rFonts w:ascii="仿宋" w:eastAsia="仿宋" w:hAnsi="仿宋" w:cs="仿宋" w:hint="eastAsia"/>
            <w:lang w:val="en-GB"/>
          </w:rPr>
          <w:t>一、Ｘ射线高频高压发生装置行业发展现状</w:t>
        </w:r>
        <w:r>
          <w:tab/>
        </w:r>
        <w:r>
          <w:fldChar w:fldCharType="begin"/>
        </w:r>
        <w:r>
          <w:instrText xml:space="preserve"> PAGEREF _Toc15623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6" w:history="1">
        <w:r>
          <w:rPr>
            <w:rFonts w:ascii="仿宋" w:eastAsia="仿宋" w:hAnsi="仿宋" w:cs="仿宋" w:hint="eastAsia"/>
            <w:lang w:val="en-GB"/>
          </w:rPr>
          <w:t>(一)、Ｘ射线高频高压发生装置行业整体概况</w:t>
        </w:r>
        <w:r>
          <w:tab/>
        </w:r>
        <w:r>
          <w:fldChar w:fldCharType="begin"/>
        </w:r>
        <w:r>
          <w:instrText xml:space="preserve"> PAGEREF _Toc10956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2" w:history="1">
        <w:r>
          <w:rPr>
            <w:rFonts w:ascii="仿宋" w:eastAsia="仿宋" w:hAnsi="仿宋" w:cs="仿宋" w:hint="eastAsia"/>
            <w:lang w:val="en-GB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_Toc22222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2" w:history="1">
        <w:r>
          <w:rPr>
            <w:rFonts w:ascii="仿宋" w:eastAsia="仿宋" w:hAnsi="仿宋" w:cs="仿宋" w:hint="eastAsia"/>
            <w:lang w:val="en-GB"/>
          </w:rPr>
          <w:t>(三)、政策与法规</w:t>
        </w:r>
        <w:r>
          <w:tab/>
        </w:r>
        <w:r>
          <w:fldChar w:fldCharType="begin"/>
        </w:r>
        <w:r>
          <w:instrText xml:space="preserve"> PAGEREF _Toc9672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6" w:history="1">
        <w:r>
          <w:rPr>
            <w:rFonts w:ascii="仿宋" w:eastAsia="仿宋" w:hAnsi="仿宋" w:cs="仿宋" w:hint="eastAsia"/>
            <w:lang w:val="en-GB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_Toc26376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85" w:history="1">
        <w:r>
          <w:rPr>
            <w:rFonts w:ascii="仿宋" w:eastAsia="仿宋" w:hAnsi="仿宋" w:cs="仿宋" w:hint="eastAsia"/>
            <w:lang w:val="en-GB"/>
          </w:rPr>
          <w:t>二、Ｘ射线高频高压发生装置项目概论</w:t>
        </w:r>
        <w:r>
          <w:tab/>
        </w:r>
        <w:r>
          <w:fldChar w:fldCharType="begin"/>
        </w:r>
        <w:r>
          <w:instrText xml:space="preserve"> PAGEREF _Toc25385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3" w:history="1">
        <w:r>
          <w:rPr>
            <w:rFonts w:ascii="仿宋" w:eastAsia="仿宋" w:hAnsi="仿宋" w:cs="仿宋" w:hint="eastAsia"/>
            <w:lang w:val="en-GB"/>
          </w:rPr>
          <w:t>(一)、Ｘ射线高频高压发生装置项目概述</w:t>
        </w:r>
        <w:r>
          <w:tab/>
        </w:r>
        <w:r>
          <w:fldChar w:fldCharType="begin"/>
        </w:r>
        <w:r>
          <w:instrText xml:space="preserve"> PAGEREF _Toc4053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8" w:history="1">
        <w:r>
          <w:rPr>
            <w:rFonts w:ascii="仿宋" w:eastAsia="仿宋" w:hAnsi="仿宋" w:cs="仿宋" w:hint="eastAsia"/>
            <w:lang w:val="en-GB"/>
          </w:rPr>
          <w:t>(二)、Ｘ射线高频高压发生装置项目总投资及资金构成</w:t>
        </w:r>
        <w:r>
          <w:tab/>
        </w:r>
        <w:r>
          <w:fldChar w:fldCharType="begin"/>
        </w:r>
        <w:r>
          <w:instrText xml:space="preserve"> PAGEREF _Toc17558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6" w:history="1">
        <w:r>
          <w:rPr>
            <w:rFonts w:ascii="仿宋" w:eastAsia="仿宋" w:hAnsi="仿宋" w:cs="仿宋" w:hint="eastAsia"/>
            <w:lang w:val="en-GB"/>
          </w:rPr>
          <w:t>(三)、资金筹措方案</w:t>
        </w:r>
        <w:r>
          <w:tab/>
        </w:r>
        <w:r>
          <w:fldChar w:fldCharType="begin"/>
        </w:r>
        <w:r>
          <w:instrText xml:space="preserve"> PAGEREF _Toc23606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" w:history="1">
        <w:r>
          <w:rPr>
            <w:rFonts w:ascii="仿宋" w:eastAsia="仿宋" w:hAnsi="仿宋" w:cs="仿宋" w:hint="eastAsia"/>
            <w:lang w:val="en-GB"/>
          </w:rPr>
          <w:t>(四)、Ｘ射线高频高压发生装置项目预期经济效益规划目标</w:t>
        </w:r>
        <w:r>
          <w:tab/>
        </w:r>
        <w:r>
          <w:fldChar w:fldCharType="begin"/>
        </w:r>
        <w:r>
          <w:instrText xml:space="preserve"> PAGEREF _Toc281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0" w:history="1">
        <w:r>
          <w:rPr>
            <w:rFonts w:ascii="仿宋" w:eastAsia="仿宋" w:hAnsi="仿宋" w:cs="仿宋" w:hint="eastAsia"/>
            <w:lang w:val="en-GB"/>
          </w:rPr>
          <w:t>(五)、Ｘ射线高频高压发生装置项目建设进度规划</w:t>
        </w:r>
        <w:r>
          <w:tab/>
        </w:r>
        <w:r>
          <w:fldChar w:fldCharType="begin"/>
        </w:r>
        <w:r>
          <w:instrText xml:space="preserve"> PAGEREF _Toc26330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18" w:history="1">
        <w:r>
          <w:rPr>
            <w:rFonts w:ascii="仿宋" w:eastAsia="仿宋" w:hAnsi="仿宋" w:cs="仿宋" w:hint="eastAsia"/>
            <w:lang w:val="en-GB"/>
          </w:rPr>
          <w:t>三、SWOT分析说明</w:t>
        </w:r>
        <w:r>
          <w:tab/>
        </w:r>
        <w:r>
          <w:fldChar w:fldCharType="begin"/>
        </w:r>
        <w:r>
          <w:instrText xml:space="preserve"> PAGEREF _Toc12618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9" w:history="1">
        <w:r>
          <w:rPr>
            <w:rFonts w:ascii="仿宋" w:eastAsia="仿宋" w:hAnsi="仿宋" w:cs="仿宋" w:hint="eastAsia"/>
            <w:lang w:val="en-GB"/>
          </w:rPr>
          <w:t>(一)、优势分析(S)</w:t>
        </w:r>
        <w:r>
          <w:tab/>
        </w:r>
        <w:r>
          <w:fldChar w:fldCharType="begin"/>
        </w:r>
        <w:r>
          <w:instrText xml:space="preserve"> PAGEREF _Toc13329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9" w:history="1">
        <w:r>
          <w:rPr>
            <w:rFonts w:ascii="仿宋" w:eastAsia="仿宋" w:hAnsi="仿宋" w:cs="仿宋" w:hint="eastAsia"/>
            <w:lang w:val="en-GB"/>
          </w:rPr>
          <w:t>(二)、劣势分析(W)</w:t>
        </w:r>
        <w:r>
          <w:tab/>
        </w:r>
        <w:r>
          <w:fldChar w:fldCharType="begin"/>
        </w:r>
        <w:r>
          <w:instrText xml:space="preserve"> PAGEREF _Toc17899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8" w:history="1">
        <w:r>
          <w:rPr>
            <w:rFonts w:ascii="仿宋" w:eastAsia="仿宋" w:hAnsi="仿宋" w:cs="仿宋" w:hint="eastAsia"/>
            <w:lang w:val="en-GB"/>
          </w:rPr>
          <w:t>(三)、机会分析(O)</w:t>
        </w:r>
        <w:r>
          <w:tab/>
        </w:r>
        <w:r>
          <w:fldChar w:fldCharType="begin"/>
        </w:r>
        <w:r>
          <w:instrText xml:space="preserve"> PAGEREF _Toc16508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" w:history="1">
        <w:r>
          <w:rPr>
            <w:rFonts w:ascii="仿宋" w:eastAsia="仿宋" w:hAnsi="仿宋" w:cs="仿宋" w:hint="eastAsia"/>
            <w:lang w:val="en-GB"/>
          </w:rPr>
          <w:t>(四)、威胁分析(T)</w:t>
        </w:r>
        <w:r>
          <w:tab/>
        </w:r>
        <w:r>
          <w:fldChar w:fldCharType="begin"/>
        </w:r>
        <w:r>
          <w:instrText xml:space="preserve"> PAGEREF _Toc1114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72" w:history="1">
        <w:r>
          <w:rPr>
            <w:rFonts w:ascii="仿宋" w:eastAsia="仿宋" w:hAnsi="仿宋" w:cs="仿宋" w:hint="eastAsia"/>
            <w:lang w:val="en-GB"/>
          </w:rPr>
          <w:t>四、公司简介</w:t>
        </w:r>
        <w:r>
          <w:tab/>
        </w:r>
        <w:r>
          <w:fldChar w:fldCharType="begin"/>
        </w:r>
        <w:r>
          <w:instrText xml:space="preserve"> PAGEREF _Toc4672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9" w:history="1">
        <w:r>
          <w:rPr>
            <w:rFonts w:ascii="仿宋" w:eastAsia="仿宋" w:hAnsi="仿宋" w:cs="仿宋" w:hint="eastAsia"/>
            <w:lang w:val="en-GB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_Toc16249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4" w:history="1">
        <w:r>
          <w:rPr>
            <w:rFonts w:ascii="仿宋" w:eastAsia="仿宋" w:hAnsi="仿宋" w:cs="仿宋" w:hint="eastAsia"/>
            <w:lang w:val="en-GB"/>
          </w:rPr>
          <w:t>(二)、公司简介</w:t>
        </w:r>
        <w:r>
          <w:tab/>
        </w:r>
        <w:r>
          <w:fldChar w:fldCharType="begin"/>
        </w:r>
        <w:r>
          <w:instrText xml:space="preserve"> PAGEREF _Toc18624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8" w:history="1">
        <w:r>
          <w:rPr>
            <w:rFonts w:ascii="仿宋" w:eastAsia="仿宋" w:hAnsi="仿宋" w:cs="仿宋" w:hint="eastAsia"/>
            <w:lang w:val="en-GB"/>
          </w:rPr>
          <w:t>五、人力资源分析</w:t>
        </w:r>
        <w:r>
          <w:tab/>
        </w:r>
        <w:r>
          <w:fldChar w:fldCharType="begin"/>
        </w:r>
        <w:r>
          <w:instrText xml:space="preserve"> PAGEREF _Toc30978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6" w:history="1">
        <w:r>
          <w:rPr>
            <w:rFonts w:ascii="仿宋" w:eastAsia="仿宋" w:hAnsi="仿宋" w:cs="仿宋" w:hint="eastAsia"/>
            <w:lang w:val="en-GB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_Toc18216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6" w:history="1">
        <w:r>
          <w:rPr>
            <w:rFonts w:ascii="仿宋" w:eastAsia="仿宋" w:hAnsi="仿宋" w:cs="仿宋" w:hint="eastAsia"/>
            <w:lang w:val="en-GB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_Toc13926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4" w:history="1">
        <w:r>
          <w:rPr>
            <w:rFonts w:ascii="仿宋" w:eastAsia="仿宋" w:hAnsi="仿宋" w:cs="仿宋" w:hint="eastAsia"/>
            <w:lang w:val="en-GB"/>
          </w:rPr>
          <w:t>六、Ｘ射线高频高压发生装置整合营销</w:t>
        </w:r>
        <w:r>
          <w:tab/>
        </w:r>
        <w:r>
          <w:fldChar w:fldCharType="begin"/>
        </w:r>
        <w:r>
          <w:instrText xml:space="preserve"> PAGEREF _Toc14414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3" w:history="1">
        <w:r>
          <w:rPr>
            <w:rFonts w:ascii="仿宋" w:eastAsia="仿宋" w:hAnsi="仿宋" w:cs="仿宋" w:hint="eastAsia"/>
            <w:lang w:val="en-GB"/>
          </w:rPr>
          <w:t>(一)、跨渠道整合</w:t>
        </w:r>
        <w:r>
          <w:tab/>
        </w:r>
        <w:r>
          <w:fldChar w:fldCharType="begin"/>
        </w:r>
        <w:r>
          <w:instrText xml:space="preserve"> PAGEREF _Toc28063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3" w:history="1">
        <w:r>
          <w:rPr>
            <w:rFonts w:ascii="仿宋" w:eastAsia="仿宋" w:hAnsi="仿宋" w:cs="仿宋" w:hint="eastAsia"/>
            <w:lang w:val="en-GB"/>
          </w:rPr>
          <w:t>(二)、品牌一体化</w:t>
        </w:r>
        <w:r>
          <w:tab/>
        </w:r>
        <w:r>
          <w:fldChar w:fldCharType="begin"/>
        </w:r>
        <w:r>
          <w:instrText xml:space="preserve"> PAGEREF _Toc24253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9" w:history="1">
        <w:r>
          <w:rPr>
            <w:rFonts w:ascii="仿宋" w:eastAsia="仿宋" w:hAnsi="仿宋" w:cs="仿宋" w:hint="eastAsia"/>
            <w:lang w:val="en-GB"/>
          </w:rPr>
          <w:t>(三)、数据整合</w:t>
        </w:r>
        <w:r>
          <w:tab/>
        </w:r>
        <w:r>
          <w:fldChar w:fldCharType="begin"/>
        </w:r>
        <w:r>
          <w:instrText xml:space="preserve"> PAGEREF _Toc20899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8" w:history="1">
        <w:r>
          <w:rPr>
            <w:rFonts w:ascii="仿宋" w:eastAsia="仿宋" w:hAnsi="仿宋" w:cs="仿宋" w:hint="eastAsia"/>
            <w:lang w:val="en-GB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_Toc31198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1" w:history="1">
        <w:r>
          <w:rPr>
            <w:rFonts w:ascii="仿宋" w:eastAsia="仿宋" w:hAnsi="仿宋" w:cs="仿宋" w:hint="eastAsia"/>
            <w:lang w:val="en-GB"/>
          </w:rPr>
          <w:t>七、Ｘ射线高频高压发生装置定价策略</w:t>
        </w:r>
        <w:r>
          <w:tab/>
        </w:r>
        <w:r>
          <w:fldChar w:fldCharType="begin"/>
        </w:r>
        <w:r>
          <w:instrText xml:space="preserve"> PAGEREF _Toc17241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4" w:history="1">
        <w:r>
          <w:rPr>
            <w:rFonts w:ascii="仿宋" w:eastAsia="仿宋" w:hAnsi="仿宋" w:cs="仿宋" w:hint="eastAsia"/>
            <w:lang w:val="en-GB"/>
          </w:rPr>
          <w:t>(一)、定价策略概述</w:t>
        </w:r>
        <w:r>
          <w:tab/>
        </w:r>
        <w:r>
          <w:fldChar w:fldCharType="begin"/>
        </w:r>
        <w:r>
          <w:instrText xml:space="preserve"> PAGEREF _Toc4504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0" w:history="1">
        <w:r>
          <w:rPr>
            <w:rFonts w:ascii="仿宋" w:eastAsia="仿宋" w:hAnsi="仿宋" w:cs="仿宋" w:hint="eastAsia"/>
            <w:lang w:val="en-GB"/>
          </w:rPr>
          <w:t>(二)、成本分析</w:t>
        </w:r>
        <w:r>
          <w:tab/>
        </w:r>
        <w:r>
          <w:fldChar w:fldCharType="begin"/>
        </w:r>
        <w:r>
          <w:instrText xml:space="preserve"> PAGEREF _Toc4920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9" w:history="1">
        <w:r>
          <w:rPr>
            <w:rFonts w:ascii="仿宋" w:eastAsia="仿宋" w:hAnsi="仿宋" w:cs="仿宋" w:hint="eastAsia"/>
            <w:lang w:val="en-GB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_Toc17389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6" w:history="1">
        <w:r>
          <w:rPr>
            <w:rFonts w:ascii="仿宋" w:eastAsia="仿宋" w:hAnsi="仿宋" w:cs="仿宋" w:hint="eastAsia"/>
            <w:lang w:val="en-GB"/>
          </w:rPr>
          <w:t>(四)、竞争对手定价</w:t>
        </w:r>
        <w:r>
          <w:tab/>
        </w:r>
        <w:r>
          <w:fldChar w:fldCharType="begin"/>
        </w:r>
        <w:r>
          <w:instrText xml:space="preserve"> PAGEREF _Toc24836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1" w:history="1">
        <w:r>
          <w:rPr>
            <w:rFonts w:ascii="仿宋" w:eastAsia="仿宋" w:hAnsi="仿宋" w:cs="仿宋" w:hint="eastAsia"/>
            <w:lang w:val="en-GB"/>
          </w:rPr>
          <w:t>八、Ｘ射线高频高压发生装置消费者市场分析</w:t>
        </w:r>
        <w:r>
          <w:tab/>
        </w:r>
        <w:r>
          <w:fldChar w:fldCharType="begin"/>
        </w:r>
        <w:r>
          <w:instrText xml:space="preserve"> PAGEREF _Toc19531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3" w:history="1">
        <w:r>
          <w:rPr>
            <w:rFonts w:ascii="仿宋" w:eastAsia="仿宋" w:hAnsi="仿宋" w:cs="仿宋" w:hint="eastAsia"/>
            <w:lang w:val="en-GB"/>
          </w:rPr>
          <w:t>(一)、目标客户群体</w:t>
        </w:r>
        <w:r>
          <w:tab/>
        </w:r>
        <w:r>
          <w:fldChar w:fldCharType="begin"/>
        </w:r>
        <w:r>
          <w:instrText xml:space="preserve"> PAGEREF _Toc4673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2" w:history="1">
        <w:r>
          <w:rPr>
            <w:rFonts w:ascii="仿宋" w:eastAsia="仿宋" w:hAnsi="仿宋" w:cs="仿宋" w:hint="eastAsia"/>
            <w:lang w:val="en-GB"/>
          </w:rPr>
          <w:t>(二)、消费者需求</w:t>
        </w:r>
        <w:r>
          <w:tab/>
        </w:r>
        <w:r>
          <w:fldChar w:fldCharType="begin"/>
        </w:r>
        <w:r>
          <w:instrText xml:space="preserve"> PAGEREF _Toc31412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80" w:history="1">
        <w:r>
          <w:rPr>
            <w:rFonts w:ascii="仿宋" w:eastAsia="仿宋" w:hAnsi="仿宋" w:cs="仿宋" w:hint="eastAsia"/>
            <w:lang w:val="en-GB"/>
          </w:rPr>
          <w:t>九、Ｘ射线高频高压发生装置促销策略</w:t>
        </w:r>
        <w:r>
          <w:tab/>
        </w:r>
        <w:r>
          <w:fldChar w:fldCharType="begin"/>
        </w:r>
        <w:r>
          <w:instrText xml:space="preserve"> PAGEREF _Toc23880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5" w:history="1">
        <w:r>
          <w:rPr>
            <w:rFonts w:ascii="仿宋" w:eastAsia="仿宋" w:hAnsi="仿宋" w:cs="仿宋" w:hint="eastAsia"/>
            <w:lang w:val="en-GB"/>
          </w:rPr>
          <w:t>(一)、广告与宣传</w:t>
        </w:r>
        <w:r>
          <w:tab/>
        </w:r>
        <w:r>
          <w:fldChar w:fldCharType="begin"/>
        </w:r>
        <w:r>
          <w:instrText xml:space="preserve"> PAGEREF _Toc16625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6" w:history="1">
        <w:r>
          <w:rPr>
            <w:rFonts w:ascii="仿宋" w:eastAsia="仿宋" w:hAnsi="仿宋" w:cs="仿宋" w:hint="eastAsia"/>
            <w:lang w:val="en-GB"/>
          </w:rPr>
          <w:t>(二)、促销活动</w:t>
        </w:r>
        <w:r>
          <w:tab/>
        </w:r>
        <w:r>
          <w:fldChar w:fldCharType="begin"/>
        </w:r>
        <w:r>
          <w:instrText xml:space="preserve"> PAGEREF _Toc5686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val="en-GB"/>
          </w:rPr>
          <w:t>(三)、品牌推广</w:t>
        </w:r>
        <w:r>
          <w:tab/>
        </w:r>
        <w:r>
          <w:fldChar w:fldCharType="begin"/>
        </w:r>
        <w:r>
          <w:instrText xml:space="preserve"> PAGEREF _Toc28250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0" w:history="1">
        <w:r>
          <w:rPr>
            <w:rFonts w:ascii="仿宋" w:eastAsia="仿宋" w:hAnsi="仿宋" w:cs="仿宋" w:hint="eastAsia"/>
            <w:lang w:val="en-GB"/>
          </w:rPr>
          <w:t>(四)、数字营销</w:t>
        </w:r>
        <w:r>
          <w:tab/>
        </w:r>
        <w:r>
          <w:fldChar w:fldCharType="begin"/>
        </w:r>
        <w:r>
          <w:instrText xml:space="preserve"> PAGEREF _Toc5120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089" w:history="1">
        <w:r>
          <w:rPr>
            <w:rFonts w:ascii="仿宋" w:eastAsia="仿宋" w:hAnsi="仿宋" w:cs="仿宋" w:hint="eastAsia"/>
            <w:lang w:val="en-GB"/>
          </w:rPr>
          <w:t>十、Ｘ射线高频高压发生装置行业竞争对选址的影响</w:t>
        </w:r>
        <w:r>
          <w:tab/>
        </w:r>
        <w:r>
          <w:fldChar w:fldCharType="begin"/>
        </w:r>
        <w:r>
          <w:instrText xml:space="preserve"> PAGEREF _Toc14089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6" w:history="1">
        <w:r>
          <w:rPr>
            <w:rFonts w:ascii="仿宋" w:eastAsia="仿宋" w:hAnsi="仿宋" w:cs="仿宋" w:hint="eastAsia"/>
            <w:lang w:val="en-GB"/>
          </w:rPr>
          <w:t>(一)、地理位置分析</w:t>
        </w:r>
        <w:r>
          <w:tab/>
        </w:r>
        <w:r>
          <w:fldChar w:fldCharType="begin"/>
        </w:r>
        <w:r>
          <w:instrText xml:space="preserve"> PAGEREF _Toc30576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3" w:history="1">
        <w:r>
          <w:rPr>
            <w:rFonts w:ascii="仿宋" w:eastAsia="仿宋" w:hAnsi="仿宋" w:cs="仿宋" w:hint="eastAsia"/>
            <w:lang w:val="en-GB"/>
          </w:rPr>
          <w:t>(二)、供应链优势</w:t>
        </w:r>
        <w:r>
          <w:tab/>
        </w:r>
        <w:r>
          <w:fldChar w:fldCharType="begin"/>
        </w:r>
        <w:r>
          <w:instrText xml:space="preserve"> PAGEREF _Toc18793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7" w:history="1">
        <w:r>
          <w:rPr>
            <w:rFonts w:ascii="仿宋" w:eastAsia="仿宋" w:hAnsi="仿宋" w:cs="仿宋" w:hint="eastAsia"/>
            <w:lang w:val="en-GB"/>
          </w:rPr>
          <w:t>(三)、人才资源</w:t>
        </w:r>
        <w:r>
          <w:tab/>
        </w:r>
        <w:r>
          <w:fldChar w:fldCharType="begin"/>
        </w:r>
        <w:r>
          <w:instrText xml:space="preserve"> PAGEREF _Toc10977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0" w:history="1">
        <w:r>
          <w:rPr>
            <w:rFonts w:ascii="仿宋" w:eastAsia="仿宋" w:hAnsi="仿宋" w:cs="仿宋" w:hint="eastAsia"/>
            <w:lang w:val="en-GB"/>
          </w:rPr>
          <w:t>(四)、政策支持</w:t>
        </w:r>
        <w:r>
          <w:tab/>
        </w:r>
        <w:r>
          <w:fldChar w:fldCharType="begin"/>
        </w:r>
        <w:r>
          <w:instrText xml:space="preserve"> PAGEREF _Toc3460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57" w:history="1">
        <w:r>
          <w:rPr>
            <w:rFonts w:ascii="仿宋" w:eastAsia="仿宋" w:hAnsi="仿宋" w:cs="仿宋" w:hint="eastAsia"/>
            <w:lang w:val="en-GB"/>
          </w:rPr>
          <w:t>十一、Ｘ射线高频高压发生装置人才战略与团队建设</w:t>
        </w:r>
        <w:r>
          <w:tab/>
        </w:r>
        <w:r>
          <w:fldChar w:fldCharType="begin"/>
        </w:r>
        <w:r>
          <w:instrText xml:space="preserve"> PAGEREF _Toc26857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9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_Toc17279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0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_Toc18780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8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_Toc8988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8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_Toc3908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8" w:history="1">
        <w:r>
          <w:rPr>
            <w:rFonts w:ascii="仿宋" w:eastAsia="仿宋" w:hAnsi="仿宋" w:cs="仿宋" w:hint="eastAsia"/>
            <w:lang w:val="en-GB"/>
          </w:rPr>
          <w:t>十二、Ｘ射线高频高压发生装置国际化战略</w:t>
        </w:r>
        <w:r>
          <w:tab/>
        </w:r>
        <w:r>
          <w:fldChar w:fldCharType="begin"/>
        </w:r>
        <w:r>
          <w:instrText xml:space="preserve"> PAGEREF _Toc27718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" w:history="1">
        <w:r>
          <w:rPr>
            <w:rFonts w:ascii="仿宋" w:eastAsia="仿宋" w:hAnsi="仿宋" w:cs="仿宋" w:hint="eastAsia"/>
            <w:lang w:val="en-GB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_Toc1989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6" w:history="1">
        <w:r>
          <w:rPr>
            <w:rFonts w:ascii="仿宋" w:eastAsia="仿宋" w:hAnsi="仿宋" w:cs="仿宋" w:hint="eastAsia"/>
            <w:lang w:val="en-GB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_Toc6376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" w:history="1">
        <w:r>
          <w:rPr>
            <w:rFonts w:ascii="仿宋" w:eastAsia="仿宋" w:hAnsi="仿宋" w:cs="仿宋" w:hint="eastAsia"/>
            <w:lang w:val="en-GB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_Toc2317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9" w:history="1">
        <w:r>
          <w:rPr>
            <w:rFonts w:ascii="仿宋" w:eastAsia="仿宋" w:hAnsi="仿宋" w:cs="仿宋" w:hint="eastAsia"/>
            <w:lang w:val="en-GB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_Toc8869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64" w:history="1">
        <w:r>
          <w:rPr>
            <w:rFonts w:ascii="仿宋" w:eastAsia="仿宋" w:hAnsi="仿宋" w:cs="仿宋" w:hint="eastAsia"/>
            <w:lang w:val="en-GB"/>
          </w:rPr>
          <w:t>十三、Ｘ射线高频高压发生装置风险管理与合规</w:t>
        </w:r>
        <w:r>
          <w:tab/>
        </w:r>
        <w:r>
          <w:fldChar w:fldCharType="begin"/>
        </w:r>
        <w:r>
          <w:instrText xml:space="preserve"> PAGEREF _Toc22964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5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_Toc9005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1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_Toc19521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_Toc3128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6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_Toc30636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72" w:history="1">
        <w:r>
          <w:rPr>
            <w:rFonts w:ascii="仿宋" w:eastAsia="仿宋" w:hAnsi="仿宋" w:cs="仿宋" w:hint="eastAsia"/>
            <w:lang w:val="en-GB"/>
          </w:rPr>
          <w:t>十四、Ｘ射线高频高压发生装置数字化发展方案</w:t>
        </w:r>
        <w:r>
          <w:tab/>
        </w:r>
        <w:r>
          <w:fldChar w:fldCharType="begin"/>
        </w:r>
        <w:r>
          <w:instrText xml:space="preserve"> PAGEREF _Toc23672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7" w:history="1">
        <w:r>
          <w:rPr>
            <w:rFonts w:ascii="仿宋" w:eastAsia="仿宋" w:hAnsi="仿宋" w:cs="仿宋" w:hint="eastAsia"/>
            <w:lang w:val="en-GB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_Toc32017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6" w:history="1">
        <w:r>
          <w:rPr>
            <w:rFonts w:ascii="仿宋" w:eastAsia="仿宋" w:hAnsi="仿宋" w:cs="仿宋" w:hint="eastAsia"/>
            <w:lang w:val="en-GB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_Toc8446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" w:history="1">
        <w:r>
          <w:rPr>
            <w:rFonts w:ascii="仿宋" w:eastAsia="仿宋" w:hAnsi="仿宋" w:cs="仿宋" w:hint="eastAsia"/>
            <w:lang w:val="en-GB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_Toc3066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1" w:history="1">
        <w:r>
          <w:rPr>
            <w:rFonts w:ascii="仿宋" w:eastAsia="仿宋" w:hAnsi="仿宋" w:cs="仿宋" w:hint="eastAsia"/>
            <w:lang w:val="en-GB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_Toc20201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14853"/>
      <w:r>
        <w:rPr>
          <w:rFonts w:ascii="仿宋" w:eastAsia="仿宋" w:hAnsi="仿宋" w:cs="仿宋" w:hint="eastAsia"/>
          <w:lang w:val="en-GB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随着Ｘ射线高频高压发生装置市场竞争的不断加剧，Ｘ射线高频高压发生装置企业之间争夺市场份额的过程愈加复杂多变。本报告通过系统地分析市场趋势、行业壁垒、消费者偏好与竞争者行为，旨在为读者提供全面细致的市场分析及竞争策略。研究所得不仅能帮助企业制定科学合理的市场策略，还能在激烈的市场竞争中寻求到可持续的竞争优势。请注意，本报告的内容仅限于学习交流，严禁用于任何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15623"/>
      <w:r>
        <w:rPr>
          <w:rFonts w:ascii="仿宋" w:eastAsia="仿宋" w:hAnsi="仿宋" w:cs="仿宋" w:hint="eastAsia"/>
          <w:sz w:val="28"/>
          <w:lang w:val="en-GB"/>
        </w:rPr>
        <w:t>一、Ｘ射线高频高压发生装置行业发展现状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10956"/>
      <w:r>
        <w:rPr>
          <w:rFonts w:ascii="仿宋" w:eastAsia="仿宋" w:hAnsi="仿宋" w:cs="仿宋" w:hint="eastAsia"/>
          <w:lang w:val="en-GB"/>
        </w:rPr>
        <w:t>(一)、Ｘ射线高频高压发生装置行业整体概况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产值增长趋势： 深入分析市场规模的增长趋势，了解过去几年的发展状况以及未来的预测，以把握市场的潜在机会。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地域分布： 检视市场规模在不同地域的分布情况，是否存在地域性差异，以便企业能够有针对性地调整战略。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新兴市场： 了解新兴市场的发展潜力，是否存在尚未开发的Ｘ射线高频高压发生装置市场领域，以确定未来的市场扩张方向。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主要参与者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市场份额分析： 深入了解主要参与者的市场份额，以及这些份额的变化趋势，有助于评估企业在竞争中的地位。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企业战略： 分析主要参与者的战略选择，包括产品定位、市场定位、价格策略等，以获取对竞争格局的深入理解。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并购与合作： 观察企业是否进行并购或合作，以推动市场份额的扩大或获取新的技术和资源。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竞争形式： 了解竞争是激烈还是相对稳定，是否存在价格竞争、创新竞争等方面的特征。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新进入者： 分析新进入者的威胁程度，了解市场的准入难度，以预测未来的竞争格局。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供应链关系： 考察主要参与者之间的供应链关系，了解其对整个产业链的影响，以及可能的变革。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22222"/>
      <w:r>
        <w:rPr>
          <w:rFonts w:ascii="仿宋" w:eastAsia="仿宋" w:hAnsi="仿宋" w:cs="仿宋" w:hint="eastAsia"/>
          <w:sz w:val="28"/>
          <w:lang w:val="en-GB"/>
        </w:rPr>
        <w:t>(二)、技术创新与发展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新技术应用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先进制造技术： 调查Ｘ射线高频高压发生装置行业内是否采用了先进的制造技术，例如3D打印、机器人技术，以提高生产效率和产品质量。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智能化解决方案： 观察是否有公司推出智能化解决方案，包括智能城市、智能家居等，以适应社会对智能化的日益增长的需求。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生物技术： 检视生物技术在Ｘ射线高频高压发生装置行业中的应用，例如基因编辑、生物医学工程等，了解其在产品创新和治疗方面的潜在影响。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研发投入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研发预算： 分析Ｘ射线高频高压发生装置行业内公司是否增加了研发预算，以确定其对创新的承诺程度，并评估未来技术进步的潜力。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合作与联合研发： 了解公司是否与其他企业、研究机构建立合作关系进行联合研发，以促进创新加速。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创新实验室： 探讨公司是否设立创新实验室，以加速新技术的研发和实际应用。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数字化转型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数据分析和挖掘： 了解公司是否利用大数据分析和挖掘技术，以获取洞察和优化决策过程。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云计算与边缘计算： 考察是否有公司采用云计算和边缘计算，以提高数据存储和处理的效率。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物联网应用： 检视物联网在Ｘ射线高频高压发生装置行业内的应用，例如智能传感器、连接设备，以提高生产、管理和服务的智能化水平。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9672"/>
      <w:r>
        <w:rPr>
          <w:rFonts w:ascii="仿宋" w:eastAsia="仿宋" w:hAnsi="仿宋" w:cs="仿宋" w:hint="eastAsia"/>
          <w:sz w:val="28"/>
          <w:lang w:val="en-GB"/>
        </w:rPr>
        <w:t>(三)、政策与法规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对于政策与法规方面，公司将密切关注并积极应对各项变化：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1.</w:t>
      </w:r>
      <w:r>
        <w:rPr>
          <w:rFonts w:ascii="仿宋" w:eastAsia="仿宋" w:hAnsi="仿宋" w:cs="仿宋" w:hint="eastAsia"/>
          <w:sz w:val="28"/>
          <w:lang w:val="en-GB"/>
        </w:rPr>
        <w:t xml:space="preserve"> 支持政策响应计划：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公司将建立政策研究团队，定期关注政府发布的各类支持Ｘ射线高频高压发生装置行业发展的政策。一旦有相关政策出台，公司将及时评估对业务的影响，并制定相应的响应计划。这可能包括调整生产布局、优化产品结构，以充分利用政策红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环保法规合规策略： 公司将建立环保合规管理体系，确保生产活动符合国家和地方的环保法规要求。通过引入清洁生产技术、提高资源利用效率，公司将努力降低环境污染和资源浪费。定期进行内部环保合规审核，及时发现和纠正潜在的环保风险，确保公司在法规框架内合法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监管趋势预测机制： 公司将建立监管趋势监测机制，及时收集监管部门发布的各类信息，了解Ｘ射线高频高压发生装置行业监管的动态。与专业法律团队合作，进行法规解读和趋势预测，以便公司在法规调整前能够提前做好准备。同时，公司将积极参与Ｘ射线高频高压发生装置行业协会，通过协会渠道获取更多关于政策和法规的信息，保持敏感度和应变能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6" w:name="_Toc26376"/>
      <w:r>
        <w:rPr>
          <w:rFonts w:ascii="仿宋" w:eastAsia="仿宋" w:hAnsi="仿宋" w:cs="仿宋" w:hint="eastAsia"/>
          <w:sz w:val="28"/>
          <w:lang w:val="en-GB"/>
        </w:rPr>
        <w:t>(四)、消费者需求变化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在深入了解企业制定战略时必须考虑的消费者需求变化的基础上，下面是对这三个方面的进一步扩充：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消费升级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体验式购物： 消费者是否更加追求购物体验，例如通过虚拟现实(VR)或增强现实(AR)技术来丰富他们的购物过程。企业是否能够提供令人难忘的消费体验以满足这一趋势。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个性化定制的深度</w:t>
      </w:r>
      <w:r>
        <w:rPr>
          <w:rFonts w:ascii="仿宋" w:eastAsia="仿宋" w:hAnsi="仿宋" w:cs="仿宋" w:hint="eastAsia"/>
          <w:sz w:val="28"/>
          <w:lang w:val="en-GB"/>
        </w:rPr>
        <w:t>：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https://d.book118.com/596223010142010045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Ｘ射线高频高压发生装置战略市场规划报告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Ｘ射线高频高压发生装置战略市场规划报告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Ｘ射线高频高压发生装置战略市场规划报告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Ｘ射线高频高压发生装置战略市场规划报告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Ｘ射线高频高压发生装置战略市场规划报告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Ｘ射线高频高压发生装置战略市场规划报告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Ｘ射线高频高压发生装置战略市场规划报告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3E1FD8"/>
    <w:rsid w:val="019E643E"/>
    <w:rsid w:val="087B4B79"/>
    <w:rsid w:val="08A4245A"/>
    <w:rsid w:val="0B3E1FD8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96223010142010045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2024-01-10T16:03:00Z</dcterms:created>
  <dcterms:modified xsi:type="dcterms:W3CDTF">2024-01-10T16:04:04Z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6BF0E97AEF2544E3AB51CB980192CFA6_11</vt:lpwstr>
  </property>
  <property fmtid="{D5CDD505-2E9C-101B-9397-08002B2CF9AE}" pid="3" name="KSOProductBuildVer">
    <vt:lpwstr>2052-12.1.0.16120</vt:lpwstr>
  </property>
</Properties>
</file>