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F7985">
      <w:pPr>
        <w:pStyle w:val="Normal0"/>
        <w:jc w:val="center"/>
        <w:rPr>
          <w:rFonts w:ascii="黑体" w:eastAsia="黑体" w:hAnsi="黑体" w:cs="黑体"/>
          <w:b/>
          <w:bCs/>
          <w:sz w:val="72"/>
          <w:szCs w:val="72"/>
        </w:rPr>
      </w:pPr>
      <w:r>
        <w:rPr>
          <w:rFonts w:ascii="黑体" w:eastAsia="黑体" w:hAnsi="黑体" w:cs="黑体" w:hint="eastAsia"/>
          <w:b/>
          <w:bCs/>
          <w:sz w:val="72"/>
          <w:szCs w:val="72"/>
        </w:rPr>
        <w:t>贵州省六枝特区大用片区城市棚户区改造基础设施建设工程</w:t>
      </w:r>
    </w:p>
    <w:p w:rsidR="005F7985">
      <w:pPr>
        <w:pStyle w:val="Normal0"/>
        <w:jc w:val="center"/>
        <w:rPr>
          <w:rFonts w:ascii="黑体" w:eastAsia="黑体" w:hAnsi="黑体" w:cs="黑体"/>
          <w:b/>
          <w:bCs/>
          <w:sz w:val="84"/>
          <w:szCs w:val="84"/>
        </w:rPr>
      </w:pPr>
    </w:p>
    <w:p w:rsidR="005F7985">
      <w:pPr>
        <w:pStyle w:val="Normal0"/>
        <w:jc w:val="center"/>
        <w:rPr>
          <w:rFonts w:ascii="黑体" w:eastAsia="黑体" w:hAnsi="黑体" w:cs="黑体"/>
          <w:b/>
          <w:bCs/>
          <w:sz w:val="84"/>
          <w:szCs w:val="84"/>
        </w:rPr>
      </w:pPr>
    </w:p>
    <w:p w:rsidR="005F7985">
      <w:pPr>
        <w:pStyle w:val="Normal0"/>
        <w:jc w:val="center"/>
        <w:rPr>
          <w:rFonts w:ascii="黑体" w:eastAsia="黑体" w:hAnsi="黑体" w:cs="黑体"/>
          <w:b/>
          <w:bCs/>
          <w:sz w:val="84"/>
          <w:szCs w:val="84"/>
        </w:rPr>
      </w:pPr>
      <w:r>
        <w:rPr>
          <w:rFonts w:ascii="黑体" w:eastAsia="黑体" w:hAnsi="黑体" w:cs="黑体" w:hint="eastAsia"/>
          <w:b/>
          <w:bCs/>
          <w:sz w:val="84"/>
          <w:szCs w:val="84"/>
        </w:rPr>
        <w:t>脚手架施工专项方案</w:t>
      </w:r>
    </w:p>
    <w:p w:rsidR="005F7985">
      <w:pPr>
        <w:pStyle w:val="Normal0"/>
        <w:rPr>
          <w:rFonts w:ascii="黑体" w:eastAsia="黑体" w:hAnsi="黑体" w:cs="黑体"/>
          <w:b/>
          <w:bCs/>
          <w:sz w:val="84"/>
          <w:szCs w:val="84"/>
        </w:rPr>
      </w:pPr>
    </w:p>
    <w:p w:rsidR="005F7985">
      <w:pPr>
        <w:pStyle w:val="Normal0"/>
        <w:rPr>
          <w:rFonts w:ascii="黑体" w:eastAsia="黑体" w:hAnsi="黑体" w:cs="黑体"/>
          <w:b/>
          <w:bCs/>
          <w:sz w:val="36"/>
          <w:szCs w:val="36"/>
        </w:rPr>
      </w:pPr>
      <w:r>
        <w:rPr>
          <w:rFonts w:ascii="黑体" w:eastAsia="黑体" w:hAnsi="黑体" w:cs="黑体" w:hint="eastAsia"/>
          <w:b/>
          <w:bCs/>
          <w:sz w:val="36"/>
          <w:szCs w:val="36"/>
        </w:rPr>
        <w:t xml:space="preserve">                </w:t>
      </w:r>
      <w:r>
        <w:rPr>
          <w:rFonts w:ascii="黑体" w:eastAsia="黑体" w:hAnsi="黑体" w:cs="黑体" w:hint="eastAsia"/>
          <w:b/>
          <w:bCs/>
          <w:sz w:val="36"/>
          <w:szCs w:val="36"/>
        </w:rPr>
        <w:t>编制：</w:t>
      </w:r>
    </w:p>
    <w:p w:rsidR="005F7985">
      <w:pPr>
        <w:pStyle w:val="Normal0"/>
        <w:rPr>
          <w:rFonts w:ascii="黑体" w:eastAsia="黑体" w:hAnsi="黑体" w:cs="黑体"/>
          <w:b/>
          <w:bCs/>
          <w:sz w:val="36"/>
          <w:szCs w:val="36"/>
        </w:rPr>
      </w:pPr>
      <w:r>
        <w:rPr>
          <w:rFonts w:ascii="黑体" w:eastAsia="黑体" w:hAnsi="黑体" w:cs="黑体" w:hint="eastAsia"/>
          <w:b/>
          <w:bCs/>
          <w:sz w:val="36"/>
          <w:szCs w:val="36"/>
        </w:rPr>
        <w:t xml:space="preserve">                </w:t>
      </w:r>
      <w:r>
        <w:rPr>
          <w:rFonts w:ascii="黑体" w:eastAsia="黑体" w:hAnsi="黑体" w:cs="黑体" w:hint="eastAsia"/>
          <w:b/>
          <w:bCs/>
          <w:sz w:val="36"/>
          <w:szCs w:val="36"/>
        </w:rPr>
        <w:t>审核：</w:t>
      </w:r>
    </w:p>
    <w:p w:rsidR="005F7985">
      <w:pPr>
        <w:pStyle w:val="Normal0"/>
        <w:rPr>
          <w:rFonts w:ascii="黑体" w:eastAsia="黑体" w:hAnsi="黑体" w:cs="黑体"/>
          <w:b/>
          <w:bCs/>
          <w:sz w:val="84"/>
          <w:szCs w:val="84"/>
        </w:rPr>
      </w:pPr>
      <w:r>
        <w:rPr>
          <w:rFonts w:ascii="黑体" w:eastAsia="黑体" w:hAnsi="黑体" w:cs="黑体" w:hint="eastAsia"/>
          <w:b/>
          <w:bCs/>
          <w:sz w:val="36"/>
          <w:szCs w:val="36"/>
        </w:rPr>
        <w:t xml:space="preserve">                </w:t>
      </w:r>
      <w:r>
        <w:rPr>
          <w:rFonts w:ascii="黑体" w:eastAsia="黑体" w:hAnsi="黑体" w:cs="黑体" w:hint="eastAsia"/>
          <w:b/>
          <w:bCs/>
          <w:sz w:val="36"/>
          <w:szCs w:val="36"/>
        </w:rPr>
        <w:t>审批：</w:t>
      </w:r>
    </w:p>
    <w:p w:rsidR="005F7985">
      <w:pPr>
        <w:pStyle w:val="Normal0"/>
        <w:rPr>
          <w:rFonts w:ascii="黑体" w:eastAsia="黑体" w:hAnsi="黑体" w:cs="黑体"/>
          <w:b/>
          <w:bCs/>
          <w:sz w:val="84"/>
          <w:szCs w:val="84"/>
        </w:rPr>
      </w:pPr>
    </w:p>
    <w:p w:rsidR="005F7985">
      <w:pPr>
        <w:pStyle w:val="Normal0"/>
        <w:rPr>
          <w:rFonts w:ascii="黑体" w:eastAsia="黑体" w:hAnsi="黑体" w:cs="黑体"/>
          <w:b/>
          <w:bCs/>
          <w:sz w:val="84"/>
          <w:szCs w:val="84"/>
        </w:rPr>
      </w:pPr>
    </w:p>
    <w:p w:rsidR="005F7985">
      <w:pPr>
        <w:pStyle w:val="Normal0"/>
        <w:spacing w:line="480" w:lineRule="auto"/>
        <w:jc w:val="center"/>
        <w:rPr>
          <w:rFonts w:ascii="宋体" w:hAnsi="宋体" w:cs="宋体"/>
          <w:b/>
          <w:bCs/>
          <w:sz w:val="32"/>
          <w:szCs w:val="32"/>
        </w:rPr>
      </w:pPr>
      <w:r>
        <w:rPr>
          <w:rFonts w:ascii="宋体" w:hAnsi="宋体" w:cs="宋体" w:hint="eastAsia"/>
          <w:b/>
          <w:bCs/>
          <w:sz w:val="32"/>
          <w:szCs w:val="32"/>
        </w:rPr>
        <w:t>中国建筑第四工程局有限公司</w:t>
      </w:r>
    </w:p>
    <w:p w:rsidR="005F7985">
      <w:pPr>
        <w:pStyle w:val="Normal0"/>
        <w:spacing w:line="480" w:lineRule="auto"/>
        <w:jc w:val="center"/>
        <w:rPr>
          <w:rFonts w:ascii="宋体" w:hAnsi="宋体" w:cs="宋体"/>
          <w:b/>
          <w:bCs/>
          <w:sz w:val="32"/>
          <w:szCs w:val="32"/>
        </w:rPr>
      </w:pPr>
    </w:p>
    <w:p w:rsidR="005F7985">
      <w:pPr>
        <w:pStyle w:val="Normal0"/>
        <w:spacing w:line="480" w:lineRule="auto"/>
        <w:jc w:val="center"/>
        <w:rPr>
          <w:rFonts w:ascii="宋体" w:hAnsi="宋体" w:cs="宋体"/>
          <w:b/>
          <w:bCs/>
          <w:sz w:val="30"/>
          <w:szCs w:val="30"/>
        </w:rPr>
      </w:pPr>
      <w:r>
        <w:rPr>
          <w:rFonts w:ascii="宋体" w:hAnsi="宋体" w:cs="宋体" w:hint="eastAsia"/>
          <w:b/>
          <w:bCs/>
          <w:sz w:val="32"/>
          <w:szCs w:val="32"/>
        </w:rPr>
        <w:t>日</w:t>
      </w:r>
      <w:r>
        <w:rPr>
          <w:rFonts w:ascii="宋体" w:hAnsi="宋体" w:cs="宋体" w:hint="eastAsia"/>
          <w:b/>
          <w:bCs/>
          <w:sz w:val="32"/>
          <w:szCs w:val="32"/>
        </w:rPr>
        <w:t xml:space="preserve">  </w:t>
      </w:r>
      <w:r>
        <w:rPr>
          <w:rFonts w:ascii="宋体" w:hAnsi="宋体" w:cs="宋体" w:hint="eastAsia"/>
          <w:b/>
          <w:bCs/>
          <w:sz w:val="32"/>
          <w:szCs w:val="32"/>
        </w:rPr>
        <w:t>期：</w:t>
      </w:r>
      <w:r>
        <w:rPr>
          <w:rFonts w:ascii="宋体" w:hAnsi="宋体" w:cs="宋体" w:hint="eastAsia"/>
          <w:b/>
          <w:bCs/>
          <w:sz w:val="32"/>
          <w:szCs w:val="32"/>
        </w:rPr>
        <w:t xml:space="preserve">  </w:t>
      </w:r>
      <w:r>
        <w:rPr>
          <w:rFonts w:ascii="宋体" w:hAnsi="宋体" w:cs="宋体" w:hint="eastAsia"/>
          <w:b/>
          <w:bCs/>
          <w:sz w:val="32"/>
          <w:szCs w:val="32"/>
        </w:rPr>
        <w:t>年</w:t>
      </w:r>
      <w:r>
        <w:rPr>
          <w:rFonts w:ascii="宋体" w:hAnsi="宋体" w:cs="宋体" w:hint="eastAsia"/>
          <w:b/>
          <w:bCs/>
          <w:sz w:val="32"/>
          <w:szCs w:val="32"/>
        </w:rPr>
        <w:t xml:space="preserve"> </w:t>
      </w:r>
      <w:r>
        <w:rPr>
          <w:rFonts w:ascii="宋体" w:hAnsi="宋体" w:cs="宋体" w:hint="eastAsia"/>
          <w:b/>
          <w:bCs/>
          <w:sz w:val="32"/>
          <w:szCs w:val="32"/>
        </w:rPr>
        <w:t xml:space="preserve">  </w:t>
      </w:r>
      <w:r>
        <w:rPr>
          <w:rFonts w:ascii="宋体" w:hAnsi="宋体" w:cs="宋体" w:hint="eastAsia"/>
          <w:b/>
          <w:bCs/>
          <w:sz w:val="32"/>
          <w:szCs w:val="32"/>
        </w:rPr>
        <w:t>月</w:t>
      </w:r>
      <w:r>
        <w:rPr>
          <w:rFonts w:ascii="宋体" w:hAnsi="宋体" w:cs="宋体" w:hint="eastAsia"/>
          <w:b/>
          <w:bCs/>
          <w:sz w:val="32"/>
          <w:szCs w:val="32"/>
        </w:rPr>
        <w:t xml:space="preserve"> </w:t>
      </w:r>
      <w:r>
        <w:rPr>
          <w:rFonts w:ascii="宋体" w:hAnsi="宋体" w:cs="宋体" w:hint="eastAsia"/>
          <w:b/>
          <w:bCs/>
          <w:sz w:val="32"/>
          <w:szCs w:val="32"/>
        </w:rPr>
        <w:t xml:space="preserve"> </w:t>
      </w:r>
      <w:r>
        <w:rPr>
          <w:rFonts w:ascii="宋体" w:hAnsi="宋体" w:cs="宋体" w:hint="eastAsia"/>
          <w:b/>
          <w:bCs/>
          <w:sz w:val="32"/>
          <w:szCs w:val="32"/>
        </w:rPr>
        <w:t xml:space="preserve"> </w:t>
      </w:r>
      <w:r>
        <w:rPr>
          <w:rFonts w:ascii="宋体" w:hAnsi="宋体" w:cs="宋体" w:hint="eastAsia"/>
          <w:b/>
          <w:bCs/>
          <w:sz w:val="32"/>
          <w:szCs w:val="32"/>
        </w:rPr>
        <w:t>日</w:t>
      </w:r>
    </w:p>
    <w:p w:rsidR="005F7985">
      <w:pPr>
        <w:pStyle w:val="Normal0"/>
        <w:rPr>
          <w:b/>
          <w:bCs/>
          <w:sz w:val="48"/>
          <w:szCs w:val="48"/>
        </w:rPr>
        <w:sectPr>
          <w:pgSz w:w="11906" w:h="16838"/>
          <w:pgMar w:top="1287" w:right="1152" w:bottom="1271" w:left="1094" w:header="851" w:footer="312" w:gutter="0"/>
          <w:pgNumType w:fmt="numberInDash" w:start="0"/>
          <w:cols w:space="708"/>
          <w:docGrid w:type="lines" w:linePitch="312"/>
        </w:sectPr>
      </w:pPr>
    </w:p>
    <w:p w:rsidR="005F7985">
      <w:pPr>
        <w:pStyle w:val="TOC2"/>
        <w:tabs>
          <w:tab w:val="right" w:leader="dot" w:pos="8306"/>
        </w:tabs>
        <w:ind w:left="0" w:leftChars="0"/>
        <w:jc w:val="center"/>
      </w:pPr>
      <w:r>
        <w:rPr>
          <w:rFonts w:hint="eastAsia"/>
          <w:b/>
          <w:bCs/>
          <w:sz w:val="48"/>
          <w:szCs w:val="48"/>
        </w:rPr>
        <w:t>目录</w:t>
      </w:r>
    </w:p>
    <w:bookmarkStart w:id="0" w:name="_Toc25892"/>
    <w:p w:rsidR="005F7985">
      <w:pPr>
        <w:pStyle w:val="TOC2"/>
        <w:tabs>
          <w:tab w:val="right" w:leader="dot" w:pos="9660"/>
        </w:tabs>
      </w:pPr>
      <w:r>
        <w:rPr>
          <w:rFonts w:hint="eastAsia"/>
          <w:sz w:val="30"/>
          <w:szCs w:val="30"/>
        </w:rPr>
        <w:fldChar w:fldCharType="begin"/>
      </w:r>
      <w:r>
        <w:rPr>
          <w:rFonts w:hint="eastAsia"/>
          <w:sz w:val="30"/>
          <w:szCs w:val="30"/>
        </w:rPr>
        <w:instrText xml:space="preserve">TOC \o "1-3" \h \u </w:instrText>
      </w:r>
      <w:r>
        <w:rPr>
          <w:rFonts w:hint="eastAsia"/>
          <w:sz w:val="30"/>
          <w:szCs w:val="30"/>
        </w:rPr>
        <w:fldChar w:fldCharType="separate"/>
      </w:r>
      <w:r>
        <w:fldChar w:fldCharType="begin"/>
      </w:r>
      <w:r>
        <w:instrText xml:space="preserve"> HYPERLINK \l "_Toc14008" </w:instrText>
      </w:r>
      <w:r>
        <w:fldChar w:fldCharType="separate"/>
      </w:r>
      <w:r>
        <w:rPr>
          <w:rFonts w:hint="eastAsia"/>
        </w:rPr>
        <w:t>第一节</w:t>
      </w:r>
      <w:r>
        <w:rPr>
          <w:rFonts w:hint="eastAsia"/>
        </w:rPr>
        <w:t xml:space="preserve"> </w:t>
      </w:r>
      <w:r>
        <w:rPr>
          <w:rFonts w:hint="eastAsia"/>
        </w:rPr>
        <w:t>编制依据</w:t>
      </w:r>
      <w:r>
        <w:tab/>
      </w:r>
      <w:r>
        <w:fldChar w:fldCharType="begin"/>
      </w:r>
      <w:r>
        <w:instrText xml:space="preserve"> PAGEREF _Toc14008 </w:instrText>
      </w:r>
      <w:r>
        <w:fldChar w:fldCharType="separate"/>
      </w:r>
      <w:r>
        <w:t>- 1 -</w:t>
      </w:r>
      <w:r>
        <w:fldChar w:fldCharType="end"/>
      </w:r>
      <w:r>
        <w:fldChar w:fldCharType="end"/>
      </w:r>
    </w:p>
    <w:p w:rsidR="005F7985">
      <w:pPr>
        <w:pStyle w:val="TOC2"/>
        <w:tabs>
          <w:tab w:val="right" w:leader="dot" w:pos="9660"/>
        </w:tabs>
      </w:pPr>
      <w:hyperlink w:anchor="_Toc1286" w:history="1">
        <w:r>
          <w:rPr>
            <w:rFonts w:hint="eastAsia"/>
          </w:rPr>
          <w:t>第二节</w:t>
        </w:r>
        <w:r>
          <w:rPr>
            <w:rFonts w:hint="eastAsia"/>
          </w:rPr>
          <w:t xml:space="preserve"> </w:t>
        </w:r>
        <w:r>
          <w:rPr>
            <w:rFonts w:hint="eastAsia"/>
          </w:rPr>
          <w:t>工程概况</w:t>
        </w:r>
        <w:r>
          <w:tab/>
        </w:r>
        <w:r>
          <w:fldChar w:fldCharType="begin"/>
        </w:r>
        <w:r>
          <w:instrText xml:space="preserve"> PAGEREF _Toc1286 </w:instrText>
        </w:r>
        <w:r>
          <w:fldChar w:fldCharType="separate"/>
        </w:r>
        <w:r>
          <w:t>- 1 -</w:t>
        </w:r>
        <w:r>
          <w:fldChar w:fldCharType="end"/>
        </w:r>
      </w:hyperlink>
    </w:p>
    <w:p w:rsidR="005F7985">
      <w:pPr>
        <w:pStyle w:val="TOC3"/>
        <w:tabs>
          <w:tab w:val="right" w:leader="dot" w:pos="9660"/>
        </w:tabs>
      </w:pPr>
      <w:hyperlink w:anchor="_Toc13449" w:history="1">
        <w:r>
          <w:rPr>
            <w:rFonts w:hint="eastAsia"/>
          </w:rPr>
          <w:t xml:space="preserve">1. </w:t>
        </w:r>
        <w:r>
          <w:rPr>
            <w:rFonts w:hint="eastAsia"/>
          </w:rPr>
          <w:t>工程概况：</w:t>
        </w:r>
        <w:r>
          <w:tab/>
        </w:r>
        <w:r>
          <w:fldChar w:fldCharType="begin"/>
        </w:r>
        <w:r>
          <w:instrText xml:space="preserve"> PAGEREF _Toc13449 </w:instrText>
        </w:r>
        <w:r>
          <w:fldChar w:fldCharType="separate"/>
        </w:r>
        <w:r>
          <w:t>- 1 -</w:t>
        </w:r>
        <w:r>
          <w:fldChar w:fldCharType="end"/>
        </w:r>
      </w:hyperlink>
    </w:p>
    <w:p w:rsidR="005F7985">
      <w:pPr>
        <w:pStyle w:val="TOC3"/>
        <w:tabs>
          <w:tab w:val="right" w:leader="dot" w:pos="9660"/>
        </w:tabs>
      </w:pPr>
      <w:hyperlink w:anchor="_Toc16485" w:history="1">
        <w:r>
          <w:rPr>
            <w:rFonts w:hint="eastAsia"/>
          </w:rPr>
          <w:t xml:space="preserve">2. </w:t>
        </w:r>
        <w:r>
          <w:rPr>
            <w:rFonts w:hint="eastAsia"/>
          </w:rPr>
          <w:t>施工平面布置</w:t>
        </w:r>
        <w:r>
          <w:tab/>
        </w:r>
        <w:r>
          <w:fldChar w:fldCharType="begin"/>
        </w:r>
        <w:r>
          <w:instrText xml:space="preserve"> PAGEREF _Toc16485 </w:instrText>
        </w:r>
        <w:r>
          <w:fldChar w:fldCharType="separate"/>
        </w:r>
        <w:r>
          <w:t>- 2 -</w:t>
        </w:r>
        <w:r>
          <w:fldChar w:fldCharType="end"/>
        </w:r>
      </w:hyperlink>
    </w:p>
    <w:p w:rsidR="005F7985">
      <w:pPr>
        <w:pStyle w:val="TOC3"/>
        <w:tabs>
          <w:tab w:val="right" w:leader="dot" w:pos="9660"/>
        </w:tabs>
      </w:pPr>
      <w:hyperlink w:anchor="_Toc20631" w:history="1">
        <w:r>
          <w:rPr>
            <w:rFonts w:hint="eastAsia"/>
          </w:rPr>
          <w:t xml:space="preserve">3. </w:t>
        </w:r>
        <w:r>
          <w:rPr>
            <w:rFonts w:hint="eastAsia"/>
          </w:rPr>
          <w:t>施工要求</w:t>
        </w:r>
        <w:r>
          <w:tab/>
        </w:r>
        <w:r>
          <w:fldChar w:fldCharType="begin"/>
        </w:r>
        <w:r>
          <w:instrText xml:space="preserve"> PAGEREF _Toc20631 </w:instrText>
        </w:r>
        <w:r>
          <w:fldChar w:fldCharType="separate"/>
        </w:r>
        <w:r>
          <w:t>- 2 -</w:t>
        </w:r>
        <w:r>
          <w:fldChar w:fldCharType="end"/>
        </w:r>
      </w:hyperlink>
    </w:p>
    <w:p w:rsidR="005F7985">
      <w:pPr>
        <w:pStyle w:val="TOC3"/>
        <w:tabs>
          <w:tab w:val="right" w:leader="dot" w:pos="9660"/>
        </w:tabs>
      </w:pPr>
      <w:hyperlink w:anchor="_Toc15331" w:history="1">
        <w:r>
          <w:rPr>
            <w:rFonts w:hint="eastAsia"/>
          </w:rPr>
          <w:t xml:space="preserve">4. </w:t>
        </w:r>
        <w:r>
          <w:rPr>
            <w:rFonts w:hint="eastAsia"/>
          </w:rPr>
          <w:t>技术保证条件</w:t>
        </w:r>
        <w:r>
          <w:tab/>
        </w:r>
        <w:r>
          <w:fldChar w:fldCharType="begin"/>
        </w:r>
        <w:r>
          <w:instrText xml:space="preserve"> PAGEREF _Toc15331 </w:instrText>
        </w:r>
        <w:r>
          <w:fldChar w:fldCharType="separate"/>
        </w:r>
        <w:r>
          <w:t>- 2 -</w:t>
        </w:r>
        <w:r>
          <w:fldChar w:fldCharType="end"/>
        </w:r>
      </w:hyperlink>
    </w:p>
    <w:p w:rsidR="005F7985">
      <w:pPr>
        <w:pStyle w:val="TOC2"/>
        <w:tabs>
          <w:tab w:val="right" w:leader="dot" w:pos="9660"/>
        </w:tabs>
      </w:pPr>
      <w:hyperlink w:anchor="_Toc16579" w:history="1">
        <w:r>
          <w:rPr>
            <w:rFonts w:hint="eastAsia"/>
          </w:rPr>
          <w:t>第三节</w:t>
        </w:r>
        <w:r>
          <w:rPr>
            <w:rFonts w:hint="eastAsia"/>
          </w:rPr>
          <w:t xml:space="preserve"> </w:t>
        </w:r>
        <w:r>
          <w:rPr>
            <w:rFonts w:hint="eastAsia"/>
          </w:rPr>
          <w:t>施工计划</w:t>
        </w:r>
        <w:r>
          <w:tab/>
        </w:r>
        <w:r>
          <w:fldChar w:fldCharType="begin"/>
        </w:r>
        <w:r>
          <w:instrText xml:space="preserve"> PAGEREF _Toc16579 </w:instrText>
        </w:r>
        <w:r>
          <w:fldChar w:fldCharType="separate"/>
        </w:r>
        <w:r>
          <w:t>- 4 -</w:t>
        </w:r>
        <w:r>
          <w:fldChar w:fldCharType="end"/>
        </w:r>
      </w:hyperlink>
    </w:p>
    <w:p w:rsidR="005F7985">
      <w:pPr>
        <w:pStyle w:val="TOC3"/>
        <w:tabs>
          <w:tab w:val="right" w:leader="dot" w:pos="9660"/>
        </w:tabs>
      </w:pPr>
      <w:hyperlink w:anchor="_Toc20102" w:history="1">
        <w:r>
          <w:rPr>
            <w:rFonts w:hint="eastAsia"/>
          </w:rPr>
          <w:t xml:space="preserve">1. </w:t>
        </w:r>
        <w:r>
          <w:rPr>
            <w:rFonts w:hint="eastAsia"/>
          </w:rPr>
          <w:t>施工进度计划</w:t>
        </w:r>
        <w:r>
          <w:tab/>
        </w:r>
        <w:r>
          <w:fldChar w:fldCharType="begin"/>
        </w:r>
        <w:r>
          <w:instrText xml:space="preserve"> PAGEREF _Toc20102 </w:instrText>
        </w:r>
        <w:r>
          <w:fldChar w:fldCharType="separate"/>
        </w:r>
        <w:r>
          <w:t>- 4 -</w:t>
        </w:r>
        <w:r>
          <w:fldChar w:fldCharType="end"/>
        </w:r>
      </w:hyperlink>
    </w:p>
    <w:p w:rsidR="005F7985">
      <w:pPr>
        <w:pStyle w:val="TOC3"/>
        <w:tabs>
          <w:tab w:val="right" w:leader="dot" w:pos="9660"/>
        </w:tabs>
      </w:pPr>
      <w:hyperlink w:anchor="_Toc15877" w:history="1">
        <w:r>
          <w:rPr>
            <w:rFonts w:hint="eastAsia"/>
          </w:rPr>
          <w:t xml:space="preserve">2. </w:t>
        </w:r>
        <w:r>
          <w:rPr>
            <w:rFonts w:hint="eastAsia"/>
          </w:rPr>
          <w:t>材料与设备计划</w:t>
        </w:r>
        <w:r>
          <w:tab/>
        </w:r>
        <w:r>
          <w:fldChar w:fldCharType="begin"/>
        </w:r>
        <w:r>
          <w:instrText xml:space="preserve"> PAGEREF _Toc15877 </w:instrText>
        </w:r>
        <w:r>
          <w:fldChar w:fldCharType="separate"/>
        </w:r>
        <w:r>
          <w:t>- 4 -</w:t>
        </w:r>
        <w:r>
          <w:fldChar w:fldCharType="end"/>
        </w:r>
      </w:hyperlink>
    </w:p>
    <w:p w:rsidR="005F7985">
      <w:pPr>
        <w:pStyle w:val="TOC2"/>
        <w:tabs>
          <w:tab w:val="right" w:leader="dot" w:pos="9660"/>
        </w:tabs>
      </w:pPr>
      <w:hyperlink w:anchor="_Toc7010" w:history="1">
        <w:r>
          <w:rPr>
            <w:rFonts w:hint="eastAsia"/>
          </w:rPr>
          <w:t>第四节</w:t>
        </w:r>
        <w:r>
          <w:rPr>
            <w:rFonts w:hint="eastAsia"/>
          </w:rPr>
          <w:t xml:space="preserve"> </w:t>
        </w:r>
        <w:r>
          <w:rPr>
            <w:rFonts w:hint="eastAsia"/>
          </w:rPr>
          <w:t>施工工艺</w:t>
        </w:r>
        <w:r>
          <w:tab/>
        </w:r>
        <w:r>
          <w:fldChar w:fldCharType="begin"/>
        </w:r>
        <w:r>
          <w:instrText xml:space="preserve"> PAGEREF _Toc7010 </w:instrText>
        </w:r>
        <w:r>
          <w:fldChar w:fldCharType="separate"/>
        </w:r>
        <w:r>
          <w:t>- 5 -</w:t>
        </w:r>
        <w:r>
          <w:fldChar w:fldCharType="end"/>
        </w:r>
      </w:hyperlink>
    </w:p>
    <w:p w:rsidR="005F7985">
      <w:pPr>
        <w:pStyle w:val="TOC3"/>
        <w:tabs>
          <w:tab w:val="right" w:leader="dot" w:pos="9660"/>
        </w:tabs>
      </w:pPr>
      <w:hyperlink w:anchor="_Toc23857" w:history="1">
        <w:r>
          <w:rPr>
            <w:rFonts w:hint="eastAsia"/>
          </w:rPr>
          <w:t xml:space="preserve">1. </w:t>
        </w:r>
        <w:r>
          <w:rPr>
            <w:rFonts w:hint="eastAsia"/>
          </w:rPr>
          <w:t>技术参数</w:t>
        </w:r>
        <w:r>
          <w:tab/>
        </w:r>
        <w:r>
          <w:fldChar w:fldCharType="begin"/>
        </w:r>
        <w:r>
          <w:instrText xml:space="preserve"> PAGEREF _Toc23857 </w:instrText>
        </w:r>
        <w:r>
          <w:fldChar w:fldCharType="separate"/>
        </w:r>
        <w:r>
          <w:t>- 6 -</w:t>
        </w:r>
        <w:r>
          <w:fldChar w:fldCharType="end"/>
        </w:r>
      </w:hyperlink>
    </w:p>
    <w:p w:rsidR="005F7985">
      <w:pPr>
        <w:pStyle w:val="TOC3"/>
        <w:tabs>
          <w:tab w:val="right" w:leader="dot" w:pos="9660"/>
        </w:tabs>
      </w:pPr>
      <w:hyperlink w:anchor="_Toc12737" w:history="1">
        <w:r>
          <w:rPr>
            <w:rFonts w:hint="eastAsia"/>
          </w:rPr>
          <w:t xml:space="preserve">2. </w:t>
        </w:r>
        <w:r>
          <w:rPr>
            <w:rFonts w:hint="eastAsia"/>
          </w:rPr>
          <w:t>工艺流程</w:t>
        </w:r>
        <w:r>
          <w:tab/>
        </w:r>
        <w:r>
          <w:fldChar w:fldCharType="begin"/>
        </w:r>
        <w:r>
          <w:instrText xml:space="preserve"> PAGEREF _Toc12737 </w:instrText>
        </w:r>
        <w:r>
          <w:fldChar w:fldCharType="separate"/>
        </w:r>
        <w:r>
          <w:t>- 6 -</w:t>
        </w:r>
        <w:r>
          <w:fldChar w:fldCharType="end"/>
        </w:r>
      </w:hyperlink>
    </w:p>
    <w:p w:rsidR="005F7985">
      <w:pPr>
        <w:pStyle w:val="TOC3"/>
        <w:tabs>
          <w:tab w:val="right" w:leader="dot" w:pos="9660"/>
        </w:tabs>
      </w:pPr>
      <w:hyperlink w:anchor="_Toc12040" w:history="1">
        <w:r>
          <w:rPr>
            <w:rFonts w:hint="eastAsia"/>
          </w:rPr>
          <w:t xml:space="preserve">3. </w:t>
        </w:r>
        <w:r>
          <w:rPr>
            <w:rFonts w:hint="eastAsia"/>
          </w:rPr>
          <w:t>施工方法</w:t>
        </w:r>
        <w:r>
          <w:tab/>
        </w:r>
        <w:r>
          <w:fldChar w:fldCharType="begin"/>
        </w:r>
        <w:r>
          <w:instrText xml:space="preserve"> PAGEREF _Toc12040 </w:instrText>
        </w:r>
        <w:r>
          <w:fldChar w:fldCharType="separate"/>
        </w:r>
        <w:r>
          <w:t>- 6 -</w:t>
        </w:r>
        <w:r>
          <w:fldChar w:fldCharType="end"/>
        </w:r>
      </w:hyperlink>
    </w:p>
    <w:p w:rsidR="005F7985">
      <w:pPr>
        <w:pStyle w:val="TOC3"/>
        <w:tabs>
          <w:tab w:val="right" w:leader="dot" w:pos="9660"/>
        </w:tabs>
      </w:pPr>
      <w:hyperlink w:anchor="_Toc11134" w:history="1">
        <w:r>
          <w:rPr>
            <w:rFonts w:hint="eastAsia"/>
          </w:rPr>
          <w:t xml:space="preserve">4. </w:t>
        </w:r>
        <w:r>
          <w:rPr>
            <w:rFonts w:hint="eastAsia"/>
          </w:rPr>
          <w:t>检查验收</w:t>
        </w:r>
        <w:r>
          <w:tab/>
        </w:r>
        <w:r>
          <w:fldChar w:fldCharType="begin"/>
        </w:r>
        <w:r>
          <w:instrText xml:space="preserve"> PAGEREF _Toc11134 </w:instrText>
        </w:r>
        <w:r>
          <w:fldChar w:fldCharType="separate"/>
        </w:r>
        <w:r>
          <w:t>- 13 -</w:t>
        </w:r>
        <w:r>
          <w:fldChar w:fldCharType="end"/>
        </w:r>
      </w:hyperlink>
    </w:p>
    <w:p w:rsidR="005F7985">
      <w:pPr>
        <w:pStyle w:val="TOC2"/>
        <w:tabs>
          <w:tab w:val="right" w:leader="dot" w:pos="9660"/>
        </w:tabs>
      </w:pPr>
      <w:hyperlink w:anchor="_Toc27055" w:history="1">
        <w:r>
          <w:rPr>
            <w:rFonts w:hint="eastAsia"/>
          </w:rPr>
          <w:t>第五节</w:t>
        </w:r>
        <w:r>
          <w:rPr>
            <w:rFonts w:hint="eastAsia"/>
          </w:rPr>
          <w:t xml:space="preserve"> </w:t>
        </w:r>
        <w:r>
          <w:rPr>
            <w:rFonts w:hint="eastAsia"/>
          </w:rPr>
          <w:t>施工安全保证措施</w:t>
        </w:r>
        <w:r>
          <w:tab/>
        </w:r>
        <w:r>
          <w:fldChar w:fldCharType="begin"/>
        </w:r>
        <w:r>
          <w:instrText xml:space="preserve"> PAGEREF _Toc27055 </w:instrText>
        </w:r>
        <w:r>
          <w:fldChar w:fldCharType="separate"/>
        </w:r>
        <w:r>
          <w:t>- 14 -</w:t>
        </w:r>
        <w:r>
          <w:fldChar w:fldCharType="end"/>
        </w:r>
      </w:hyperlink>
    </w:p>
    <w:p w:rsidR="005F7985">
      <w:pPr>
        <w:pStyle w:val="TOC3"/>
        <w:tabs>
          <w:tab w:val="right" w:leader="dot" w:pos="9660"/>
        </w:tabs>
      </w:pPr>
      <w:hyperlink w:anchor="_Toc8975" w:history="1">
        <w:r>
          <w:rPr>
            <w:rFonts w:hint="eastAsia"/>
          </w:rPr>
          <w:t xml:space="preserve">1. </w:t>
        </w:r>
        <w:r>
          <w:rPr>
            <w:rFonts w:hint="eastAsia"/>
          </w:rPr>
          <w:t>组织保障</w:t>
        </w:r>
        <w:r>
          <w:tab/>
        </w:r>
        <w:r>
          <w:fldChar w:fldCharType="begin"/>
        </w:r>
        <w:r>
          <w:instrText xml:space="preserve"> PAGEREF _Toc8975 </w:instrText>
        </w:r>
        <w:r>
          <w:fldChar w:fldCharType="separate"/>
        </w:r>
        <w:r>
          <w:t>- 14 -</w:t>
        </w:r>
        <w:r>
          <w:fldChar w:fldCharType="end"/>
        </w:r>
      </w:hyperlink>
    </w:p>
    <w:p w:rsidR="005F7985">
      <w:pPr>
        <w:pStyle w:val="TOC3"/>
        <w:tabs>
          <w:tab w:val="right" w:leader="dot" w:pos="9660"/>
        </w:tabs>
      </w:pPr>
      <w:hyperlink w:anchor="_Toc12036" w:history="1">
        <w:r>
          <w:rPr>
            <w:rFonts w:hint="eastAsia"/>
          </w:rPr>
          <w:t xml:space="preserve">2. </w:t>
        </w:r>
        <w:r>
          <w:rPr>
            <w:rFonts w:hint="eastAsia"/>
          </w:rPr>
          <w:t>技术措施</w:t>
        </w:r>
        <w:r>
          <w:tab/>
        </w:r>
        <w:r>
          <w:fldChar w:fldCharType="begin"/>
        </w:r>
        <w:r>
          <w:instrText xml:space="preserve"> PAGEREF _Toc12036 </w:instrText>
        </w:r>
        <w:r>
          <w:fldChar w:fldCharType="separate"/>
        </w:r>
        <w:r>
          <w:t>- 14 -</w:t>
        </w:r>
        <w:r>
          <w:fldChar w:fldCharType="end"/>
        </w:r>
      </w:hyperlink>
    </w:p>
    <w:p w:rsidR="005F7985">
      <w:pPr>
        <w:pStyle w:val="TOC3"/>
        <w:tabs>
          <w:tab w:val="right" w:leader="dot" w:pos="9660"/>
        </w:tabs>
      </w:pPr>
      <w:hyperlink w:anchor="_Toc26395" w:history="1">
        <w:r>
          <w:rPr>
            <w:rFonts w:hint="eastAsia"/>
          </w:rPr>
          <w:t xml:space="preserve">3. </w:t>
        </w:r>
        <w:r>
          <w:rPr>
            <w:rFonts w:hint="eastAsia"/>
          </w:rPr>
          <w:t>监测监控</w:t>
        </w:r>
        <w:r>
          <w:tab/>
        </w:r>
        <w:r>
          <w:fldChar w:fldCharType="begin"/>
        </w:r>
        <w:r>
          <w:instrText xml:space="preserve"> PAGEREF _Toc26395 </w:instrText>
        </w:r>
        <w:r>
          <w:fldChar w:fldCharType="separate"/>
        </w:r>
        <w:r>
          <w:rPr>
            <w:b/>
          </w:rPr>
          <w:t>错误！未定义书签。</w:t>
        </w:r>
        <w:r>
          <w:fldChar w:fldCharType="end"/>
        </w:r>
      </w:hyperlink>
    </w:p>
    <w:p w:rsidR="005F7985">
      <w:pPr>
        <w:pStyle w:val="TOC2"/>
        <w:tabs>
          <w:tab w:val="right" w:leader="dot" w:pos="9660"/>
        </w:tabs>
      </w:pPr>
      <w:hyperlink w:anchor="_Toc24163" w:history="1">
        <w:r>
          <w:rPr>
            <w:rFonts w:hint="eastAsia"/>
          </w:rPr>
          <w:t>第六节</w:t>
        </w:r>
        <w:r>
          <w:rPr>
            <w:rFonts w:hint="eastAsia"/>
          </w:rPr>
          <w:t xml:space="preserve"> </w:t>
        </w:r>
        <w:r>
          <w:rPr>
            <w:rFonts w:hint="eastAsia"/>
          </w:rPr>
          <w:t>现场管理</w:t>
        </w:r>
        <w:r>
          <w:tab/>
        </w:r>
        <w:r>
          <w:fldChar w:fldCharType="begin"/>
        </w:r>
        <w:r>
          <w:instrText xml:space="preserve"> PAGEREF _Toc24163 </w:instrText>
        </w:r>
        <w:r>
          <w:fldChar w:fldCharType="separate"/>
        </w:r>
        <w:r>
          <w:t>- 21 -</w:t>
        </w:r>
        <w:r>
          <w:fldChar w:fldCharType="end"/>
        </w:r>
      </w:hyperlink>
    </w:p>
    <w:p w:rsidR="005F7985">
      <w:pPr>
        <w:pStyle w:val="TOC3"/>
        <w:tabs>
          <w:tab w:val="right" w:leader="dot" w:pos="9660"/>
        </w:tabs>
      </w:pPr>
      <w:hyperlink w:anchor="_Toc16275" w:history="1">
        <w:r>
          <w:rPr>
            <w:rFonts w:hint="eastAsia"/>
          </w:rPr>
          <w:t xml:space="preserve">1. </w:t>
        </w:r>
        <w:r>
          <w:rPr>
            <w:rFonts w:hint="eastAsia"/>
          </w:rPr>
          <w:t>安全生产管理人员</w:t>
        </w:r>
        <w:r>
          <w:tab/>
        </w:r>
        <w:r>
          <w:fldChar w:fldCharType="begin"/>
        </w:r>
        <w:r>
          <w:instrText xml:space="preserve"> PAGEREF _Toc16275 </w:instrText>
        </w:r>
        <w:r>
          <w:fldChar w:fldCharType="separate"/>
        </w:r>
        <w:r>
          <w:t>- 21 -</w:t>
        </w:r>
        <w:r>
          <w:fldChar w:fldCharType="end"/>
        </w:r>
      </w:hyperlink>
    </w:p>
    <w:p w:rsidR="005F7985">
      <w:pPr>
        <w:pStyle w:val="TOC3"/>
        <w:tabs>
          <w:tab w:val="right" w:leader="dot" w:pos="9660"/>
        </w:tabs>
      </w:pPr>
      <w:hyperlink w:anchor="_Toc5598" w:history="1">
        <w:r>
          <w:rPr>
            <w:rFonts w:hint="eastAsia"/>
          </w:rPr>
          <w:t xml:space="preserve">2. </w:t>
        </w:r>
        <w:r>
          <w:rPr>
            <w:rFonts w:hint="eastAsia"/>
          </w:rPr>
          <w:t>特种作业人员</w:t>
        </w:r>
        <w:r>
          <w:tab/>
        </w:r>
        <w:r>
          <w:fldChar w:fldCharType="begin"/>
        </w:r>
        <w:r>
          <w:instrText xml:space="preserve"> PAGEREF _Toc5598 </w:instrText>
        </w:r>
        <w:r>
          <w:fldChar w:fldCharType="separate"/>
        </w:r>
        <w:r>
          <w:t>- 22 -</w:t>
        </w:r>
        <w:r>
          <w:fldChar w:fldCharType="end"/>
        </w:r>
      </w:hyperlink>
    </w:p>
    <w:p w:rsidR="005F7985">
      <w:pPr>
        <w:pStyle w:val="TOC3"/>
        <w:tabs>
          <w:tab w:val="right" w:leader="dot" w:pos="9660"/>
        </w:tabs>
      </w:pPr>
      <w:hyperlink w:anchor="_Toc30874" w:history="1">
        <w:r>
          <w:rPr>
            <w:rFonts w:hint="eastAsia"/>
          </w:rPr>
          <w:t xml:space="preserve">3. </w:t>
        </w:r>
        <w:r>
          <w:rPr>
            <w:rFonts w:hint="eastAsia"/>
          </w:rPr>
          <w:t>脚手架安拆</w:t>
        </w:r>
        <w:r>
          <w:tab/>
        </w:r>
        <w:r>
          <w:fldChar w:fldCharType="begin"/>
        </w:r>
        <w:r>
          <w:instrText xml:space="preserve"> PAGEREF _Toc30874 </w:instrText>
        </w:r>
        <w:r>
          <w:fldChar w:fldCharType="separate"/>
        </w:r>
        <w:r>
          <w:t>- 22 -</w:t>
        </w:r>
        <w:r>
          <w:fldChar w:fldCharType="end"/>
        </w:r>
      </w:hyperlink>
    </w:p>
    <w:p w:rsidR="005F7985">
      <w:pPr>
        <w:pStyle w:val="TOC3"/>
        <w:tabs>
          <w:tab w:val="right" w:leader="dot" w:pos="9660"/>
        </w:tabs>
      </w:pPr>
      <w:hyperlink w:anchor="_Toc26107" w:history="1">
        <w:r>
          <w:rPr>
            <w:rFonts w:hint="eastAsia"/>
          </w:rPr>
          <w:t xml:space="preserve">4. </w:t>
        </w:r>
        <w:r>
          <w:rPr>
            <w:rFonts w:hint="eastAsia"/>
          </w:rPr>
          <w:t>外脚手架维护</w:t>
        </w:r>
        <w:r>
          <w:tab/>
        </w:r>
        <w:r>
          <w:fldChar w:fldCharType="begin"/>
        </w:r>
        <w:r>
          <w:instrText xml:space="preserve"> PAGEREF _Toc26107 </w:instrText>
        </w:r>
        <w:r>
          <w:fldChar w:fldCharType="separate"/>
        </w:r>
        <w:r>
          <w:t>- 23 -</w:t>
        </w:r>
        <w:r>
          <w:fldChar w:fldCharType="end"/>
        </w:r>
      </w:hyperlink>
    </w:p>
    <w:p w:rsidR="005F7985">
      <w:pPr>
        <w:pStyle w:val="TOC3"/>
        <w:tabs>
          <w:tab w:val="right" w:leader="dot" w:pos="9660"/>
        </w:tabs>
      </w:pPr>
      <w:hyperlink w:anchor="_Toc18894" w:history="1">
        <w:r>
          <w:rPr>
            <w:rFonts w:hint="eastAsia"/>
          </w:rPr>
          <w:t xml:space="preserve">5. </w:t>
        </w:r>
        <w:r>
          <w:rPr>
            <w:rFonts w:hint="eastAsia"/>
          </w:rPr>
          <w:t>脚手架的使用管理规定</w:t>
        </w:r>
        <w:r>
          <w:tab/>
        </w:r>
        <w:r>
          <w:fldChar w:fldCharType="begin"/>
        </w:r>
        <w:r>
          <w:instrText xml:space="preserve"> PAGEREF _Toc18894 </w:instrText>
        </w:r>
        <w:r>
          <w:fldChar w:fldCharType="separate"/>
        </w:r>
        <w:r>
          <w:t>- 24 -</w:t>
        </w:r>
        <w:r>
          <w:fldChar w:fldCharType="end"/>
        </w:r>
      </w:hyperlink>
    </w:p>
    <w:p w:rsidR="005F7985">
      <w:pPr>
        <w:pStyle w:val="TOC2"/>
        <w:tabs>
          <w:tab w:val="right" w:leader="dot" w:pos="9660"/>
        </w:tabs>
      </w:pPr>
      <w:hyperlink w:anchor="_Toc5218" w:history="1">
        <w:r>
          <w:rPr>
            <w:rFonts w:hint="eastAsia"/>
          </w:rPr>
          <w:t>第七节</w:t>
        </w:r>
        <w:r>
          <w:rPr>
            <w:rFonts w:hint="eastAsia"/>
          </w:rPr>
          <w:t xml:space="preserve"> </w:t>
        </w:r>
        <w:r>
          <w:rPr>
            <w:rFonts w:hint="eastAsia"/>
          </w:rPr>
          <w:t>扣件式脚手架计算书</w:t>
        </w:r>
        <w:r>
          <w:tab/>
        </w:r>
        <w:r>
          <w:fldChar w:fldCharType="begin"/>
        </w:r>
        <w:r>
          <w:instrText xml:space="preserve"> PAGEREF _Toc5218 </w:instrText>
        </w:r>
        <w:r>
          <w:fldChar w:fldCharType="separate"/>
        </w:r>
        <w:r>
          <w:t>- 25 -</w:t>
        </w:r>
        <w:r>
          <w:fldChar w:fldCharType="end"/>
        </w:r>
      </w:hyperlink>
    </w:p>
    <w:p w:rsidR="005F7985">
      <w:pPr>
        <w:pStyle w:val="TOC3"/>
        <w:tabs>
          <w:tab w:val="right" w:leader="dot" w:pos="9660"/>
        </w:tabs>
      </w:pPr>
      <w:hyperlink w:anchor="_Toc9387" w:history="1">
        <w:r>
          <w:rPr>
            <w:rFonts w:hint="eastAsia"/>
          </w:rPr>
          <w:t xml:space="preserve">1. </w:t>
        </w:r>
        <w:r>
          <w:t>计算依据：</w:t>
        </w:r>
        <w:r>
          <w:tab/>
        </w:r>
        <w:r>
          <w:fldChar w:fldCharType="begin"/>
        </w:r>
        <w:r>
          <w:instrText xml:space="preserve"> PAGEREF _Toc9387 </w:instrText>
        </w:r>
        <w:r>
          <w:fldChar w:fldCharType="separate"/>
        </w:r>
        <w:r>
          <w:t>- 25 -</w:t>
        </w:r>
        <w:r>
          <w:fldChar w:fldCharType="end"/>
        </w:r>
      </w:hyperlink>
    </w:p>
    <w:p w:rsidR="005F7985">
      <w:pPr>
        <w:pStyle w:val="TOC3"/>
        <w:tabs>
          <w:tab w:val="right" w:leader="dot" w:pos="9660"/>
        </w:tabs>
      </w:pPr>
      <w:hyperlink w:anchor="_Toc27957" w:history="1">
        <w:r>
          <w:rPr>
            <w:rFonts w:hint="eastAsia"/>
          </w:rPr>
          <w:t xml:space="preserve">2. </w:t>
        </w:r>
        <w:r>
          <w:t>脚手架参数</w:t>
        </w:r>
        <w:r>
          <w:tab/>
        </w:r>
        <w:r>
          <w:fldChar w:fldCharType="begin"/>
        </w:r>
        <w:r>
          <w:instrText xml:space="preserve"> PAGEREF _Toc27957 </w:instrText>
        </w:r>
        <w:r>
          <w:fldChar w:fldCharType="separate"/>
        </w:r>
        <w:r>
          <w:t>- 25 -</w:t>
        </w:r>
        <w:r>
          <w:fldChar w:fldCharType="end"/>
        </w:r>
      </w:hyperlink>
    </w:p>
    <w:p w:rsidR="005F7985">
      <w:pPr>
        <w:pStyle w:val="TOC3"/>
        <w:tabs>
          <w:tab w:val="right" w:leader="dot" w:pos="9660"/>
        </w:tabs>
      </w:pPr>
      <w:hyperlink w:anchor="_Toc2838" w:history="1">
        <w:r>
          <w:rPr>
            <w:rFonts w:hint="eastAsia"/>
          </w:rPr>
          <w:t xml:space="preserve">3. </w:t>
        </w:r>
        <w:r>
          <w:t>荷载设计</w:t>
        </w:r>
        <w:r>
          <w:tab/>
        </w:r>
        <w:r>
          <w:fldChar w:fldCharType="begin"/>
        </w:r>
        <w:r>
          <w:instrText xml:space="preserve"> PAGEREF _Toc2838 </w:instrText>
        </w:r>
        <w:r>
          <w:fldChar w:fldCharType="separate"/>
        </w:r>
        <w:r>
          <w:t>- 25 -</w:t>
        </w:r>
        <w:r>
          <w:fldChar w:fldCharType="end"/>
        </w:r>
      </w:hyperlink>
    </w:p>
    <w:p w:rsidR="005F7985">
      <w:pPr>
        <w:pStyle w:val="TOC3"/>
        <w:tabs>
          <w:tab w:val="right" w:leader="dot" w:pos="9660"/>
        </w:tabs>
      </w:pPr>
      <w:hyperlink w:anchor="_Toc24546" w:history="1">
        <w:r>
          <w:rPr>
            <w:rFonts w:hint="eastAsia"/>
          </w:rPr>
          <w:t xml:space="preserve">4. </w:t>
        </w:r>
        <w:r>
          <w:t>纵向水平杆验算</w:t>
        </w:r>
        <w:r>
          <w:tab/>
        </w:r>
        <w:r>
          <w:fldChar w:fldCharType="begin"/>
        </w:r>
        <w:r>
          <w:instrText xml:space="preserve"> PAGEREF _Toc24546 </w:instrText>
        </w:r>
        <w:r>
          <w:fldChar w:fldCharType="separate"/>
        </w:r>
        <w:r>
          <w:t>- 27 -</w:t>
        </w:r>
        <w:r>
          <w:fldChar w:fldCharType="end"/>
        </w:r>
      </w:hyperlink>
    </w:p>
    <w:p w:rsidR="005F7985">
      <w:pPr>
        <w:pStyle w:val="TOC3"/>
        <w:tabs>
          <w:tab w:val="right" w:leader="dot" w:pos="9660"/>
        </w:tabs>
      </w:pPr>
      <w:hyperlink w:anchor="_Toc22370" w:history="1">
        <w:r>
          <w:rPr>
            <w:rFonts w:hint="eastAsia"/>
          </w:rPr>
          <w:t xml:space="preserve">5. </w:t>
        </w:r>
        <w:r>
          <w:t>横向水平杆验算</w:t>
        </w:r>
        <w:r>
          <w:tab/>
        </w:r>
        <w:r>
          <w:fldChar w:fldCharType="begin"/>
        </w:r>
        <w:r>
          <w:instrText xml:space="preserve"> PAGEREF _Toc22370 </w:instrText>
        </w:r>
        <w:r>
          <w:fldChar w:fldCharType="separate"/>
        </w:r>
        <w:r>
          <w:t>- 28 -</w:t>
        </w:r>
        <w:r>
          <w:fldChar w:fldCharType="end"/>
        </w:r>
      </w:hyperlink>
    </w:p>
    <w:p w:rsidR="005F7985">
      <w:pPr>
        <w:pStyle w:val="TOC3"/>
        <w:tabs>
          <w:tab w:val="right" w:leader="dot" w:pos="9660"/>
        </w:tabs>
      </w:pPr>
      <w:hyperlink w:anchor="_Toc19365" w:history="1">
        <w:r>
          <w:rPr>
            <w:rFonts w:hint="eastAsia"/>
          </w:rPr>
          <w:t xml:space="preserve">6. </w:t>
        </w:r>
        <w:r>
          <w:t>扣件抗滑承载力验算</w:t>
        </w:r>
        <w:r>
          <w:tab/>
        </w:r>
        <w:r>
          <w:fldChar w:fldCharType="begin"/>
        </w:r>
        <w:r>
          <w:instrText xml:space="preserve"> PAGEREF _Toc19365 </w:instrText>
        </w:r>
        <w:r>
          <w:fldChar w:fldCharType="separate"/>
        </w:r>
        <w:r>
          <w:t>- 30 -</w:t>
        </w:r>
        <w:r>
          <w:fldChar w:fldCharType="end"/>
        </w:r>
      </w:hyperlink>
    </w:p>
    <w:p w:rsidR="005F7985">
      <w:pPr>
        <w:pStyle w:val="TOC3"/>
        <w:tabs>
          <w:tab w:val="right" w:leader="dot" w:pos="9660"/>
        </w:tabs>
      </w:pPr>
      <w:hyperlink w:anchor="_Toc26948" w:history="1">
        <w:r>
          <w:rPr>
            <w:rFonts w:hint="eastAsia"/>
          </w:rPr>
          <w:t xml:space="preserve">7. </w:t>
        </w:r>
        <w:r>
          <w:t>荷载计算</w:t>
        </w:r>
        <w:r>
          <w:tab/>
        </w:r>
        <w:r>
          <w:fldChar w:fldCharType="begin"/>
        </w:r>
        <w:r>
          <w:instrText xml:space="preserve"> PAGEREF _Toc26948 </w:instrText>
        </w:r>
        <w:r>
          <w:fldChar w:fldCharType="separate"/>
        </w:r>
        <w:r>
          <w:t>- 30 -</w:t>
        </w:r>
        <w:r>
          <w:fldChar w:fldCharType="end"/>
        </w:r>
      </w:hyperlink>
    </w:p>
    <w:p w:rsidR="005F7985">
      <w:pPr>
        <w:pStyle w:val="TOC3"/>
        <w:tabs>
          <w:tab w:val="right" w:leader="dot" w:pos="9660"/>
        </w:tabs>
      </w:pPr>
      <w:hyperlink w:anchor="_Toc16672" w:history="1">
        <w:r>
          <w:rPr>
            <w:rFonts w:hint="eastAsia"/>
          </w:rPr>
          <w:t xml:space="preserve">8. </w:t>
        </w:r>
        <w:r>
          <w:t>立杆稳定性验算</w:t>
        </w:r>
        <w:r>
          <w:tab/>
        </w:r>
        <w:r>
          <w:fldChar w:fldCharType="begin"/>
        </w:r>
        <w:r>
          <w:instrText xml:space="preserve"> PAGEREF _Toc16672 </w:instrText>
        </w:r>
        <w:r>
          <w:fldChar w:fldCharType="separate"/>
        </w:r>
        <w:r>
          <w:t>- 31 -</w:t>
        </w:r>
        <w:r>
          <w:fldChar w:fldCharType="end"/>
        </w:r>
      </w:hyperlink>
    </w:p>
    <w:p w:rsidR="005F7985">
      <w:pPr>
        <w:pStyle w:val="TOC3"/>
        <w:tabs>
          <w:tab w:val="right" w:leader="dot" w:pos="9660"/>
        </w:tabs>
      </w:pPr>
      <w:hyperlink w:anchor="_Toc1934" w:history="1">
        <w:r>
          <w:rPr>
            <w:rFonts w:hint="eastAsia"/>
          </w:rPr>
          <w:t xml:space="preserve">9. </w:t>
        </w:r>
        <w:r>
          <w:t>立杆稳定性验算</w:t>
        </w:r>
        <w:r>
          <w:tab/>
        </w:r>
        <w:r>
          <w:fldChar w:fldCharType="begin"/>
        </w:r>
        <w:r>
          <w:instrText xml:space="preserve"> PAGEREF _Toc1934 </w:instrText>
        </w:r>
        <w:r>
          <w:fldChar w:fldCharType="separate"/>
        </w:r>
        <w:r>
          <w:t>- 31 -</w:t>
        </w:r>
        <w:r>
          <w:fldChar w:fldCharType="end"/>
        </w:r>
      </w:hyperlink>
    </w:p>
    <w:p w:rsidR="005F7985">
      <w:pPr>
        <w:pStyle w:val="TOC3"/>
        <w:tabs>
          <w:tab w:val="right" w:leader="dot" w:pos="9660"/>
        </w:tabs>
      </w:pPr>
      <w:hyperlink w:anchor="_Toc27059" w:history="1">
        <w:r>
          <w:rPr>
            <w:rFonts w:hint="eastAsia"/>
          </w:rPr>
          <w:t xml:space="preserve">10. </w:t>
        </w:r>
        <w:r>
          <w:t>脚手架架体高度验算</w:t>
        </w:r>
        <w:r>
          <w:tab/>
        </w:r>
        <w:r>
          <w:fldChar w:fldCharType="begin"/>
        </w:r>
        <w:r>
          <w:instrText xml:space="preserve"> PAGEREF _Toc27059 </w:instrText>
        </w:r>
        <w:r>
          <w:fldChar w:fldCharType="separate"/>
        </w:r>
        <w:r>
          <w:t>- 32 -</w:t>
        </w:r>
        <w:r>
          <w:fldChar w:fldCharType="end"/>
        </w:r>
      </w:hyperlink>
    </w:p>
    <w:p w:rsidR="005F7985">
      <w:pPr>
        <w:pStyle w:val="TOC3"/>
        <w:tabs>
          <w:tab w:val="right" w:leader="dot" w:pos="9660"/>
        </w:tabs>
        <w:sectPr>
          <w:type w:val="nextPage"/>
          <w:pgSz w:w="11906" w:h="16838"/>
          <w:pgMar w:top="1287" w:right="1152" w:bottom="1271" w:left="1094" w:header="851" w:footer="312" w:gutter="0"/>
          <w:pgNumType w:fmt="numberInDash" w:start="1"/>
          <w:cols w:space="708"/>
          <w:titlePg w:val="0"/>
          <w:docGrid w:type="lines" w:linePitch="312"/>
        </w:sectPr>
      </w:pPr>
      <w:hyperlink w:anchor="_Toc1198" w:history="1">
        <w:r>
          <w:rPr>
            <w:rFonts w:hint="eastAsia"/>
          </w:rPr>
          <w:t xml:space="preserve">11. </w:t>
        </w:r>
        <w:r>
          <w:t>连墙件承载力验算</w:t>
        </w:r>
        <w:r>
          <w:tab/>
        </w:r>
        <w:r>
          <w:fldChar w:fldCharType="begin"/>
        </w:r>
        <w:r>
          <w:instrText xml:space="preserve"> PAGEREF _Toc1198 </w:instrText>
        </w:r>
        <w:r>
          <w:fldChar w:fldCharType="separate"/>
        </w:r>
        <w:r>
          <w:t>- 32 -</w:t>
        </w:r>
        <w:r>
          <w:fldChar w:fldCharType="end"/>
        </w:r>
      </w:hyperlink>
    </w:p>
    <w:p w:rsidR="005F7985">
      <w:pPr>
        <w:pStyle w:val="TOC3"/>
        <w:tabs>
          <w:tab w:val="right" w:leader="dot" w:pos="9660"/>
        </w:tabs>
      </w:pPr>
      <w:hyperlink w:anchor="_Toc2671" w:history="1">
        <w:r>
          <w:rPr>
            <w:rFonts w:hint="eastAsia"/>
          </w:rPr>
          <w:t xml:space="preserve">12. </w:t>
        </w:r>
        <w:r>
          <w:t>立杆地基承载力验算</w:t>
        </w:r>
        <w:r>
          <w:tab/>
        </w:r>
        <w:r>
          <w:fldChar w:fldCharType="begin"/>
        </w:r>
        <w:r>
          <w:instrText xml:space="preserve"> PAGEREF _Toc2671 </w:instrText>
        </w:r>
        <w:r>
          <w:fldChar w:fldCharType="separate"/>
        </w:r>
        <w:r>
          <w:t>- 33 -</w:t>
        </w:r>
        <w:r>
          <w:fldChar w:fldCharType="end"/>
        </w:r>
      </w:hyperlink>
    </w:p>
    <w:p w:rsidR="005F7985">
      <w:pPr>
        <w:pStyle w:val="TOC2"/>
        <w:tabs>
          <w:tab w:val="right" w:leader="dot" w:pos="9660"/>
        </w:tabs>
      </w:pPr>
      <w:hyperlink w:anchor="_Toc25670" w:history="1">
        <w:r>
          <w:rPr>
            <w:rFonts w:hint="eastAsia"/>
          </w:rPr>
          <w:t>第八节</w:t>
        </w:r>
        <w:r>
          <w:rPr>
            <w:rFonts w:hint="eastAsia"/>
          </w:rPr>
          <w:t xml:space="preserve"> </w:t>
        </w:r>
        <w:r>
          <w:rPr>
            <w:rFonts w:hint="eastAsia"/>
          </w:rPr>
          <w:t>检查验收</w:t>
        </w:r>
        <w:r>
          <w:tab/>
        </w:r>
        <w:r>
          <w:fldChar w:fldCharType="begin"/>
        </w:r>
        <w:r>
          <w:instrText xml:space="preserve"> PAGEREF _Toc25670 </w:instrText>
        </w:r>
        <w:r>
          <w:fldChar w:fldCharType="separate"/>
        </w:r>
        <w:r>
          <w:t>- 33 -</w:t>
        </w:r>
        <w:r>
          <w:fldChar w:fldCharType="end"/>
        </w:r>
      </w:hyperlink>
    </w:p>
    <w:p w:rsidR="005F7985">
      <w:pPr>
        <w:pStyle w:val="TOC2"/>
        <w:tabs>
          <w:tab w:val="right" w:leader="dot" w:pos="9660"/>
        </w:tabs>
      </w:pPr>
      <w:hyperlink w:anchor="_Toc2019" w:history="1">
        <w:r>
          <w:rPr>
            <w:rFonts w:hint="eastAsia"/>
          </w:rPr>
          <w:t>第九节</w:t>
        </w:r>
        <w:r>
          <w:rPr>
            <w:rFonts w:hint="eastAsia"/>
          </w:rPr>
          <w:t xml:space="preserve"> </w:t>
        </w:r>
        <w:r>
          <w:rPr>
            <w:rFonts w:hint="eastAsia"/>
          </w:rPr>
          <w:t>监测监控</w:t>
        </w:r>
        <w:r>
          <w:tab/>
        </w:r>
        <w:r>
          <w:fldChar w:fldCharType="begin"/>
        </w:r>
        <w:r>
          <w:instrText xml:space="preserve"> PAGEREF _Toc2019 </w:instrText>
        </w:r>
        <w:r>
          <w:fldChar w:fldCharType="separate"/>
        </w:r>
        <w:r>
          <w:t>- 34 -</w:t>
        </w:r>
        <w:r>
          <w:fldChar w:fldCharType="end"/>
        </w:r>
      </w:hyperlink>
    </w:p>
    <w:p w:rsidR="005F7985">
      <w:pPr>
        <w:pStyle w:val="TOC3"/>
        <w:tabs>
          <w:tab w:val="right" w:leader="dot" w:pos="9660"/>
        </w:tabs>
      </w:pPr>
      <w:hyperlink w:anchor="_Toc29269" w:history="1">
        <w:r>
          <w:rPr>
            <w:rFonts w:hint="eastAsia"/>
          </w:rPr>
          <w:t xml:space="preserve">1. </w:t>
        </w:r>
        <w:r>
          <w:rPr>
            <w:rFonts w:hint="eastAsia"/>
          </w:rPr>
          <w:t>监测项目：</w:t>
        </w:r>
        <w:r>
          <w:tab/>
        </w:r>
        <w:r>
          <w:fldChar w:fldCharType="begin"/>
        </w:r>
        <w:r>
          <w:instrText xml:space="preserve"> PAGEREF _Toc29269 </w:instrText>
        </w:r>
        <w:r>
          <w:fldChar w:fldCharType="separate"/>
        </w:r>
        <w:r>
          <w:t>- 34 -</w:t>
        </w:r>
        <w:r>
          <w:fldChar w:fldCharType="end"/>
        </w:r>
      </w:hyperlink>
    </w:p>
    <w:p w:rsidR="005F7985">
      <w:pPr>
        <w:pStyle w:val="TOC3"/>
        <w:tabs>
          <w:tab w:val="right" w:leader="dot" w:pos="9660"/>
        </w:tabs>
      </w:pPr>
      <w:hyperlink w:anchor="_Toc14612" w:history="1">
        <w:r>
          <w:rPr>
            <w:rFonts w:hint="eastAsia"/>
          </w:rPr>
          <w:t xml:space="preserve">2. </w:t>
        </w:r>
        <w:r>
          <w:rPr>
            <w:rFonts w:hint="eastAsia"/>
          </w:rPr>
          <w:t>准备工作</w:t>
        </w:r>
        <w:r>
          <w:tab/>
        </w:r>
        <w:r>
          <w:fldChar w:fldCharType="begin"/>
        </w:r>
        <w:r>
          <w:instrText xml:space="preserve"> PAGEREF _Toc14612 </w:instrText>
        </w:r>
        <w:r>
          <w:fldChar w:fldCharType="separate"/>
        </w:r>
        <w:r>
          <w:t>- 3</w:t>
        </w:r>
        <w:r>
          <w:t>4 -</w:t>
        </w:r>
        <w:r>
          <w:fldChar w:fldCharType="end"/>
        </w:r>
      </w:hyperlink>
    </w:p>
    <w:p w:rsidR="005F7985">
      <w:pPr>
        <w:pStyle w:val="TOC3"/>
        <w:tabs>
          <w:tab w:val="right" w:leader="dot" w:pos="9660"/>
        </w:tabs>
      </w:pPr>
      <w:hyperlink w:anchor="_Toc196" w:history="1">
        <w:r>
          <w:rPr>
            <w:rFonts w:hint="eastAsia"/>
          </w:rPr>
          <w:t xml:space="preserve">3. </w:t>
        </w:r>
        <w:r>
          <w:rPr>
            <w:rFonts w:hint="eastAsia"/>
          </w:rPr>
          <w:t>监测方法</w:t>
        </w:r>
        <w:r>
          <w:tab/>
        </w:r>
        <w:r>
          <w:fldChar w:fldCharType="begin"/>
        </w:r>
        <w:r>
          <w:instrText xml:space="preserve"> PAGEREF _Toc196 </w:instrText>
        </w:r>
        <w:r>
          <w:fldChar w:fldCharType="separate"/>
        </w:r>
        <w:r>
          <w:t>- 34 -</w:t>
        </w:r>
        <w:r>
          <w:fldChar w:fldCharType="end"/>
        </w:r>
      </w:hyperlink>
    </w:p>
    <w:p w:rsidR="005F7985">
      <w:pPr>
        <w:pStyle w:val="BodyText3"/>
      </w:pPr>
      <w:r>
        <w:rPr>
          <w:rFonts w:hint="eastAsia"/>
          <w:szCs w:val="30"/>
        </w:rPr>
        <w:fldChar w:fldCharType="end"/>
      </w:r>
    </w:p>
    <w:p w:rsidR="005F7985">
      <w:pPr>
        <w:pStyle w:val="Heading2"/>
        <w:ind w:left="0"/>
        <w:jc w:val="both"/>
        <w:sectPr>
          <w:type w:val="nextPage"/>
          <w:pgSz w:w="11906" w:h="16838"/>
          <w:pgMar w:top="1287" w:right="1152" w:bottom="1271" w:left="1094" w:header="851" w:footer="312" w:gutter="0"/>
          <w:pgNumType w:fmt="numberInDash" w:start="2"/>
          <w:cols w:space="708"/>
          <w:titlePg w:val="0"/>
          <w:docGrid w:type="lines" w:linePitch="312"/>
        </w:sectPr>
      </w:pPr>
      <w:bookmarkStart w:id="1" w:name="_Toc11533"/>
      <w:bookmarkStart w:id="2" w:name="_Toc17511"/>
      <w:bookmarkStart w:id="3" w:name="_Toc11042"/>
      <w:bookmarkEnd w:id="0"/>
    </w:p>
    <w:p w:rsidR="005F7985">
      <w:pPr>
        <w:pStyle w:val="Heading2"/>
        <w:ind w:left="0"/>
      </w:pPr>
      <w:bookmarkStart w:id="4" w:name="_Toc14008"/>
      <w:r>
        <w:rPr>
          <w:rFonts w:hint="eastAsia"/>
        </w:rPr>
        <w:t>编制依据</w:t>
      </w:r>
      <w:bookmarkEnd w:id="1"/>
      <w:bookmarkEnd w:id="2"/>
      <w:bookmarkEnd w:id="3"/>
      <w:bookmarkEnd w:id="4"/>
    </w:p>
    <w:p w:rsidR="005F7985">
      <w:pPr>
        <w:pStyle w:val="Normal0"/>
        <w:autoSpaceDE w:val="0"/>
        <w:autoSpaceDN w:val="0"/>
        <w:adjustRightInd w:val="0"/>
        <w:spacing w:line="360" w:lineRule="auto"/>
        <w:jc w:val="left"/>
        <w:rPr>
          <w:color w:val="000000"/>
          <w:kern w:val="0"/>
          <w:sz w:val="24"/>
        </w:rPr>
      </w:pPr>
      <w:r>
        <w:rPr>
          <w:color w:val="000000"/>
          <w:kern w:val="0"/>
          <w:sz w:val="24"/>
        </w:rPr>
        <w:t>1</w:t>
      </w:r>
      <w:r>
        <w:rPr>
          <w:color w:val="000000"/>
          <w:kern w:val="0"/>
          <w:sz w:val="24"/>
        </w:rPr>
        <w:t>、</w:t>
      </w:r>
      <w:bookmarkStart w:id="5" w:name="_Toc25689"/>
      <w:bookmarkStart w:id="6" w:name="_Toc16587"/>
      <w:r>
        <w:rPr>
          <w:color w:val="000000"/>
          <w:kern w:val="0"/>
          <w:sz w:val="24"/>
        </w:rPr>
        <w:t>《建筑施工脚手架实用手册》</w:t>
      </w:r>
    </w:p>
    <w:p w:rsidR="005F7985">
      <w:pPr>
        <w:pStyle w:val="Normal0"/>
        <w:autoSpaceDE w:val="0"/>
        <w:autoSpaceDN w:val="0"/>
        <w:adjustRightInd w:val="0"/>
        <w:spacing w:line="360" w:lineRule="auto"/>
        <w:jc w:val="left"/>
        <w:rPr>
          <w:color w:val="000000"/>
          <w:kern w:val="0"/>
          <w:sz w:val="24"/>
        </w:rPr>
      </w:pPr>
      <w:r>
        <w:rPr>
          <w:color w:val="000000"/>
          <w:kern w:val="0"/>
          <w:sz w:val="24"/>
        </w:rPr>
        <w:t>2</w:t>
      </w:r>
      <w:r>
        <w:rPr>
          <w:color w:val="000000"/>
          <w:kern w:val="0"/>
          <w:sz w:val="24"/>
        </w:rPr>
        <w:t>、《建筑地基基础设计规范》</w:t>
      </w:r>
      <w:r>
        <w:rPr>
          <w:color w:val="000000"/>
          <w:kern w:val="0"/>
          <w:sz w:val="24"/>
        </w:rPr>
        <w:t>GB50007-2011</w:t>
      </w:r>
    </w:p>
    <w:p w:rsidR="005F7985">
      <w:pPr>
        <w:pStyle w:val="Normal0"/>
        <w:autoSpaceDE w:val="0"/>
        <w:autoSpaceDN w:val="0"/>
        <w:adjustRightInd w:val="0"/>
        <w:spacing w:line="360" w:lineRule="auto"/>
        <w:jc w:val="left"/>
        <w:rPr>
          <w:color w:val="000000"/>
          <w:kern w:val="0"/>
          <w:sz w:val="24"/>
        </w:rPr>
      </w:pPr>
      <w:r>
        <w:rPr>
          <w:color w:val="000000"/>
          <w:kern w:val="0"/>
          <w:sz w:val="24"/>
        </w:rPr>
        <w:t>3</w:t>
      </w:r>
      <w:r>
        <w:rPr>
          <w:color w:val="000000"/>
          <w:kern w:val="0"/>
          <w:sz w:val="24"/>
        </w:rPr>
        <w:t>、《建筑结构荷载规范》</w:t>
      </w:r>
      <w:r>
        <w:rPr>
          <w:color w:val="000000"/>
          <w:kern w:val="0"/>
          <w:sz w:val="24"/>
        </w:rPr>
        <w:t>GB50009-2012</w:t>
      </w:r>
    </w:p>
    <w:p w:rsidR="005F7985">
      <w:pPr>
        <w:pStyle w:val="Normal0"/>
        <w:autoSpaceDE w:val="0"/>
        <w:autoSpaceDN w:val="0"/>
        <w:adjustRightInd w:val="0"/>
        <w:spacing w:line="360" w:lineRule="auto"/>
        <w:jc w:val="left"/>
        <w:rPr>
          <w:color w:val="000000"/>
          <w:kern w:val="0"/>
          <w:sz w:val="24"/>
        </w:rPr>
      </w:pPr>
      <w:r>
        <w:rPr>
          <w:color w:val="000000"/>
          <w:kern w:val="0"/>
          <w:sz w:val="24"/>
        </w:rPr>
        <w:t>4</w:t>
      </w:r>
      <w:r>
        <w:rPr>
          <w:color w:val="000000"/>
          <w:kern w:val="0"/>
          <w:sz w:val="24"/>
        </w:rPr>
        <w:t>、《混凝土结构设计规范》</w:t>
      </w:r>
      <w:r>
        <w:rPr>
          <w:color w:val="000000"/>
          <w:kern w:val="0"/>
          <w:sz w:val="24"/>
        </w:rPr>
        <w:t>GB50010-2010</w:t>
      </w:r>
    </w:p>
    <w:p w:rsidR="005F7985">
      <w:pPr>
        <w:pStyle w:val="Normal0"/>
        <w:autoSpaceDE w:val="0"/>
        <w:autoSpaceDN w:val="0"/>
        <w:adjustRightInd w:val="0"/>
        <w:spacing w:line="360" w:lineRule="auto"/>
        <w:jc w:val="left"/>
        <w:rPr>
          <w:color w:val="000000"/>
          <w:kern w:val="0"/>
          <w:sz w:val="24"/>
        </w:rPr>
      </w:pPr>
      <w:r>
        <w:rPr>
          <w:color w:val="000000"/>
          <w:kern w:val="0"/>
          <w:sz w:val="24"/>
        </w:rPr>
        <w:t>5</w:t>
      </w:r>
      <w:r>
        <w:rPr>
          <w:color w:val="000000"/>
          <w:kern w:val="0"/>
          <w:sz w:val="24"/>
        </w:rPr>
        <w:t>、《钢结构设计规范》</w:t>
      </w:r>
      <w:r>
        <w:rPr>
          <w:color w:val="000000"/>
          <w:kern w:val="0"/>
          <w:sz w:val="24"/>
        </w:rPr>
        <w:t>GB50017-2003</w:t>
      </w:r>
    </w:p>
    <w:p w:rsidR="005F7985">
      <w:pPr>
        <w:pStyle w:val="Normal0"/>
        <w:autoSpaceDE w:val="0"/>
        <w:autoSpaceDN w:val="0"/>
        <w:adjustRightInd w:val="0"/>
        <w:spacing w:line="360" w:lineRule="auto"/>
        <w:jc w:val="left"/>
        <w:rPr>
          <w:color w:val="000000"/>
          <w:kern w:val="0"/>
          <w:sz w:val="24"/>
        </w:rPr>
      </w:pPr>
      <w:r>
        <w:rPr>
          <w:color w:val="000000"/>
          <w:kern w:val="0"/>
          <w:sz w:val="24"/>
        </w:rPr>
        <w:t>6</w:t>
      </w:r>
      <w:r>
        <w:rPr>
          <w:color w:val="000000"/>
          <w:kern w:val="0"/>
          <w:sz w:val="24"/>
        </w:rPr>
        <w:t>、《建筑施工安全检查标准》</w:t>
      </w:r>
      <w:r>
        <w:rPr>
          <w:color w:val="000000"/>
          <w:kern w:val="0"/>
          <w:sz w:val="24"/>
        </w:rPr>
        <w:t>JGJ59-2011</w:t>
      </w:r>
    </w:p>
    <w:p w:rsidR="005F7985">
      <w:pPr>
        <w:pStyle w:val="Normal0"/>
        <w:autoSpaceDE w:val="0"/>
        <w:autoSpaceDN w:val="0"/>
        <w:adjustRightInd w:val="0"/>
        <w:spacing w:line="360" w:lineRule="auto"/>
        <w:jc w:val="left"/>
        <w:rPr>
          <w:color w:val="000000"/>
          <w:kern w:val="0"/>
          <w:sz w:val="24"/>
        </w:rPr>
      </w:pPr>
      <w:r>
        <w:rPr>
          <w:color w:val="000000"/>
          <w:kern w:val="0"/>
          <w:sz w:val="24"/>
        </w:rPr>
        <w:t>7</w:t>
      </w:r>
      <w:r>
        <w:rPr>
          <w:color w:val="000000"/>
          <w:kern w:val="0"/>
          <w:sz w:val="24"/>
        </w:rPr>
        <w:t>、《建筑施工高处作业安全技术规范》</w:t>
      </w:r>
      <w:r>
        <w:rPr>
          <w:color w:val="000000"/>
          <w:kern w:val="0"/>
          <w:sz w:val="24"/>
        </w:rPr>
        <w:t>JGJ80-91</w:t>
      </w:r>
    </w:p>
    <w:p w:rsidR="005F7985">
      <w:pPr>
        <w:pStyle w:val="Normal0"/>
        <w:autoSpaceDE w:val="0"/>
        <w:autoSpaceDN w:val="0"/>
        <w:adjustRightInd w:val="0"/>
        <w:spacing w:line="360" w:lineRule="auto"/>
        <w:jc w:val="left"/>
        <w:rPr>
          <w:color w:val="000000"/>
          <w:kern w:val="0"/>
          <w:sz w:val="24"/>
        </w:rPr>
      </w:pPr>
      <w:r>
        <w:rPr>
          <w:color w:val="000000"/>
          <w:kern w:val="0"/>
          <w:sz w:val="24"/>
        </w:rPr>
        <w:t>8</w:t>
      </w:r>
      <w:r>
        <w:rPr>
          <w:color w:val="000000"/>
          <w:kern w:val="0"/>
          <w:sz w:val="24"/>
        </w:rPr>
        <w:t>、《建筑施工扣件式钢管脚手架安全技术规范》</w:t>
      </w:r>
      <w:r>
        <w:rPr>
          <w:color w:val="000000"/>
          <w:kern w:val="0"/>
          <w:sz w:val="24"/>
        </w:rPr>
        <w:t>JGJ130-2011</w:t>
      </w:r>
    </w:p>
    <w:p w:rsidR="005F7985">
      <w:pPr>
        <w:pStyle w:val="Normal0"/>
        <w:autoSpaceDE w:val="0"/>
        <w:autoSpaceDN w:val="0"/>
        <w:adjustRightInd w:val="0"/>
        <w:spacing w:line="360" w:lineRule="auto"/>
        <w:jc w:val="left"/>
        <w:rPr>
          <w:color w:val="000000"/>
          <w:kern w:val="0"/>
          <w:sz w:val="24"/>
        </w:rPr>
      </w:pPr>
      <w:r>
        <w:rPr>
          <w:color w:val="000000"/>
          <w:kern w:val="0"/>
          <w:sz w:val="24"/>
        </w:rPr>
        <w:t>9</w:t>
      </w:r>
      <w:r>
        <w:rPr>
          <w:color w:val="000000"/>
          <w:kern w:val="0"/>
          <w:sz w:val="24"/>
        </w:rPr>
        <w:t>、《危险性较大的分部分项工程安全管理办法》</w:t>
      </w:r>
      <w:r>
        <w:rPr>
          <w:color w:val="000000"/>
          <w:kern w:val="0"/>
          <w:sz w:val="24"/>
        </w:rPr>
        <w:t>(</w:t>
      </w:r>
      <w:r>
        <w:rPr>
          <w:color w:val="000000"/>
          <w:kern w:val="0"/>
          <w:sz w:val="24"/>
        </w:rPr>
        <w:t>建质</w:t>
      </w:r>
      <w:r>
        <w:rPr>
          <w:color w:val="000000"/>
          <w:kern w:val="0"/>
          <w:sz w:val="24"/>
        </w:rPr>
        <w:t>[2009]87</w:t>
      </w:r>
      <w:r>
        <w:rPr>
          <w:color w:val="000000"/>
          <w:kern w:val="0"/>
          <w:sz w:val="24"/>
        </w:rPr>
        <w:t>号文</w:t>
      </w:r>
      <w:r>
        <w:rPr>
          <w:color w:val="000000"/>
          <w:kern w:val="0"/>
          <w:sz w:val="24"/>
        </w:rPr>
        <w:t>)</w:t>
      </w:r>
    </w:p>
    <w:p w:rsidR="005F7985">
      <w:pPr>
        <w:pStyle w:val="Normal0"/>
        <w:autoSpaceDE w:val="0"/>
        <w:autoSpaceDN w:val="0"/>
        <w:adjustRightInd w:val="0"/>
        <w:spacing w:line="360" w:lineRule="auto"/>
        <w:jc w:val="left"/>
        <w:rPr>
          <w:color w:val="000000"/>
          <w:kern w:val="0"/>
          <w:sz w:val="24"/>
        </w:rPr>
      </w:pPr>
      <w:r>
        <w:rPr>
          <w:color w:val="000000"/>
          <w:kern w:val="0"/>
          <w:sz w:val="24"/>
        </w:rPr>
        <w:t>10</w:t>
      </w:r>
      <w:r>
        <w:rPr>
          <w:color w:val="000000"/>
          <w:kern w:val="0"/>
          <w:sz w:val="24"/>
        </w:rPr>
        <w:t>、《建设工程安全生产管理条例》国务院令第</w:t>
      </w:r>
      <w:r>
        <w:rPr>
          <w:color w:val="000000"/>
          <w:kern w:val="0"/>
          <w:sz w:val="24"/>
        </w:rPr>
        <w:t>393</w:t>
      </w:r>
      <w:r>
        <w:rPr>
          <w:color w:val="000000"/>
          <w:kern w:val="0"/>
          <w:sz w:val="24"/>
        </w:rPr>
        <w:t>号</w:t>
      </w:r>
    </w:p>
    <w:p w:rsidR="005F7985">
      <w:pPr>
        <w:pStyle w:val="Normal0"/>
        <w:autoSpaceDE w:val="0"/>
        <w:autoSpaceDN w:val="0"/>
        <w:adjustRightInd w:val="0"/>
        <w:spacing w:line="360" w:lineRule="auto"/>
        <w:jc w:val="left"/>
        <w:rPr>
          <w:color w:val="000000"/>
          <w:kern w:val="0"/>
          <w:sz w:val="24"/>
        </w:rPr>
      </w:pPr>
      <w:r>
        <w:rPr>
          <w:rFonts w:hint="eastAsia"/>
          <w:color w:val="000000"/>
          <w:kern w:val="0"/>
          <w:sz w:val="24"/>
        </w:rPr>
        <w:t>11</w:t>
      </w:r>
      <w:r>
        <w:rPr>
          <w:color w:val="000000"/>
          <w:kern w:val="0"/>
          <w:sz w:val="24"/>
        </w:rPr>
        <w:t>、本工程设计图纸</w:t>
      </w:r>
    </w:p>
    <w:p w:rsidR="005F7985">
      <w:pPr>
        <w:pStyle w:val="Normal0"/>
        <w:autoSpaceDE w:val="0"/>
        <w:autoSpaceDN w:val="0"/>
        <w:adjustRightInd w:val="0"/>
        <w:spacing w:line="360" w:lineRule="auto"/>
        <w:jc w:val="left"/>
        <w:rPr>
          <w:color w:val="000000"/>
          <w:kern w:val="0"/>
          <w:sz w:val="24"/>
        </w:rPr>
      </w:pPr>
      <w:r>
        <w:rPr>
          <w:color w:val="000000"/>
          <w:kern w:val="0"/>
          <w:sz w:val="24"/>
        </w:rPr>
        <w:t>12</w:t>
      </w:r>
      <w:r>
        <w:rPr>
          <w:color w:val="000000"/>
          <w:kern w:val="0"/>
          <w:sz w:val="24"/>
        </w:rPr>
        <w:t>、本工程施工组织设计</w:t>
      </w:r>
    </w:p>
    <w:p w:rsidR="005F7985">
      <w:pPr>
        <w:pStyle w:val="Normal0"/>
        <w:autoSpaceDE w:val="0"/>
        <w:autoSpaceDN w:val="0"/>
        <w:adjustRightInd w:val="0"/>
        <w:spacing w:line="360" w:lineRule="auto"/>
        <w:ind w:firstLine="480" w:firstLineChars="200"/>
        <w:jc w:val="left"/>
        <w:rPr>
          <w:color w:val="000000"/>
          <w:kern w:val="0"/>
          <w:sz w:val="24"/>
        </w:rPr>
      </w:pPr>
    </w:p>
    <w:p w:rsidR="005F7985">
      <w:pPr>
        <w:pStyle w:val="Heading2"/>
        <w:ind w:left="0"/>
      </w:pPr>
      <w:bookmarkStart w:id="7" w:name="_Toc18865"/>
      <w:bookmarkStart w:id="8" w:name="_Toc1286"/>
      <w:r>
        <w:rPr>
          <w:rFonts w:hint="eastAsia"/>
        </w:rPr>
        <w:t>工程概况</w:t>
      </w:r>
      <w:bookmarkEnd w:id="5"/>
      <w:bookmarkEnd w:id="6"/>
      <w:bookmarkEnd w:id="7"/>
      <w:bookmarkEnd w:id="8"/>
    </w:p>
    <w:p w:rsidR="005F7985">
      <w:pPr>
        <w:pStyle w:val="Heading3"/>
      </w:pPr>
      <w:bookmarkStart w:id="9" w:name="_Toc28248"/>
      <w:bookmarkStart w:id="10" w:name="_Toc24424"/>
      <w:bookmarkStart w:id="11" w:name="_Toc2043"/>
      <w:bookmarkStart w:id="12" w:name="_Toc20435"/>
      <w:bookmarkStart w:id="13" w:name="_Toc13449"/>
      <w:r>
        <w:rPr>
          <w:rFonts w:hint="eastAsia"/>
        </w:rPr>
        <w:t>工程概况：</w:t>
      </w:r>
      <w:bookmarkEnd w:id="9"/>
      <w:bookmarkEnd w:id="10"/>
      <w:bookmarkEnd w:id="11"/>
      <w:bookmarkEnd w:id="12"/>
      <w:bookmarkEnd w:id="13"/>
    </w:p>
    <w:p w:rsidR="005F7985">
      <w:pPr>
        <w:pStyle w:val="Normal0"/>
        <w:numPr>
          <w:ilvl w:val="0"/>
          <w:numId w:val="14"/>
        </w:numPr>
        <w:spacing w:line="360" w:lineRule="auto"/>
        <w:ind w:left="560"/>
        <w:rPr>
          <w:rFonts w:ascii="宋体" w:hAnsi="宋体"/>
          <w:sz w:val="24"/>
        </w:rPr>
      </w:pPr>
      <w:r>
        <w:rPr>
          <w:rFonts w:ascii="宋体" w:hAnsi="宋体" w:hint="eastAsia"/>
          <w:sz w:val="24"/>
        </w:rPr>
        <w:t>工程名称：贵州省六枝特区大用片区城市棚户区改造基础设施建设工程</w:t>
      </w:r>
    </w:p>
    <w:p w:rsidR="005F7985">
      <w:pPr>
        <w:pStyle w:val="Normal0"/>
        <w:numPr>
          <w:ilvl w:val="0"/>
          <w:numId w:val="14"/>
        </w:numPr>
        <w:spacing w:line="360" w:lineRule="auto"/>
        <w:ind w:left="560"/>
        <w:rPr>
          <w:rFonts w:ascii="宋体" w:hAnsi="宋体"/>
          <w:sz w:val="24"/>
        </w:rPr>
      </w:pPr>
      <w:r>
        <w:rPr>
          <w:rFonts w:ascii="宋体" w:hAnsi="宋体" w:hint="eastAsia"/>
          <w:sz w:val="24"/>
        </w:rPr>
        <w:t>工程工程地点：</w:t>
      </w:r>
      <w:r>
        <w:rPr>
          <w:rFonts w:hint="eastAsia"/>
          <w:sz w:val="24"/>
        </w:rPr>
        <w:t>贵州省六枝特区</w:t>
      </w:r>
      <w:r>
        <w:rPr>
          <w:rFonts w:hint="eastAsia"/>
          <w:sz w:val="24"/>
        </w:rPr>
        <w:t>大用</w:t>
      </w:r>
      <w:r>
        <w:rPr>
          <w:rFonts w:hint="eastAsia"/>
          <w:sz w:val="24"/>
        </w:rPr>
        <w:t>镇</w:t>
      </w:r>
      <w:r>
        <w:rPr>
          <w:rFonts w:hint="eastAsia"/>
          <w:sz w:val="24"/>
        </w:rPr>
        <w:t>大用村</w:t>
      </w:r>
    </w:p>
    <w:p w:rsidR="005F7985">
      <w:pPr>
        <w:pStyle w:val="Normal0"/>
        <w:numPr>
          <w:ilvl w:val="0"/>
          <w:numId w:val="14"/>
        </w:numPr>
        <w:spacing w:line="360" w:lineRule="auto"/>
        <w:ind w:left="560"/>
        <w:rPr>
          <w:rFonts w:ascii="宋体" w:hAnsi="宋体"/>
          <w:sz w:val="24"/>
        </w:rPr>
      </w:pPr>
      <w:r>
        <w:rPr>
          <w:rFonts w:ascii="宋体" w:hAnsi="宋体" w:hint="eastAsia"/>
          <w:sz w:val="24"/>
        </w:rPr>
        <w:t>工程简介：本工程主要是对原有民用住宅外墙立面进行装饰改造，住房多为农户自建房，房屋结构形式为</w:t>
      </w:r>
      <w:r>
        <w:rPr>
          <w:rFonts w:ascii="宋体" w:hAnsi="宋体" w:hint="eastAsia"/>
          <w:sz w:val="24"/>
        </w:rPr>
        <w:t>1</w:t>
      </w:r>
      <w:r>
        <w:rPr>
          <w:rFonts w:ascii="宋体" w:hAnsi="宋体" w:hint="eastAsia"/>
          <w:sz w:val="24"/>
        </w:rPr>
        <w:t>层至</w:t>
      </w:r>
      <w:r>
        <w:rPr>
          <w:rFonts w:ascii="宋体" w:hAnsi="宋体" w:hint="eastAsia"/>
          <w:sz w:val="24"/>
        </w:rPr>
        <w:t>4</w:t>
      </w:r>
      <w:r>
        <w:rPr>
          <w:rFonts w:ascii="宋体" w:hAnsi="宋体" w:hint="eastAsia"/>
          <w:sz w:val="24"/>
        </w:rPr>
        <w:t>层砖混结构，普遍为三层，因此脚手架搭设高度不统一，平均高度在</w:t>
      </w:r>
      <w:r>
        <w:rPr>
          <w:rFonts w:ascii="宋体" w:hAnsi="宋体" w:hint="eastAsia"/>
          <w:sz w:val="24"/>
        </w:rPr>
        <w:t>15m</w:t>
      </w:r>
      <w:r>
        <w:rPr>
          <w:rFonts w:ascii="宋体" w:hAnsi="宋体" w:hint="eastAsia"/>
          <w:sz w:val="24"/>
        </w:rPr>
        <w:t>内。</w:t>
      </w:r>
      <w:r>
        <w:rPr>
          <w:rFonts w:ascii="宋体" w:hAnsi="宋体" w:hint="eastAsia"/>
          <w:sz w:val="24"/>
        </w:rPr>
        <w:t xml:space="preserve"> </w:t>
      </w:r>
    </w:p>
    <w:p w:rsidR="005F7985">
      <w:pPr>
        <w:pStyle w:val="Normal0"/>
        <w:numPr>
          <w:ilvl w:val="0"/>
          <w:numId w:val="14"/>
        </w:numPr>
        <w:spacing w:line="360" w:lineRule="auto"/>
        <w:ind w:left="560"/>
        <w:rPr>
          <w:rFonts w:ascii="宋体" w:hAnsi="宋体"/>
          <w:sz w:val="24"/>
        </w:rPr>
      </w:pPr>
      <w:r>
        <w:rPr>
          <w:rFonts w:ascii="宋体" w:hAnsi="宋体" w:hint="eastAsia"/>
          <w:sz w:val="24"/>
        </w:rPr>
        <w:t>工程难点及特点</w:t>
      </w:r>
    </w:p>
    <w:p w:rsidR="005F7985">
      <w:pPr>
        <w:pStyle w:val="Normal0"/>
        <w:adjustRightInd w:val="0"/>
        <w:snapToGrid w:val="0"/>
        <w:spacing w:before="50" w:after="50" w:line="360" w:lineRule="auto"/>
        <w:ind w:firstLine="480" w:firstLineChars="200"/>
        <w:rPr>
          <w:rFonts w:ascii="宋体" w:hAnsi="宋体"/>
          <w:sz w:val="24"/>
        </w:rPr>
      </w:pPr>
      <w:r>
        <w:rPr>
          <w:rFonts w:ascii="宋体" w:hAnsi="宋体" w:hint="eastAsia"/>
          <w:sz w:val="24"/>
        </w:rPr>
        <w:t>本工程属于</w:t>
      </w:r>
      <w:r>
        <w:rPr>
          <w:rFonts w:ascii="宋体" w:hAnsi="宋体" w:hint="eastAsia"/>
          <w:sz w:val="24"/>
        </w:rPr>
        <w:t>农村</w:t>
      </w:r>
      <w:r>
        <w:rPr>
          <w:rFonts w:ascii="宋体" w:hAnsi="宋体" w:hint="eastAsia"/>
          <w:sz w:val="24"/>
        </w:rPr>
        <w:t>老旧</w:t>
      </w:r>
      <w:r>
        <w:rPr>
          <w:rFonts w:ascii="宋体" w:hAnsi="宋体" w:hint="eastAsia"/>
          <w:sz w:val="24"/>
        </w:rPr>
        <w:t>民用住房</w:t>
      </w:r>
      <w:r>
        <w:rPr>
          <w:rFonts w:ascii="宋体" w:hAnsi="宋体" w:hint="eastAsia"/>
          <w:sz w:val="24"/>
        </w:rPr>
        <w:t>综合改造项目，所施工工程居民不撤离施工场地，屋面施工必须四周脚手架到顶，</w:t>
      </w:r>
      <w:r>
        <w:rPr>
          <w:rFonts w:ascii="宋体" w:hAnsi="宋体" w:hint="eastAsia"/>
          <w:sz w:val="24"/>
        </w:rPr>
        <w:t>且</w:t>
      </w:r>
      <w:r>
        <w:rPr>
          <w:rFonts w:ascii="宋体" w:hAnsi="宋体" w:hint="eastAsia"/>
          <w:sz w:val="24"/>
        </w:rPr>
        <w:t>高度</w:t>
      </w:r>
      <w:r>
        <w:rPr>
          <w:rFonts w:ascii="宋体" w:hAnsi="宋体" w:hint="eastAsia"/>
          <w:sz w:val="24"/>
        </w:rPr>
        <w:t>应</w:t>
      </w:r>
      <w:r>
        <w:rPr>
          <w:rFonts w:ascii="宋体" w:hAnsi="宋体" w:hint="eastAsia"/>
          <w:sz w:val="24"/>
        </w:rPr>
        <w:t>超过屋面女儿墙</w:t>
      </w:r>
      <w:r>
        <w:rPr>
          <w:rFonts w:ascii="宋体" w:hAnsi="宋体" w:hint="eastAsia"/>
          <w:sz w:val="24"/>
        </w:rPr>
        <w:t>或檐口</w:t>
      </w:r>
      <w:r>
        <w:rPr>
          <w:rFonts w:ascii="宋体" w:hAnsi="宋体" w:hint="eastAsia"/>
          <w:sz w:val="24"/>
        </w:rPr>
        <w:t>1</w:t>
      </w:r>
      <w:r>
        <w:rPr>
          <w:rFonts w:ascii="宋体" w:hAnsi="宋体" w:hint="eastAsia"/>
          <w:sz w:val="24"/>
        </w:rPr>
        <w:t>.5</w:t>
      </w:r>
      <w:r>
        <w:rPr>
          <w:rFonts w:ascii="宋体" w:hAnsi="宋体" w:hint="eastAsia"/>
          <w:sz w:val="24"/>
        </w:rPr>
        <w:t>m</w:t>
      </w:r>
      <w:r>
        <w:rPr>
          <w:rFonts w:ascii="宋体" w:hAnsi="宋体" w:hint="eastAsia"/>
          <w:sz w:val="24"/>
        </w:rPr>
        <w:t>高度</w:t>
      </w:r>
      <w:r>
        <w:rPr>
          <w:rFonts w:ascii="宋体" w:hAnsi="宋体" w:hint="eastAsia"/>
          <w:sz w:val="24"/>
        </w:rPr>
        <w:t>。</w:t>
      </w:r>
    </w:p>
    <w:p w:rsidR="005F7985">
      <w:pPr>
        <w:pStyle w:val="Normal0"/>
        <w:adjustRightInd w:val="0"/>
        <w:snapToGrid w:val="0"/>
        <w:spacing w:before="50" w:after="50" w:line="360" w:lineRule="auto"/>
        <w:ind w:firstLine="480" w:firstLineChars="200"/>
        <w:rPr>
          <w:rFonts w:ascii="宋体" w:hAnsi="宋体"/>
          <w:sz w:val="24"/>
        </w:rPr>
      </w:pPr>
      <w:r>
        <w:rPr>
          <w:rFonts w:ascii="宋体" w:hAnsi="宋体" w:hint="eastAsia"/>
          <w:sz w:val="24"/>
        </w:rPr>
        <w:t>而</w:t>
      </w:r>
      <w:r>
        <w:rPr>
          <w:rFonts w:ascii="宋体" w:hAnsi="宋体" w:hint="eastAsia"/>
          <w:sz w:val="24"/>
        </w:rPr>
        <w:t>且主干公路两边为</w:t>
      </w:r>
      <w:r>
        <w:rPr>
          <w:rFonts w:ascii="宋体" w:hAnsi="宋体" w:hint="eastAsia"/>
          <w:sz w:val="24"/>
        </w:rPr>
        <w:t>临街商铺，搭设脚手架肯定</w:t>
      </w:r>
      <w:r>
        <w:rPr>
          <w:rFonts w:ascii="宋体" w:hAnsi="宋体" w:hint="eastAsia"/>
          <w:sz w:val="24"/>
        </w:rPr>
        <w:t>会</w:t>
      </w:r>
      <w:r>
        <w:rPr>
          <w:rFonts w:ascii="宋体" w:hAnsi="宋体" w:hint="eastAsia"/>
          <w:sz w:val="24"/>
        </w:rPr>
        <w:t>给临街商铺</w:t>
      </w:r>
      <w:r>
        <w:rPr>
          <w:rFonts w:ascii="宋体" w:hAnsi="宋体" w:hint="eastAsia"/>
          <w:sz w:val="24"/>
        </w:rPr>
        <w:t>的经营</w:t>
      </w:r>
      <w:r>
        <w:rPr>
          <w:rFonts w:ascii="宋体" w:hAnsi="宋体" w:hint="eastAsia"/>
          <w:sz w:val="24"/>
        </w:rPr>
        <w:t>带来影响，所以临街商铺</w:t>
      </w:r>
      <w:r>
        <w:rPr>
          <w:rFonts w:ascii="宋体" w:hAnsi="宋体" w:hint="eastAsia"/>
          <w:sz w:val="24"/>
        </w:rPr>
        <w:t>户主</w:t>
      </w:r>
      <w:r>
        <w:rPr>
          <w:rFonts w:ascii="宋体" w:hAnsi="宋体" w:hint="eastAsia"/>
          <w:sz w:val="24"/>
        </w:rPr>
        <w:t>对在商铺门口搭设脚手架不支持，这样搭设脚手架的难度大大增加。</w:t>
      </w:r>
    </w:p>
    <w:p w:rsidR="005F7985">
      <w:pPr>
        <w:pStyle w:val="Normal0"/>
        <w:spacing w:line="360" w:lineRule="auto"/>
        <w:ind w:firstLine="480" w:firstLineChars="200"/>
        <w:rPr>
          <w:rFonts w:ascii="宋体" w:hAnsi="宋体"/>
          <w:sz w:val="24"/>
        </w:rPr>
        <w:sectPr>
          <w:pgSz w:w="11906" w:h="16838"/>
          <w:pgMar w:top="1287" w:right="1152" w:bottom="1271" w:left="1094" w:header="851" w:footer="312" w:gutter="0"/>
          <w:pgNumType w:fmt="numberInDash" w:start="0"/>
          <w:cols w:space="708"/>
          <w:docGrid w:type="lines" w:linePitch="312"/>
        </w:sectPr>
      </w:pPr>
      <w:r>
        <w:rPr>
          <w:rFonts w:cs="Times New Roman" w:hint="eastAsia"/>
          <w:sz w:val="24"/>
          <w:lang w:bidi="ar"/>
        </w:rPr>
        <w:t>施工材料的运输与</w:t>
      </w:r>
      <w:r>
        <w:rPr>
          <w:rFonts w:cs="Times New Roman" w:hint="eastAsia"/>
          <w:sz w:val="24"/>
          <w:lang w:bidi="ar"/>
        </w:rPr>
        <w:t>安全防护</w:t>
      </w:r>
      <w:r>
        <w:rPr>
          <w:rFonts w:cs="Times New Roman" w:hint="eastAsia"/>
          <w:sz w:val="24"/>
          <w:lang w:bidi="ar"/>
        </w:rPr>
        <w:t>，因</w:t>
      </w:r>
      <w:r>
        <w:rPr>
          <w:rFonts w:cs="Times New Roman" w:hint="eastAsia"/>
          <w:sz w:val="24"/>
          <w:lang w:bidi="ar"/>
        </w:rPr>
        <w:t>本工程施工地点处于</w:t>
      </w:r>
      <w:r>
        <w:rPr>
          <w:rFonts w:hint="eastAsia"/>
          <w:sz w:val="24"/>
        </w:rPr>
        <w:t>大用</w:t>
      </w:r>
      <w:r>
        <w:rPr>
          <w:rFonts w:hint="eastAsia"/>
          <w:sz w:val="24"/>
        </w:rPr>
        <w:t>镇</w:t>
      </w:r>
      <w:r>
        <w:rPr>
          <w:rFonts w:hint="eastAsia"/>
          <w:sz w:val="24"/>
        </w:rPr>
        <w:t>大用村</w:t>
      </w:r>
      <w:r>
        <w:rPr>
          <w:rFonts w:cs="Times New Roman" w:hint="eastAsia"/>
          <w:sz w:val="24"/>
          <w:lang w:bidi="ar"/>
        </w:rPr>
        <w:t>，施工面积大，建筑物密集，人员稠密；施工环境复杂多变，道路狭窄不堪，场内空地面积小；机械无法直接将物料运送到施工地点，且施工现场无法安装塔吊等大型机械，导致施工所有的垂直运输及水</w:t>
      </w:r>
    </w:p>
    <w:p w:rsidR="005F7985">
      <w:pPr>
        <w:pStyle w:val="Normal0"/>
        <w:spacing w:line="360" w:lineRule="auto"/>
        <w:ind w:firstLine="480" w:firstLineChars="200"/>
        <w:rPr>
          <w:rFonts w:ascii="宋体" w:hAnsi="宋体"/>
          <w:sz w:val="24"/>
        </w:rPr>
      </w:pPr>
      <w:r>
        <w:rPr>
          <w:rFonts w:cs="Times New Roman" w:hint="eastAsia"/>
          <w:sz w:val="24"/>
          <w:lang w:bidi="ar"/>
        </w:rPr>
        <w:t>平运输只能靠人力及小型机械来完成</w:t>
      </w:r>
      <w:r>
        <w:rPr>
          <w:rFonts w:cs="Times New Roman" w:hint="eastAsia"/>
          <w:sz w:val="24"/>
          <w:lang w:bidi="ar"/>
        </w:rPr>
        <w:t>。</w:t>
      </w:r>
      <w:r>
        <w:rPr>
          <w:rFonts w:hint="eastAsia"/>
          <w:sz w:val="24"/>
        </w:rPr>
        <w:t>架空强电电线、通讯光缆</w:t>
      </w:r>
      <w:r>
        <w:rPr>
          <w:rFonts w:hint="eastAsia"/>
          <w:sz w:val="24"/>
        </w:rPr>
        <w:t>杂乱无章，规划不统一，甚至部分是裸线，</w:t>
      </w:r>
      <w:r>
        <w:rPr>
          <w:rFonts w:hint="eastAsia"/>
          <w:sz w:val="24"/>
        </w:rPr>
        <w:t>给施工造成很大安全陷患</w:t>
      </w:r>
      <w:r>
        <w:rPr>
          <w:rFonts w:hint="eastAsia"/>
          <w:sz w:val="24"/>
        </w:rPr>
        <w:t>，因此</w:t>
      </w:r>
      <w:r>
        <w:rPr>
          <w:rFonts w:ascii="宋体" w:hAnsi="宋体" w:hint="eastAsia"/>
          <w:color w:val="000000"/>
          <w:sz w:val="24"/>
        </w:rPr>
        <w:t>安全防护措施必须到位，以保证行人车辆等的安全</w:t>
      </w:r>
      <w:r>
        <w:rPr>
          <w:rFonts w:ascii="宋体" w:hAnsi="宋体" w:hint="eastAsia"/>
          <w:color w:val="000000"/>
          <w:sz w:val="24"/>
        </w:rPr>
        <w:t>，</w:t>
      </w:r>
      <w:r>
        <w:rPr>
          <w:rFonts w:ascii="宋体" w:hAnsi="宋体" w:hint="eastAsia"/>
          <w:sz w:val="24"/>
        </w:rPr>
        <w:t>不能影响居民住房的正常生活，安全出入</w:t>
      </w:r>
      <w:r>
        <w:rPr>
          <w:rFonts w:ascii="宋体" w:hAnsi="宋体" w:hint="eastAsia"/>
          <w:sz w:val="24"/>
        </w:rPr>
        <w:t>。</w:t>
      </w:r>
    </w:p>
    <w:p w:rsidR="005F7985">
      <w:pPr>
        <w:pStyle w:val="Normal0"/>
        <w:spacing w:line="360" w:lineRule="auto"/>
        <w:ind w:firstLine="480" w:firstLineChars="200"/>
        <w:rPr>
          <w:rFonts w:ascii="宋体" w:hAnsi="宋体"/>
          <w:sz w:val="24"/>
        </w:rPr>
      </w:pPr>
      <w:r>
        <w:rPr>
          <w:rFonts w:ascii="宋体" w:hAnsi="宋体" w:hint="eastAsia"/>
          <w:sz w:val="24"/>
        </w:rPr>
        <w:t>因此，在主要村寨道路，搭设双层防护棚，防止坠落物体伤人，对于局部外立面造型复杂、原地面处于斜坡的</w:t>
      </w:r>
      <w:r>
        <w:rPr>
          <w:rFonts w:ascii="宋体" w:hAnsi="宋体" w:hint="eastAsia"/>
          <w:sz w:val="24"/>
        </w:rPr>
        <w:t>房屋，搭设三排立杆，增大防护面积，对于原有老化、裸露的强电线路根据安全施工要求，进行拆改，穿过外架的线路增设绝缘处理，防止触电事故。</w:t>
      </w:r>
    </w:p>
    <w:p w:rsidR="005F7985">
      <w:pPr>
        <w:pStyle w:val="Heading3"/>
      </w:pPr>
      <w:bookmarkStart w:id="14" w:name="_Toc454430397"/>
      <w:bookmarkStart w:id="15" w:name="_Toc14584"/>
      <w:bookmarkStart w:id="16" w:name="_Toc18614"/>
      <w:bookmarkStart w:id="17" w:name="_Toc17836"/>
      <w:bookmarkStart w:id="18" w:name="_Toc16485"/>
      <w:r>
        <w:rPr>
          <w:rFonts w:hint="eastAsia"/>
        </w:rPr>
        <w:t>施工平面布置</w:t>
      </w:r>
      <w:bookmarkEnd w:id="14"/>
      <w:bookmarkEnd w:id="15"/>
      <w:bookmarkEnd w:id="16"/>
      <w:bookmarkEnd w:id="17"/>
      <w:bookmarkEnd w:id="18"/>
    </w:p>
    <w:p w:rsidR="005F7985">
      <w:pPr>
        <w:pStyle w:val="Heading4"/>
      </w:pPr>
      <w:bookmarkStart w:id="19" w:name="_Toc591"/>
      <w:r>
        <w:rPr>
          <w:rFonts w:hint="eastAsia"/>
        </w:rPr>
        <w:t>场地布置原则</w:t>
      </w:r>
      <w:bookmarkEnd w:id="19"/>
    </w:p>
    <w:p w:rsidR="005F7985">
      <w:pPr>
        <w:pStyle w:val="Normal0"/>
        <w:adjustRightInd w:val="0"/>
        <w:snapToGrid w:val="0"/>
        <w:spacing w:line="360" w:lineRule="auto"/>
        <w:ind w:firstLine="480" w:firstLineChars="200"/>
        <w:rPr>
          <w:rFonts w:ascii="宋体" w:hAnsi="宋体"/>
          <w:color w:val="000000"/>
          <w:sz w:val="24"/>
        </w:rPr>
      </w:pPr>
      <w:r>
        <w:rPr>
          <w:rFonts w:ascii="宋体" w:hAnsi="宋体" w:hint="eastAsia"/>
          <w:color w:val="000000"/>
          <w:sz w:val="24"/>
        </w:rPr>
        <w:t>我公司根据本工程的特点以及施工现场场地的实际情况，结合本工程施工总体施工方案与部署，在对施工现场平面布置进行了认真细致研究的基础上，对本工程各施工阶段的平面情况进行了精心仔细的布置。</w:t>
      </w:r>
    </w:p>
    <w:p w:rsidR="005F7985">
      <w:pPr>
        <w:pStyle w:val="Normal0"/>
        <w:adjustRightInd w:val="0"/>
        <w:snapToGrid w:val="0"/>
        <w:spacing w:line="360" w:lineRule="auto"/>
        <w:ind w:firstLine="480" w:firstLineChars="200"/>
        <w:rPr>
          <w:rFonts w:ascii="宋体" w:hAnsi="宋体"/>
          <w:color w:val="000000"/>
          <w:sz w:val="24"/>
        </w:rPr>
      </w:pPr>
      <w:r>
        <w:rPr>
          <w:rFonts w:ascii="宋体" w:hAnsi="宋体"/>
          <w:color w:val="000000"/>
          <w:sz w:val="24"/>
        </w:rPr>
        <w:t>施工平面布置紧凑合理，尽量减少施工用地。保证现场运输道路畅通，减少场内运输费。施工设施布置满足方便生产、有利于生活、安全防火、环境保护和劳动保护要求。</w:t>
      </w:r>
    </w:p>
    <w:p w:rsidR="005F7985">
      <w:pPr>
        <w:pStyle w:val="Heading4"/>
      </w:pPr>
      <w:bookmarkStart w:id="20" w:name="_Toc87660357"/>
      <w:bookmarkStart w:id="21" w:name="_Toc27887"/>
      <w:bookmarkStart w:id="22" w:name="_Toc11022"/>
      <w:bookmarkStart w:id="23" w:name="_Toc3343"/>
      <w:r>
        <w:rPr>
          <w:rFonts w:hint="eastAsia"/>
        </w:rPr>
        <w:t>场地具体布置</w:t>
      </w:r>
      <w:bookmarkEnd w:id="20"/>
      <w:bookmarkEnd w:id="21"/>
      <w:bookmarkEnd w:id="22"/>
      <w:bookmarkEnd w:id="23"/>
    </w:p>
    <w:p w:rsidR="005F7985">
      <w:pPr>
        <w:pStyle w:val="Normal0"/>
        <w:adjustRightInd w:val="0"/>
        <w:snapToGrid w:val="0"/>
        <w:spacing w:line="360" w:lineRule="auto"/>
        <w:rPr>
          <w:rFonts w:ascii="宋体" w:hAnsi="宋体"/>
          <w:color w:val="000000"/>
          <w:sz w:val="24"/>
        </w:rPr>
      </w:pPr>
      <w:r>
        <w:rPr>
          <w:rFonts w:ascii="宋体" w:hAnsi="宋体" w:hint="eastAsia"/>
          <w:color w:val="000000"/>
          <w:sz w:val="24"/>
        </w:rPr>
        <w:t xml:space="preserve">    </w:t>
      </w:r>
      <w:r>
        <w:rPr>
          <w:rFonts w:hint="eastAsia"/>
          <w:color w:val="000000"/>
          <w:kern w:val="0"/>
          <w:sz w:val="24"/>
        </w:rPr>
        <w:t>为便于管理，减少投入资源，在施工段内租赁农贸市场房子作为现场办公，租赁农户房屋为工人宿舍、食堂。办公区、工人生活区垃圾可临时存放于环保垃圾桶内，安排专人清理将垃</w:t>
      </w:r>
      <w:r>
        <w:rPr>
          <w:rFonts w:ascii="宋体" w:hAnsi="宋体" w:hint="eastAsia"/>
          <w:color w:val="000000"/>
          <w:sz w:val="24"/>
        </w:rPr>
        <w:t>圾运至到街上专用垃圾收集箱内。根据安全及文明施工要求，仓库周围采用铁围挡封闭。</w:t>
      </w:r>
    </w:p>
    <w:p w:rsidR="005F7985">
      <w:pPr>
        <w:pStyle w:val="Heading3"/>
      </w:pPr>
      <w:bookmarkStart w:id="24" w:name="_Toc454430398"/>
      <w:bookmarkStart w:id="25" w:name="_Toc11376"/>
      <w:bookmarkStart w:id="26" w:name="_Toc24610"/>
      <w:bookmarkStart w:id="27" w:name="_Toc6469"/>
      <w:bookmarkStart w:id="28" w:name="_Toc20631"/>
      <w:r>
        <w:rPr>
          <w:rFonts w:hint="eastAsia"/>
        </w:rPr>
        <w:t>施工要求</w:t>
      </w:r>
      <w:bookmarkEnd w:id="24"/>
      <w:bookmarkEnd w:id="25"/>
      <w:bookmarkEnd w:id="26"/>
      <w:bookmarkEnd w:id="27"/>
      <w:bookmarkEnd w:id="28"/>
    </w:p>
    <w:p w:rsidR="005F7985">
      <w:pPr>
        <w:pStyle w:val="Normal0"/>
        <w:numPr>
          <w:ilvl w:val="0"/>
          <w:numId w:val="15"/>
        </w:numPr>
        <w:autoSpaceDE w:val="0"/>
        <w:autoSpaceDN w:val="0"/>
        <w:adjustRightInd w:val="0"/>
        <w:spacing w:line="360" w:lineRule="auto"/>
        <w:ind w:firstLine="480" w:firstLineChars="200"/>
        <w:jc w:val="left"/>
        <w:rPr>
          <w:color w:val="000000"/>
          <w:kern w:val="0"/>
          <w:sz w:val="24"/>
        </w:rPr>
      </w:pPr>
      <w:r>
        <w:rPr>
          <w:color w:val="000000"/>
          <w:kern w:val="0"/>
          <w:sz w:val="24"/>
        </w:rPr>
        <w:t>脚手架的设计力求做到结构安全可靠，造价经济合理。</w:t>
      </w:r>
    </w:p>
    <w:p w:rsidR="005F7985">
      <w:pPr>
        <w:pStyle w:val="Normal0"/>
        <w:numPr>
          <w:ilvl w:val="0"/>
          <w:numId w:val="15"/>
        </w:numPr>
        <w:autoSpaceDE w:val="0"/>
        <w:autoSpaceDN w:val="0"/>
        <w:adjustRightInd w:val="0"/>
        <w:spacing w:line="360" w:lineRule="auto"/>
        <w:ind w:firstLine="480" w:firstLineChars="200"/>
        <w:jc w:val="left"/>
        <w:rPr>
          <w:color w:val="000000"/>
          <w:kern w:val="0"/>
          <w:sz w:val="24"/>
        </w:rPr>
      </w:pPr>
      <w:r>
        <w:rPr>
          <w:color w:val="000000"/>
          <w:kern w:val="0"/>
          <w:sz w:val="24"/>
        </w:rPr>
        <w:t>确保脚手架在使用周期内安全、稳定、牢靠。</w:t>
      </w:r>
    </w:p>
    <w:p w:rsidR="005F7985">
      <w:pPr>
        <w:pStyle w:val="Normal0"/>
        <w:numPr>
          <w:ilvl w:val="0"/>
          <w:numId w:val="15"/>
        </w:numPr>
        <w:autoSpaceDE w:val="0"/>
        <w:autoSpaceDN w:val="0"/>
        <w:adjustRightInd w:val="0"/>
        <w:spacing w:line="360" w:lineRule="auto"/>
        <w:ind w:firstLine="480" w:firstLineChars="200"/>
        <w:jc w:val="left"/>
        <w:rPr>
          <w:color w:val="000000"/>
          <w:kern w:val="0"/>
          <w:sz w:val="24"/>
        </w:rPr>
      </w:pPr>
      <w:r>
        <w:rPr>
          <w:color w:val="000000"/>
          <w:kern w:val="0"/>
          <w:sz w:val="24"/>
        </w:rPr>
        <w:t>选用材料时，力求做到常见通用、可周转利用，便于保养维修。</w:t>
      </w:r>
    </w:p>
    <w:p w:rsidR="005F7985">
      <w:pPr>
        <w:pStyle w:val="Normal0"/>
        <w:numPr>
          <w:ilvl w:val="0"/>
          <w:numId w:val="15"/>
        </w:numPr>
        <w:autoSpaceDE w:val="0"/>
        <w:autoSpaceDN w:val="0"/>
        <w:adjustRightInd w:val="0"/>
        <w:spacing w:line="360" w:lineRule="auto"/>
        <w:ind w:firstLine="480" w:firstLineChars="200"/>
        <w:jc w:val="left"/>
        <w:rPr>
          <w:color w:val="000000"/>
          <w:kern w:val="0"/>
          <w:sz w:val="24"/>
        </w:rPr>
      </w:pPr>
      <w:r>
        <w:rPr>
          <w:color w:val="000000"/>
          <w:kern w:val="0"/>
          <w:sz w:val="24"/>
        </w:rPr>
        <w:t>脚手架在搭设及拆除过程中要符合工程施工进度要求。操作人员需取得特殊作业人员资格上岗证。</w:t>
      </w:r>
    </w:p>
    <w:p w:rsidR="005F7985">
      <w:pPr>
        <w:pStyle w:val="Heading3"/>
      </w:pPr>
      <w:bookmarkStart w:id="29" w:name="_Toc454430399"/>
      <w:bookmarkStart w:id="30" w:name="_Toc22254"/>
      <w:bookmarkStart w:id="31" w:name="_Toc3970"/>
      <w:bookmarkStart w:id="32" w:name="_Toc25587"/>
      <w:bookmarkStart w:id="33" w:name="_Toc15331"/>
      <w:r>
        <w:rPr>
          <w:rFonts w:hint="eastAsia"/>
        </w:rPr>
        <w:t>技术保证条件</w:t>
      </w:r>
      <w:bookmarkEnd w:id="29"/>
      <w:bookmarkEnd w:id="30"/>
      <w:bookmarkEnd w:id="31"/>
      <w:bookmarkEnd w:id="32"/>
      <w:bookmarkEnd w:id="33"/>
    </w:p>
    <w:p w:rsidR="005F7985">
      <w:pPr>
        <w:pStyle w:val="Heading4"/>
      </w:pPr>
      <w:bookmarkStart w:id="34" w:name="_Toc300215381"/>
      <w:bookmarkStart w:id="35" w:name="_Toc27363"/>
      <w:bookmarkStart w:id="36" w:name="_Toc11453"/>
      <w:bookmarkStart w:id="37" w:name="_Toc6120"/>
      <w:r>
        <w:rPr>
          <w:rFonts w:hint="eastAsia"/>
        </w:rPr>
        <w:t>施工部署</w:t>
      </w:r>
      <w:bookmarkEnd w:id="34"/>
      <w:bookmarkEnd w:id="35"/>
      <w:bookmarkEnd w:id="36"/>
      <w:bookmarkEnd w:id="37"/>
    </w:p>
    <w:p w:rsidR="005F7985">
      <w:pPr>
        <w:pStyle w:val="PlainText"/>
        <w:ind w:left="420" w:firstLine="0" w:leftChars="200" w:firstLineChars="0"/>
        <w:jc w:val="both"/>
        <w:rPr>
          <w:rFonts w:hAnsi="宋体"/>
        </w:rPr>
      </w:pPr>
      <w:r>
        <w:rPr>
          <w:rFonts w:hAnsi="宋体" w:hint="eastAsia"/>
        </w:rPr>
        <w:t>（</w:t>
      </w:r>
      <w:r>
        <w:rPr>
          <w:rFonts w:hAnsi="宋体" w:hint="eastAsia"/>
        </w:rPr>
        <w:t>1</w:t>
      </w:r>
      <w:r>
        <w:rPr>
          <w:rFonts w:hAnsi="宋体" w:hint="eastAsia"/>
        </w:rPr>
        <w:t>）</w:t>
      </w:r>
      <w:r>
        <w:rPr>
          <w:rFonts w:hAnsi="宋体" w:hint="eastAsia"/>
        </w:rPr>
        <w:t>农户住宅楼脚手架：</w:t>
      </w:r>
    </w:p>
    <w:p w:rsidR="005F7985">
      <w:pPr>
        <w:pStyle w:val="PlainText"/>
        <w:ind w:firstLine="480"/>
        <w:jc w:val="both"/>
        <w:rPr>
          <w:rFonts w:hAnsi="宋体"/>
        </w:rPr>
        <w:sectPr>
          <w:type w:val="nextPage"/>
          <w:pgSz w:w="11906" w:h="16838"/>
          <w:pgMar w:top="1287" w:right="1152" w:bottom="1271" w:left="1094" w:header="851" w:footer="312" w:gutter="0"/>
          <w:pgNumType w:fmt="numberInDash" w:start="1"/>
          <w:cols w:space="708"/>
          <w:titlePg w:val="0"/>
          <w:docGrid w:type="lines" w:linePitch="312"/>
        </w:sectPr>
      </w:pPr>
      <w:r>
        <w:rPr>
          <w:rFonts w:hAnsi="宋体" w:hint="eastAsia"/>
        </w:rPr>
        <w:t>采用双排单立杆脚手架，脚手架整体高度为</w:t>
      </w:r>
      <w:r>
        <w:rPr>
          <w:rFonts w:hAnsi="宋体" w:hint="eastAsia"/>
        </w:rPr>
        <w:t>5m~</w:t>
      </w:r>
      <w:r>
        <w:rPr>
          <w:rFonts w:hAnsi="宋体" w:hint="eastAsia"/>
        </w:rPr>
        <w:t>15</w:t>
      </w:r>
      <w:r>
        <w:rPr>
          <w:rFonts w:hAnsi="宋体" w:hint="eastAsia"/>
        </w:rPr>
        <w:t>.0m</w:t>
      </w:r>
      <w:r>
        <w:rPr>
          <w:rFonts w:hAnsi="宋体" w:hint="eastAsia"/>
        </w:rPr>
        <w:t>，立杆排距</w:t>
      </w:r>
      <w:r>
        <w:rPr>
          <w:rFonts w:hAnsi="宋体" w:hint="eastAsia"/>
        </w:rPr>
        <w:t>0.9</w:t>
      </w:r>
      <w:r>
        <w:rPr>
          <w:rFonts w:hAnsi="宋体"/>
        </w:rPr>
        <w:t>m</w:t>
      </w:r>
      <w:r>
        <w:rPr>
          <w:rFonts w:hAnsi="宋体" w:hint="eastAsia"/>
        </w:rPr>
        <w:t>，纵向间距</w:t>
      </w:r>
      <w:r>
        <w:rPr>
          <w:rFonts w:hAnsi="宋体" w:hint="eastAsia"/>
        </w:rPr>
        <w:t>1.</w:t>
      </w:r>
      <w:r>
        <w:rPr>
          <w:rFonts w:hAnsi="宋体" w:hint="eastAsia"/>
        </w:rPr>
        <w:t>5m~1.8</w:t>
      </w:r>
      <w:r>
        <w:rPr>
          <w:rFonts w:hAnsi="宋体"/>
        </w:rPr>
        <w:t>m</w:t>
      </w:r>
      <w:r>
        <w:rPr>
          <w:rFonts w:hAnsi="宋体" w:hint="eastAsia"/>
        </w:rPr>
        <w:t>，大横杆步距</w:t>
      </w:r>
      <w:r>
        <w:rPr>
          <w:rFonts w:hAnsi="宋体" w:hint="eastAsia"/>
        </w:rPr>
        <w:t>1</w:t>
      </w:r>
      <w:r>
        <w:rPr>
          <w:rFonts w:hAnsi="宋体"/>
        </w:rPr>
        <w:t>.</w:t>
      </w:r>
      <w:r>
        <w:rPr>
          <w:rFonts w:hAnsi="宋体" w:hint="eastAsia"/>
        </w:rPr>
        <w:t>8m</w:t>
      </w:r>
      <w:r>
        <w:rPr>
          <w:rFonts w:hAnsi="宋体" w:hint="eastAsia"/>
        </w:rPr>
        <w:t>。脚手架主要用途为：农户住宅楼外墙涂料翻新施工所用，严禁架子上堆放成品腻子。</w:t>
      </w:r>
      <w:r>
        <w:rPr>
          <w:rFonts w:hAnsi="宋体" w:hint="eastAsia"/>
        </w:rPr>
        <w:t>部分施工区域复杂的位置，双排脚手架无法满足施工条件的，根据现</w:t>
      </w:r>
    </w:p>
    <w:p w:rsidR="005F7985">
      <w:pPr>
        <w:pStyle w:val="PlainText"/>
        <w:ind w:firstLine="480"/>
        <w:jc w:val="both"/>
        <w:rPr>
          <w:rFonts w:hAnsi="宋体"/>
        </w:rPr>
      </w:pPr>
      <w:r>
        <w:rPr>
          <w:rFonts w:hAnsi="宋体" w:hint="eastAsia"/>
        </w:rPr>
        <w:t>场实际情况搭设三排外脚手架来满足施工及安全需求，同时在各层搭设全封闭式硬防护，外侧满挂安全</w:t>
      </w:r>
      <w:r>
        <w:rPr>
          <w:rFonts w:hAnsi="宋体" w:hint="eastAsia"/>
        </w:rPr>
        <w:t>网。在人口密集的主要同行道出</w:t>
      </w:r>
      <w:r>
        <w:rPr>
          <w:rFonts w:hAnsi="宋体" w:hint="eastAsia"/>
        </w:rPr>
        <w:t>，搭设双层安全通道。</w:t>
      </w:r>
    </w:p>
    <w:p w:rsidR="005F7985">
      <w:pPr>
        <w:pStyle w:val="PlainText"/>
        <w:ind w:left="420" w:firstLine="0" w:leftChars="200" w:firstLineChars="0"/>
        <w:jc w:val="both"/>
        <w:rPr>
          <w:rFonts w:hAnsi="宋体"/>
        </w:rPr>
      </w:pPr>
      <w:r>
        <w:rPr>
          <w:rFonts w:hAnsi="宋体" w:hint="eastAsia"/>
        </w:rPr>
        <w:t>（</w:t>
      </w:r>
      <w:r>
        <w:rPr>
          <w:rFonts w:hAnsi="宋体" w:hint="eastAsia"/>
        </w:rPr>
        <w:t>2</w:t>
      </w:r>
      <w:r>
        <w:rPr>
          <w:rFonts w:hAnsi="宋体" w:hint="eastAsia"/>
        </w:rPr>
        <w:t>）</w:t>
      </w:r>
      <w:r>
        <w:rPr>
          <w:rFonts w:hAnsi="宋体" w:hint="eastAsia"/>
        </w:rPr>
        <w:t>搭设原则：安全第一，满足文明施工的要求。</w:t>
      </w:r>
    </w:p>
    <w:p w:rsidR="005F7985">
      <w:pPr>
        <w:pStyle w:val="Heading4"/>
      </w:pPr>
      <w:bookmarkStart w:id="38" w:name="_Toc19815"/>
      <w:bookmarkStart w:id="39" w:name="_Toc18794"/>
      <w:bookmarkStart w:id="40" w:name="_Toc23095"/>
      <w:bookmarkStart w:id="41" w:name="_Toc300215382"/>
      <w:r>
        <w:rPr>
          <w:rFonts w:hint="eastAsia"/>
        </w:rPr>
        <w:t>施工准备</w:t>
      </w:r>
      <w:bookmarkEnd w:id="38"/>
      <w:bookmarkEnd w:id="39"/>
      <w:bookmarkEnd w:id="40"/>
      <w:bookmarkEnd w:id="41"/>
    </w:p>
    <w:p w:rsidR="005F7985">
      <w:pPr>
        <w:pStyle w:val="PlainText"/>
        <w:ind w:firstLine="240" w:firstLineChars="100"/>
        <w:rPr>
          <w:rFonts w:hAnsi="宋体"/>
        </w:rPr>
      </w:pPr>
      <w:r>
        <w:rPr>
          <w:rFonts w:hAnsi="宋体" w:hint="eastAsia"/>
        </w:rPr>
        <w:t>(</w:t>
      </w:r>
      <w:r>
        <w:rPr>
          <w:rFonts w:hAnsi="宋体" w:hint="eastAsia"/>
        </w:rPr>
        <w:t>一</w:t>
      </w:r>
      <w:r>
        <w:rPr>
          <w:rFonts w:hAnsi="宋体" w:hint="eastAsia"/>
        </w:rPr>
        <w:t xml:space="preserve">) </w:t>
      </w:r>
      <w:r>
        <w:rPr>
          <w:rFonts w:hAnsi="宋体" w:hint="eastAsia"/>
        </w:rPr>
        <w:t>场地准备</w:t>
      </w:r>
    </w:p>
    <w:p w:rsidR="005F7985">
      <w:pPr>
        <w:pStyle w:val="PlainText"/>
        <w:ind w:firstLine="480"/>
        <w:jc w:val="both"/>
        <w:rPr>
          <w:rFonts w:hAnsi="宋体"/>
        </w:rPr>
      </w:pPr>
      <w:r>
        <w:rPr>
          <w:rFonts w:hAnsi="宋体" w:hint="eastAsia"/>
        </w:rPr>
        <w:t>脚手架搭设前清除场地走边的障碍物，由于本工程为外墙涂料翻新工程，住户集中密集，</w:t>
      </w:r>
      <w:r>
        <w:rPr>
          <w:rFonts w:hAnsi="宋体" w:hint="eastAsia"/>
        </w:rPr>
        <w:t>为安全起见及结合相关规范</w:t>
      </w:r>
      <w:r>
        <w:rPr>
          <w:rFonts w:hAnsi="宋体" w:hint="eastAsia"/>
        </w:rPr>
        <w:t>脚手架搭设前对松软土质进行夯实</w:t>
      </w:r>
      <w:r>
        <w:rPr>
          <w:rFonts w:hAnsi="宋体" w:hint="eastAsia"/>
        </w:rPr>
        <w:t>硬化</w:t>
      </w:r>
      <w:r>
        <w:rPr>
          <w:rFonts w:hAnsi="宋体" w:hint="eastAsia"/>
        </w:rPr>
        <w:t>后再搭设外脚手架，回填土压实系数</w:t>
      </w:r>
      <w:r>
        <w:rPr>
          <w:rFonts w:hAnsi="宋体" w:hint="eastAsia"/>
        </w:rPr>
        <w:t>0.94</w:t>
      </w:r>
      <w:r>
        <w:rPr>
          <w:rFonts w:hAnsi="宋体" w:hint="eastAsia"/>
        </w:rPr>
        <w:t>，脚手架基础采用</w:t>
      </w:r>
      <w:r>
        <w:rPr>
          <w:rFonts w:hAnsi="宋体" w:hint="eastAsia"/>
        </w:rPr>
        <w:t>10cmC15</w:t>
      </w:r>
      <w:r>
        <w:rPr>
          <w:rFonts w:hAnsi="宋体" w:hint="eastAsia"/>
        </w:rPr>
        <w:t>混凝土硬化</w:t>
      </w:r>
      <w:r>
        <w:rPr>
          <w:rFonts w:hAnsi="宋体" w:hint="eastAsia"/>
        </w:rPr>
        <w:t>，并有排水措施</w:t>
      </w:r>
      <w:r>
        <w:rPr>
          <w:rFonts w:hAnsi="宋体" w:hint="eastAsia"/>
        </w:rPr>
        <w:t>。</w:t>
      </w:r>
    </w:p>
    <w:p w:rsidR="005F7985">
      <w:pPr>
        <w:pStyle w:val="PlainText"/>
        <w:ind w:firstLine="0" w:firstLineChars="0"/>
        <w:rPr>
          <w:rFonts w:hAnsi="宋体"/>
        </w:rPr>
      </w:pPr>
      <w:r>
        <w:rPr>
          <w:rFonts w:hAnsi="宋体" w:hint="eastAsia"/>
        </w:rPr>
        <w:t xml:space="preserve"> </w:t>
      </w:r>
      <w:r>
        <w:rPr>
          <w:rFonts w:hAnsi="宋体" w:hint="eastAsia"/>
        </w:rPr>
        <w:t>（</w:t>
      </w:r>
      <w:r>
        <w:rPr>
          <w:rFonts w:hAnsi="宋体" w:hint="eastAsia"/>
        </w:rPr>
        <w:t>二</w:t>
      </w:r>
      <w:r>
        <w:rPr>
          <w:rFonts w:hAnsi="宋体" w:hint="eastAsia"/>
        </w:rPr>
        <w:t xml:space="preserve">) </w:t>
      </w:r>
      <w:r>
        <w:rPr>
          <w:rFonts w:hAnsi="宋体" w:hint="eastAsia"/>
        </w:rPr>
        <w:t>技术准备</w:t>
      </w:r>
    </w:p>
    <w:p w:rsidR="005F7985">
      <w:pPr>
        <w:pStyle w:val="PlainText"/>
        <w:ind w:firstLine="480"/>
        <w:rPr>
          <w:rFonts w:hAnsi="宋体"/>
        </w:rPr>
      </w:pPr>
      <w:r>
        <w:rPr>
          <w:rFonts w:hAnsi="宋体" w:hint="eastAsia"/>
        </w:rPr>
        <w:t>脚手架工程负责人应按外墙涂料施工方案和脚手架方案中有关脚手架的要求</w:t>
      </w:r>
      <w:r>
        <w:rPr>
          <w:rFonts w:hAnsi="宋体" w:hint="eastAsia"/>
        </w:rPr>
        <w:t>,</w:t>
      </w:r>
      <w:r>
        <w:rPr>
          <w:rFonts w:hAnsi="宋体" w:hint="eastAsia"/>
        </w:rPr>
        <w:t>对架设和使用人员进行技术、安全交底。</w:t>
      </w:r>
    </w:p>
    <w:p w:rsidR="005F7985">
      <w:pPr>
        <w:pStyle w:val="PlainText"/>
        <w:ind w:firstLine="240" w:firstLineChars="100"/>
        <w:rPr>
          <w:rFonts w:hAnsi="宋体"/>
        </w:rPr>
      </w:pPr>
      <w:r>
        <w:rPr>
          <w:rFonts w:hAnsi="宋体" w:hint="eastAsia"/>
        </w:rPr>
        <w:t>(</w:t>
      </w:r>
      <w:r>
        <w:rPr>
          <w:rFonts w:hAnsi="宋体" w:hint="eastAsia"/>
        </w:rPr>
        <w:t>三</w:t>
      </w:r>
      <w:r>
        <w:rPr>
          <w:rFonts w:hAnsi="宋体" w:hint="eastAsia"/>
        </w:rPr>
        <w:t xml:space="preserve">) </w:t>
      </w:r>
      <w:r>
        <w:rPr>
          <w:rFonts w:hAnsi="宋体" w:hint="eastAsia"/>
        </w:rPr>
        <w:t>材料准备</w:t>
      </w:r>
    </w:p>
    <w:p w:rsidR="005F7985">
      <w:pPr>
        <w:pStyle w:val="PlainText"/>
        <w:ind w:firstLine="480"/>
        <w:jc w:val="both"/>
        <w:rPr>
          <w:rFonts w:hAnsi="宋体"/>
        </w:rPr>
      </w:pPr>
      <w:r>
        <w:rPr>
          <w:rFonts w:hAnsi="宋体" w:hint="eastAsia"/>
        </w:rPr>
        <w:t>脚手板：选用木脚手板，板长</w:t>
      </w:r>
      <w:r>
        <w:rPr>
          <w:rFonts w:hAnsi="宋体" w:hint="eastAsia"/>
        </w:rPr>
        <w:t>4m</w:t>
      </w:r>
      <w:r>
        <w:rPr>
          <w:rFonts w:hAnsi="宋体" w:hint="eastAsia"/>
        </w:rPr>
        <w:t>，宽</w:t>
      </w:r>
      <w:r>
        <w:rPr>
          <w:rFonts w:hAnsi="宋体" w:hint="eastAsia"/>
        </w:rPr>
        <w:t>2</w:t>
      </w:r>
      <w:r>
        <w:rPr>
          <w:rFonts w:hAnsi="宋体" w:hint="eastAsia"/>
        </w:rPr>
        <w:t>00mm</w:t>
      </w:r>
      <w:r>
        <w:rPr>
          <w:rFonts w:hAnsi="宋体" w:hint="eastAsia"/>
        </w:rPr>
        <w:t>，厚</w:t>
      </w:r>
      <w:r>
        <w:rPr>
          <w:rFonts w:hAnsi="宋体" w:hint="eastAsia"/>
        </w:rPr>
        <w:t>50mm</w:t>
      </w:r>
      <w:r>
        <w:rPr>
          <w:rFonts w:hAnsi="宋体" w:hint="eastAsia"/>
        </w:rPr>
        <w:t>，其材质符合国家标准《木结构设计规范》（</w:t>
      </w:r>
      <w:r>
        <w:rPr>
          <w:rFonts w:hAnsi="宋体" w:hint="eastAsia"/>
        </w:rPr>
        <w:t>GB50005</w:t>
      </w:r>
      <w:r>
        <w:rPr>
          <w:rFonts w:hAnsi="宋体" w:hint="eastAsia"/>
        </w:rPr>
        <w:t>）中Ⅱ</w:t>
      </w:r>
      <w:r>
        <w:rPr>
          <w:rFonts w:hAnsi="宋体" w:hint="eastAsia"/>
        </w:rPr>
        <w:t>a</w:t>
      </w:r>
      <w:r>
        <w:rPr>
          <w:rFonts w:hAnsi="宋体" w:hint="eastAsia"/>
        </w:rPr>
        <w:t>级材质的规定，两端设</w:t>
      </w:r>
      <w:r>
        <w:rPr>
          <w:rFonts w:hAnsi="宋体" w:hint="eastAsia"/>
        </w:rPr>
        <w:t>8#</w:t>
      </w:r>
      <w:r>
        <w:rPr>
          <w:rFonts w:hAnsi="宋体" w:hint="eastAsia"/>
        </w:rPr>
        <w:t>铅丝包箍。</w:t>
      </w:r>
    </w:p>
    <w:p w:rsidR="005F7985">
      <w:pPr>
        <w:pStyle w:val="PlainText"/>
        <w:ind w:firstLine="480"/>
        <w:jc w:val="both"/>
        <w:rPr>
          <w:rFonts w:hAnsi="宋体"/>
        </w:rPr>
      </w:pPr>
      <w:r>
        <w:rPr>
          <w:rFonts w:hAnsi="宋体" w:hint="eastAsia"/>
        </w:rPr>
        <w:t>钢管：</w:t>
      </w:r>
      <w:r>
        <w:rPr>
          <w:rFonts w:hAnsi="宋体" w:hint="eastAsia"/>
          <w:color w:val="000000"/>
          <w:szCs w:val="24"/>
        </w:rPr>
        <w:t>钢管脚落地手架，</w:t>
      </w:r>
      <w:r>
        <w:rPr>
          <w:rFonts w:hAnsi="宋体" w:hint="eastAsia"/>
          <w:color w:val="FF0000"/>
          <w:szCs w:val="24"/>
        </w:rPr>
        <w:t>选用</w:t>
      </w:r>
      <w:r>
        <w:rPr>
          <w:rFonts w:hint="eastAsia"/>
          <w:color w:val="FF0000"/>
          <w:kern w:val="0"/>
        </w:rPr>
        <w:t>3.5</w:t>
      </w:r>
      <w:r>
        <w:rPr>
          <w:rFonts w:cs="宋体" w:hint="eastAsia"/>
          <w:color w:val="FF0000"/>
          <w:kern w:val="0"/>
        </w:rPr>
        <w:t>φ</w:t>
      </w:r>
      <w:r>
        <w:rPr>
          <w:color w:val="FF0000"/>
          <w:kern w:val="0"/>
        </w:rPr>
        <w:t>48.3mm</w:t>
      </w:r>
      <w:r>
        <w:rPr>
          <w:rFonts w:cs="宋体" w:hint="eastAsia"/>
          <w:color w:val="FF0000"/>
          <w:kern w:val="0"/>
        </w:rPr>
        <w:t>×</w:t>
      </w:r>
      <w:r>
        <w:rPr>
          <w:color w:val="FF0000"/>
          <w:kern w:val="0"/>
        </w:rPr>
        <w:t>3.</w:t>
      </w:r>
      <w:r>
        <w:rPr>
          <w:rFonts w:hint="eastAsia"/>
          <w:color w:val="FF0000"/>
          <w:kern w:val="0"/>
        </w:rPr>
        <w:t>6</w:t>
      </w:r>
      <w:r>
        <w:rPr>
          <w:color w:val="FF0000"/>
          <w:kern w:val="0"/>
        </w:rPr>
        <w:t>mm</w:t>
      </w:r>
      <w:r>
        <w:rPr>
          <w:rFonts w:hint="eastAsia"/>
          <w:color w:val="FF0000"/>
          <w:kern w:val="0"/>
        </w:rPr>
        <w:t>、</w:t>
      </w:r>
      <w:r>
        <w:rPr>
          <w:color w:val="FF0000"/>
          <w:kern w:val="0"/>
        </w:rPr>
        <w:t>6m</w:t>
      </w:r>
      <w:r>
        <w:rPr>
          <w:rFonts w:cs="宋体" w:hint="eastAsia"/>
          <w:color w:val="FF0000"/>
          <w:kern w:val="0"/>
        </w:rPr>
        <w:t>φ</w:t>
      </w:r>
      <w:r>
        <w:rPr>
          <w:color w:val="FF0000"/>
          <w:kern w:val="0"/>
        </w:rPr>
        <w:t>48.3mm</w:t>
      </w:r>
      <w:r>
        <w:rPr>
          <w:rFonts w:cs="宋体" w:hint="eastAsia"/>
          <w:color w:val="FF0000"/>
          <w:kern w:val="0"/>
        </w:rPr>
        <w:t>×</w:t>
      </w:r>
      <w:r>
        <w:rPr>
          <w:color w:val="FF0000"/>
          <w:kern w:val="0"/>
        </w:rPr>
        <w:t>3.</w:t>
      </w:r>
      <w:r>
        <w:rPr>
          <w:rFonts w:hint="eastAsia"/>
          <w:color w:val="FF0000"/>
          <w:kern w:val="0"/>
        </w:rPr>
        <w:t>6</w:t>
      </w:r>
      <w:r>
        <w:rPr>
          <w:color w:val="FF0000"/>
          <w:kern w:val="0"/>
        </w:rPr>
        <w:t>mm</w:t>
      </w:r>
      <w:r>
        <w:rPr>
          <w:rFonts w:hint="eastAsia"/>
          <w:color w:val="FF0000"/>
          <w:kern w:val="0"/>
        </w:rPr>
        <w:t>（</w:t>
      </w:r>
      <w:r>
        <w:rPr>
          <w:rFonts w:cs="宋体" w:hint="eastAsia"/>
          <w:color w:val="FF0000"/>
          <w:kern w:val="0"/>
        </w:rPr>
        <w:t>纵向水平杆、立杆、剪刀撑</w:t>
      </w:r>
      <w:r>
        <w:rPr>
          <w:rFonts w:hint="eastAsia"/>
          <w:color w:val="FF0000"/>
          <w:kern w:val="0"/>
        </w:rPr>
        <w:t>）和</w:t>
      </w:r>
      <w:r>
        <w:rPr>
          <w:color w:val="FF0000"/>
          <w:kern w:val="0"/>
        </w:rPr>
        <w:t>1.5m</w:t>
      </w:r>
      <w:r>
        <w:rPr>
          <w:rFonts w:cs="宋体" w:hint="eastAsia"/>
          <w:color w:val="FF0000"/>
          <w:kern w:val="0"/>
        </w:rPr>
        <w:t>φ</w:t>
      </w:r>
      <w:r>
        <w:rPr>
          <w:color w:val="FF0000"/>
          <w:kern w:val="0"/>
        </w:rPr>
        <w:t>48.3mm</w:t>
      </w:r>
      <w:r>
        <w:rPr>
          <w:rFonts w:cs="宋体" w:hint="eastAsia"/>
          <w:color w:val="FF0000"/>
          <w:kern w:val="0"/>
        </w:rPr>
        <w:t>×</w:t>
      </w:r>
      <w:r>
        <w:rPr>
          <w:color w:val="FF0000"/>
          <w:kern w:val="0"/>
        </w:rPr>
        <w:t>3.</w:t>
      </w:r>
      <w:r>
        <w:rPr>
          <w:rFonts w:hint="eastAsia"/>
          <w:color w:val="FF0000"/>
          <w:kern w:val="0"/>
        </w:rPr>
        <w:t>6</w:t>
      </w:r>
      <w:r>
        <w:rPr>
          <w:color w:val="FF0000"/>
          <w:kern w:val="0"/>
        </w:rPr>
        <w:t>mm</w:t>
      </w:r>
      <w:r>
        <w:rPr>
          <w:rFonts w:hint="eastAsia"/>
          <w:color w:val="FF0000"/>
          <w:kern w:val="0"/>
        </w:rPr>
        <w:t>（</w:t>
      </w:r>
      <w:r>
        <w:rPr>
          <w:rFonts w:cs="宋体" w:hint="eastAsia"/>
          <w:color w:val="FF0000"/>
          <w:kern w:val="0"/>
        </w:rPr>
        <w:t>横向水平杆、连墙件</w:t>
      </w:r>
      <w:r>
        <w:rPr>
          <w:rFonts w:hint="eastAsia"/>
          <w:color w:val="FF0000"/>
          <w:kern w:val="0"/>
        </w:rPr>
        <w:t>）</w:t>
      </w:r>
      <w:r>
        <w:rPr>
          <w:rFonts w:hAnsi="宋体"/>
          <w:color w:val="FF0000"/>
          <w:szCs w:val="24"/>
        </w:rPr>
        <w:t>，钢材强度等级</w:t>
      </w:r>
      <w:r>
        <w:rPr>
          <w:rFonts w:hAnsi="宋体"/>
          <w:color w:val="FF0000"/>
          <w:szCs w:val="24"/>
        </w:rPr>
        <w:t>Q235-A</w:t>
      </w:r>
      <w:r>
        <w:rPr>
          <w:rFonts w:hAnsi="宋体"/>
          <w:color w:val="FF0000"/>
          <w:szCs w:val="24"/>
        </w:rPr>
        <w:t>，</w:t>
      </w:r>
      <w:r>
        <w:rPr>
          <w:rFonts w:hAnsi="宋体"/>
          <w:color w:val="000000"/>
          <w:szCs w:val="24"/>
        </w:rPr>
        <w:t>钢管表面应平直光滑，不应有裂纹、分层、压痕、划道和硬弯，新用的钢管要有出厂合格证。脚手架施工前必须将入场钢管取样，送有相关国家资质的试验单位，进行钢管抗弯、抗拉等力学试验，试验结果满足设计要求后，方可在施工中使用</w:t>
      </w:r>
      <w:r>
        <w:rPr>
          <w:rFonts w:hAnsi="宋体" w:hint="eastAsia"/>
          <w:color w:val="000000"/>
          <w:szCs w:val="24"/>
        </w:rPr>
        <w:t>。</w:t>
      </w:r>
    </w:p>
    <w:p w:rsidR="005F7985">
      <w:pPr>
        <w:pStyle w:val="PlainText"/>
        <w:ind w:left="14" w:firstLine="480"/>
        <w:jc w:val="both"/>
        <w:rPr>
          <w:rFonts w:hAnsi="宋体"/>
        </w:rPr>
      </w:pPr>
      <w:r>
        <w:rPr>
          <w:rFonts w:hAnsi="宋体" w:hint="eastAsia"/>
        </w:rPr>
        <w:t>扣件：</w:t>
      </w:r>
      <w:r>
        <w:rPr>
          <w:rFonts w:hAnsi="宋体" w:hint="eastAsia"/>
          <w:color w:val="000000"/>
          <w:szCs w:val="24"/>
        </w:rPr>
        <w:t>本工程钢管脚手架的搭设使用可锻铸造扣件，应符合建设部《钢管脚手架扣件》</w:t>
      </w:r>
      <w:r>
        <w:rPr>
          <w:rFonts w:hAnsi="宋体" w:hint="eastAsia"/>
          <w:color w:val="000000"/>
          <w:szCs w:val="24"/>
        </w:rPr>
        <w:t>GB15831</w:t>
      </w:r>
      <w:r>
        <w:rPr>
          <w:rFonts w:hAnsi="宋体"/>
          <w:color w:val="000000"/>
          <w:szCs w:val="24"/>
        </w:rPr>
        <w:t>的要求，由有扣件生产许可证的生产厂家提供，不得有裂纹、气孔、缩松、砂眼等锻造缺陷，扣件的规格应与钢管相匹配，贴和面应干整，活动部位灵活，夹紧钢管时开口处最小距离不小于</w:t>
      </w:r>
      <w:r>
        <w:rPr>
          <w:rFonts w:hAnsi="宋体"/>
          <w:color w:val="000000"/>
          <w:szCs w:val="24"/>
        </w:rPr>
        <w:t>5mm</w:t>
      </w:r>
      <w:r>
        <w:rPr>
          <w:rFonts w:hAnsi="宋体"/>
          <w:color w:val="000000"/>
          <w:szCs w:val="24"/>
        </w:rPr>
        <w:t>。钢管螺栓拧紧力矩达</w:t>
      </w:r>
      <w:r>
        <w:rPr>
          <w:rFonts w:hAnsi="宋体"/>
          <w:color w:val="000000"/>
          <w:szCs w:val="24"/>
        </w:rPr>
        <w:t>70N.m</w:t>
      </w:r>
      <w:r>
        <w:rPr>
          <w:rFonts w:hAnsi="宋体"/>
          <w:color w:val="000000"/>
          <w:szCs w:val="24"/>
        </w:rPr>
        <w:t>时不</w:t>
      </w:r>
      <w:r>
        <w:rPr>
          <w:rFonts w:hAnsi="宋体"/>
          <w:color w:val="000000"/>
          <w:szCs w:val="24"/>
        </w:rPr>
        <w:t>得破坏。如使用旧扣件时，扣件必须取样送有相关国家资质的试验单位，进行扣件抗滑力等试验，试验结果满足设计要求后方可在施工中使用</w:t>
      </w:r>
      <w:r>
        <w:rPr>
          <w:rFonts w:hAnsi="宋体" w:hint="eastAsia"/>
          <w:color w:val="000000"/>
          <w:szCs w:val="24"/>
        </w:rPr>
        <w:t>。</w:t>
      </w:r>
    </w:p>
    <w:p w:rsidR="005F7985">
      <w:pPr>
        <w:pStyle w:val="NormalWeb"/>
        <w:widowControl/>
        <w:shd w:val="clear" w:color="auto" w:fill="FFFFFF"/>
        <w:spacing w:line="360" w:lineRule="auto"/>
        <w:ind w:firstLine="480" w:firstLineChars="200"/>
        <w:rPr>
          <w:color w:val="000000"/>
          <w:kern w:val="0"/>
        </w:rPr>
      </w:pPr>
      <w:r>
        <w:rPr>
          <w:rFonts w:hAnsi="宋体" w:hint="eastAsia"/>
        </w:rPr>
        <w:t>安全网：</w:t>
      </w:r>
      <w:r>
        <w:rPr>
          <w:rFonts w:ascii="宋体" w:hAnsi="宋体" w:hint="eastAsia"/>
          <w:color w:val="000000"/>
        </w:rPr>
        <w:t>脚手架外侧挂设密目</w:t>
      </w:r>
      <w:r>
        <w:rPr>
          <w:rFonts w:ascii="宋体" w:hAnsi="宋体" w:hint="eastAsia"/>
          <w:color w:val="000000"/>
        </w:rPr>
        <w:t>式</w:t>
      </w:r>
      <w:r>
        <w:rPr>
          <w:rFonts w:ascii="宋体" w:hAnsi="宋体" w:hint="eastAsia"/>
          <w:color w:val="000000"/>
        </w:rPr>
        <w:t>安全网进行全封闭，其下部设置挡脚板。每隔四层设置水平安全网一道。</w:t>
      </w:r>
      <w:r>
        <w:rPr>
          <w:rFonts w:hAnsi="宋体" w:hint="eastAsia"/>
          <w:color w:val="000000"/>
        </w:rPr>
        <w:t>网目应满足</w:t>
      </w:r>
      <w:r>
        <w:rPr>
          <w:rFonts w:hAnsi="宋体"/>
          <w:color w:val="000000"/>
        </w:rPr>
        <w:t>2000</w:t>
      </w:r>
      <w:r>
        <w:rPr>
          <w:rFonts w:hAnsi="宋体"/>
          <w:color w:val="000000"/>
        </w:rPr>
        <w:t>目／</w:t>
      </w:r>
      <w:r>
        <w:rPr>
          <w:rFonts w:hAnsi="宋体"/>
          <w:color w:val="000000"/>
        </w:rPr>
        <w:t>100cm</w:t>
      </w:r>
      <w:r>
        <w:rPr>
          <w:rFonts w:hAnsi="宋体"/>
          <w:color w:val="000000"/>
          <w:vertAlign w:val="superscript"/>
        </w:rPr>
        <w:t>2</w:t>
      </w:r>
      <w:r>
        <w:rPr>
          <w:rFonts w:hAnsi="宋体" w:hint="eastAsia"/>
          <w:color w:val="000000"/>
        </w:rPr>
        <w:t>，做耐贯穿试验不穿透，</w:t>
      </w:r>
      <w:r>
        <w:rPr>
          <w:rFonts w:hAnsi="宋体"/>
          <w:color w:val="000000"/>
        </w:rPr>
        <w:t>6</w:t>
      </w:r>
      <w:r>
        <w:rPr>
          <w:rFonts w:hAnsi="宋体"/>
          <w:color w:val="000000"/>
        </w:rPr>
        <w:t>×</w:t>
      </w:r>
      <w:r>
        <w:rPr>
          <w:rFonts w:hAnsi="宋体"/>
          <w:color w:val="000000"/>
        </w:rPr>
        <w:t>1.8m</w:t>
      </w:r>
      <w:r>
        <w:rPr>
          <w:rFonts w:hAnsi="宋体"/>
          <w:color w:val="000000"/>
        </w:rPr>
        <w:t>的单张网重量在</w:t>
      </w:r>
      <w:r>
        <w:rPr>
          <w:rFonts w:hAnsi="宋体"/>
          <w:color w:val="000000"/>
        </w:rPr>
        <w:t>3kg</w:t>
      </w:r>
      <w:r>
        <w:rPr>
          <w:rFonts w:hAnsi="宋体"/>
          <w:color w:val="000000"/>
        </w:rPr>
        <w:t>以上，颜色应满足环境效果要求，选用绿色。要求阻燃，使用的安全网必须有产品生产许可证和质量合格证</w:t>
      </w:r>
      <w:r>
        <w:rPr>
          <w:rFonts w:hAnsi="宋体" w:hint="eastAsia"/>
          <w:color w:val="000000"/>
        </w:rPr>
        <w:t>。</w:t>
      </w:r>
    </w:p>
    <w:p w:rsidR="005F7985">
      <w:pPr>
        <w:pStyle w:val="Normal0"/>
        <w:autoSpaceDE w:val="0"/>
        <w:autoSpaceDN w:val="0"/>
        <w:adjustRightInd w:val="0"/>
        <w:spacing w:line="360" w:lineRule="auto"/>
        <w:ind w:firstLine="480" w:firstLineChars="200"/>
        <w:jc w:val="left"/>
        <w:rPr>
          <w:color w:val="000000"/>
          <w:kern w:val="0"/>
          <w:sz w:val="24"/>
        </w:rPr>
        <w:sectPr>
          <w:type w:val="nextPage"/>
          <w:pgSz w:w="11906" w:h="16838"/>
          <w:pgMar w:top="1287" w:right="1152" w:bottom="1271" w:left="1094" w:header="851" w:footer="312" w:gutter="0"/>
          <w:pgNumType w:fmt="numberInDash" w:start="2"/>
          <w:cols w:space="708"/>
          <w:titlePg w:val="0"/>
          <w:docGrid w:type="lines" w:linePitch="312"/>
        </w:sectPr>
      </w:pPr>
    </w:p>
    <w:p w:rsidR="005F7985">
      <w:pPr>
        <w:pStyle w:val="Heading2"/>
        <w:ind w:left="0"/>
      </w:pPr>
      <w:bookmarkStart w:id="42" w:name="_Toc21254"/>
      <w:bookmarkStart w:id="43" w:name="_Toc8334"/>
      <w:bookmarkStart w:id="44" w:name="_Toc454430401"/>
      <w:bookmarkStart w:id="45" w:name="_Toc27187"/>
      <w:bookmarkStart w:id="46" w:name="_Toc16579"/>
      <w:r>
        <w:rPr>
          <w:rFonts w:hint="eastAsia"/>
        </w:rPr>
        <w:t>施工计划</w:t>
      </w:r>
      <w:bookmarkEnd w:id="42"/>
      <w:bookmarkEnd w:id="43"/>
      <w:bookmarkEnd w:id="44"/>
      <w:bookmarkEnd w:id="45"/>
      <w:bookmarkEnd w:id="46"/>
    </w:p>
    <w:p w:rsidR="005F7985">
      <w:pPr>
        <w:pStyle w:val="Heading3"/>
      </w:pPr>
      <w:bookmarkStart w:id="47" w:name="_Toc15655"/>
      <w:bookmarkStart w:id="48" w:name="_Toc22857"/>
      <w:bookmarkStart w:id="49" w:name="_Toc454430402"/>
      <w:bookmarkStart w:id="50" w:name="_Toc8505"/>
      <w:bookmarkStart w:id="51" w:name="_Toc20102"/>
      <w:r>
        <w:rPr>
          <w:rFonts w:hint="eastAsia"/>
        </w:rPr>
        <w:t>施工进度计划</w:t>
      </w:r>
      <w:bookmarkEnd w:id="47"/>
      <w:bookmarkEnd w:id="48"/>
      <w:bookmarkEnd w:id="49"/>
      <w:bookmarkEnd w:id="50"/>
      <w:bookmarkEnd w:id="51"/>
    </w:p>
    <w:p w:rsidR="005F7985">
      <w:pPr>
        <w:pStyle w:val="Normal0"/>
        <w:spacing w:line="360" w:lineRule="auto"/>
        <w:ind w:firstLine="480" w:firstLineChars="200"/>
        <w:rPr>
          <w:sz w:val="24"/>
        </w:rPr>
      </w:pPr>
      <w:bookmarkStart w:id="52" w:name="_Toc21179"/>
      <w:bookmarkStart w:id="53" w:name="_Toc22351"/>
      <w:bookmarkStart w:id="54" w:name="_Toc17447"/>
      <w:r>
        <w:rPr>
          <w:rFonts w:hint="eastAsia"/>
          <w:sz w:val="24"/>
        </w:rPr>
        <w:t>本工程计划工期为</w:t>
      </w:r>
      <w:r>
        <w:rPr>
          <w:rFonts w:hint="eastAsia"/>
          <w:sz w:val="24"/>
        </w:rPr>
        <w:t>302</w:t>
      </w:r>
      <w:r>
        <w:rPr>
          <w:rFonts w:hint="eastAsia"/>
          <w:sz w:val="24"/>
        </w:rPr>
        <w:t>天（施工段正在雨季，雨天工期顺延），计划架子工</w:t>
      </w:r>
      <w:r>
        <w:rPr>
          <w:rFonts w:hint="eastAsia"/>
          <w:sz w:val="24"/>
        </w:rPr>
        <w:t>70</w:t>
      </w:r>
      <w:r>
        <w:rPr>
          <w:rFonts w:hint="eastAsia"/>
          <w:sz w:val="24"/>
        </w:rPr>
        <w:t>名、电焊工</w:t>
      </w:r>
      <w:r>
        <w:rPr>
          <w:rFonts w:hint="eastAsia"/>
          <w:sz w:val="24"/>
        </w:rPr>
        <w:t>4</w:t>
      </w:r>
      <w:r>
        <w:rPr>
          <w:rFonts w:hint="eastAsia"/>
          <w:sz w:val="24"/>
        </w:rPr>
        <w:t>名、</w:t>
      </w:r>
      <w:r>
        <w:rPr>
          <w:rFonts w:hint="eastAsia"/>
          <w:sz w:val="24"/>
        </w:rPr>
        <w:t>涂料</w:t>
      </w:r>
      <w:r>
        <w:rPr>
          <w:rFonts w:hint="eastAsia"/>
          <w:sz w:val="24"/>
        </w:rPr>
        <w:t>工</w:t>
      </w:r>
      <w:r>
        <w:rPr>
          <w:rFonts w:hint="eastAsia"/>
          <w:sz w:val="24"/>
        </w:rPr>
        <w:t>1</w:t>
      </w:r>
      <w:r>
        <w:rPr>
          <w:rFonts w:hint="eastAsia"/>
          <w:sz w:val="24"/>
        </w:rPr>
        <w:t>9</w:t>
      </w:r>
      <w:r>
        <w:rPr>
          <w:rFonts w:hint="eastAsia"/>
          <w:sz w:val="24"/>
        </w:rPr>
        <w:t>0</w:t>
      </w:r>
      <w:r>
        <w:rPr>
          <w:rFonts w:hint="eastAsia"/>
          <w:sz w:val="24"/>
        </w:rPr>
        <w:t>名、木工</w:t>
      </w:r>
      <w:r>
        <w:rPr>
          <w:rFonts w:hint="eastAsia"/>
          <w:sz w:val="24"/>
        </w:rPr>
        <w:t>70</w:t>
      </w:r>
      <w:r>
        <w:rPr>
          <w:rFonts w:hint="eastAsia"/>
          <w:sz w:val="24"/>
        </w:rPr>
        <w:t>名、抹灰工</w:t>
      </w:r>
      <w:r>
        <w:rPr>
          <w:rFonts w:hint="eastAsia"/>
          <w:sz w:val="24"/>
        </w:rPr>
        <w:t>25</w:t>
      </w:r>
      <w:r>
        <w:rPr>
          <w:rFonts w:hint="eastAsia"/>
          <w:sz w:val="24"/>
        </w:rPr>
        <w:t>名、电工</w:t>
      </w:r>
      <w:r>
        <w:rPr>
          <w:rFonts w:hint="eastAsia"/>
          <w:sz w:val="24"/>
        </w:rPr>
        <w:t>2</w:t>
      </w:r>
      <w:r>
        <w:rPr>
          <w:rFonts w:hint="eastAsia"/>
          <w:sz w:val="24"/>
        </w:rPr>
        <w:t>5</w:t>
      </w:r>
      <w:r>
        <w:rPr>
          <w:rFonts w:hint="eastAsia"/>
          <w:sz w:val="24"/>
        </w:rPr>
        <w:t>名、普工</w:t>
      </w:r>
      <w:r>
        <w:rPr>
          <w:rFonts w:hint="eastAsia"/>
          <w:sz w:val="24"/>
        </w:rPr>
        <w:t>17</w:t>
      </w:r>
      <w:r>
        <w:rPr>
          <w:rFonts w:hint="eastAsia"/>
          <w:sz w:val="24"/>
        </w:rPr>
        <w:t>0</w:t>
      </w:r>
      <w:r>
        <w:rPr>
          <w:rFonts w:hint="eastAsia"/>
          <w:sz w:val="24"/>
        </w:rPr>
        <w:t>名。</w:t>
      </w:r>
      <w:bookmarkStart w:id="55" w:name="_Toc26682"/>
      <w:bookmarkStart w:id="56" w:name="_Toc7058"/>
      <w:bookmarkEnd w:id="52"/>
      <w:bookmarkEnd w:id="53"/>
      <w:bookmarkEnd w:id="54"/>
    </w:p>
    <w:p w:rsidR="005F7985">
      <w:pPr>
        <w:pStyle w:val="Normal0"/>
        <w:spacing w:line="360" w:lineRule="auto"/>
        <w:ind w:firstLine="480" w:firstLineChars="200"/>
        <w:rPr>
          <w:bCs/>
          <w:color w:val="000000"/>
        </w:rPr>
      </w:pPr>
      <w:bookmarkStart w:id="57" w:name="_Toc19595"/>
      <w:r>
        <w:rPr>
          <w:rFonts w:hint="eastAsia"/>
          <w:sz w:val="24"/>
        </w:rPr>
        <w:t>计划</w:t>
      </w:r>
      <w:r>
        <w:rPr>
          <w:rFonts w:hint="eastAsia"/>
          <w:sz w:val="24"/>
        </w:rPr>
        <w:t>10</w:t>
      </w:r>
      <w:r>
        <w:rPr>
          <w:rFonts w:hint="eastAsia"/>
          <w:sz w:val="24"/>
        </w:rPr>
        <w:t>户为一个流水，循序渐进地向前推进</w:t>
      </w:r>
      <w:bookmarkEnd w:id="55"/>
      <w:bookmarkEnd w:id="56"/>
      <w:bookmarkEnd w:id="57"/>
    </w:p>
    <w:p w:rsidR="005F7985">
      <w:pPr>
        <w:pStyle w:val="Heading3"/>
      </w:pPr>
      <w:bookmarkStart w:id="58" w:name="_Toc454430403"/>
      <w:bookmarkStart w:id="59" w:name="_Toc326"/>
      <w:bookmarkStart w:id="60" w:name="_Toc7215"/>
      <w:bookmarkStart w:id="61" w:name="_Toc17478"/>
      <w:bookmarkStart w:id="62" w:name="_Toc15877"/>
      <w:r>
        <w:rPr>
          <w:rFonts w:hint="eastAsia"/>
        </w:rPr>
        <w:t>材料与设备计划</w:t>
      </w:r>
      <w:bookmarkEnd w:id="58"/>
      <w:bookmarkEnd w:id="59"/>
      <w:bookmarkEnd w:id="60"/>
      <w:bookmarkEnd w:id="61"/>
      <w:bookmarkEnd w:id="62"/>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1</w:t>
      </w:r>
      <w:r>
        <w:rPr>
          <w:rFonts w:ascii="宋体" w:cs="宋体" w:hint="eastAsia"/>
          <w:kern w:val="0"/>
          <w:sz w:val="24"/>
        </w:rPr>
        <w:t>）</w:t>
      </w:r>
      <w:r>
        <w:rPr>
          <w:rFonts w:ascii="宋体" w:cs="宋体" w:hint="eastAsia"/>
          <w:kern w:val="0"/>
          <w:sz w:val="24"/>
        </w:rPr>
        <w:t>脚手架钢管应采用现行国家标准《直缝电焊钢管》</w:t>
      </w:r>
      <w:r>
        <w:rPr>
          <w:kern w:val="0"/>
          <w:sz w:val="24"/>
        </w:rPr>
        <w:t>GB/T13793</w:t>
      </w:r>
      <w:r>
        <w:rPr>
          <w:rFonts w:ascii="宋体" w:cs="宋体" w:hint="eastAsia"/>
          <w:kern w:val="0"/>
          <w:sz w:val="24"/>
        </w:rPr>
        <w:t>或《低压流体输送用焊接钢管》</w:t>
      </w:r>
      <w:r>
        <w:rPr>
          <w:kern w:val="0"/>
          <w:sz w:val="24"/>
        </w:rPr>
        <w:t>GB/T3091</w:t>
      </w:r>
      <w:r>
        <w:rPr>
          <w:rFonts w:ascii="宋体" w:cs="宋体" w:hint="eastAsia"/>
          <w:kern w:val="0"/>
          <w:sz w:val="24"/>
        </w:rPr>
        <w:t>中规定的</w:t>
      </w:r>
      <w:r>
        <w:rPr>
          <w:rFonts w:ascii="宋体" w:cs="宋体"/>
          <w:kern w:val="0"/>
          <w:sz w:val="24"/>
        </w:rPr>
        <w:t>Q</w:t>
      </w:r>
      <w:r>
        <w:rPr>
          <w:kern w:val="0"/>
          <w:sz w:val="24"/>
        </w:rPr>
        <w:t>235</w:t>
      </w:r>
      <w:r>
        <w:rPr>
          <w:rFonts w:ascii="宋体" w:cs="宋体" w:hint="eastAsia"/>
          <w:kern w:val="0"/>
          <w:sz w:val="24"/>
        </w:rPr>
        <w:t>普通钢管，钢管的钢材质量应符合现行国家标准《碳素结构钢》</w:t>
      </w:r>
      <w:r>
        <w:rPr>
          <w:kern w:val="0"/>
          <w:sz w:val="24"/>
        </w:rPr>
        <w:t>GB/T700</w:t>
      </w:r>
      <w:r>
        <w:rPr>
          <w:rFonts w:ascii="宋体" w:cs="宋体" w:hint="eastAsia"/>
          <w:kern w:val="0"/>
          <w:sz w:val="24"/>
        </w:rPr>
        <w:t>中</w:t>
      </w:r>
      <w:r>
        <w:rPr>
          <w:rFonts w:ascii="宋体" w:cs="宋体"/>
          <w:kern w:val="0"/>
          <w:sz w:val="24"/>
        </w:rPr>
        <w:t>Q235</w:t>
      </w:r>
      <w:r>
        <w:rPr>
          <w:rFonts w:ascii="宋体" w:cs="宋体" w:hint="eastAsia"/>
          <w:kern w:val="0"/>
          <w:sz w:val="24"/>
        </w:rPr>
        <w:t>级钢的规定。每根钢管的最大质量不应大于</w:t>
      </w:r>
      <w:r>
        <w:rPr>
          <w:kern w:val="0"/>
          <w:sz w:val="24"/>
        </w:rPr>
        <w:t>25.8kg</w:t>
      </w:r>
      <w:r>
        <w:rPr>
          <w:rFonts w:ascii="宋体" w:cs="宋体" w:hint="eastAsia"/>
          <w:kern w:val="0"/>
          <w:sz w:val="24"/>
        </w:rPr>
        <w:t>。新钢管表面应平直光滑，不应有裂缝、结疤、分层、错位、硬弯、毛刺、压痕和深的划道，钢管要有产品质量合格证、质量检验报告，钢管材质检验方法应符合现行国家标准《金属拉伸室温拉伸试验方法》</w:t>
      </w:r>
      <w:r>
        <w:rPr>
          <w:kern w:val="0"/>
          <w:sz w:val="24"/>
        </w:rPr>
        <w:t>GB/T228</w:t>
      </w:r>
      <w:r>
        <w:rPr>
          <w:rFonts w:ascii="宋体" w:cs="宋体" w:hint="eastAsia"/>
          <w:kern w:val="0"/>
          <w:sz w:val="24"/>
        </w:rPr>
        <w:t>的有关规定，质量和钢管外径、壁厚、端面等的偏差应符合《建筑施工扣件式钢管脚手架安全技术规范》</w:t>
      </w:r>
      <w:r>
        <w:rPr>
          <w:kern w:val="0"/>
          <w:sz w:val="24"/>
        </w:rPr>
        <w:t>JGJ130</w:t>
      </w:r>
      <w:r>
        <w:rPr>
          <w:rFonts w:ascii="宋体" w:cs="宋体" w:hint="eastAsia"/>
          <w:kern w:val="0"/>
          <w:sz w:val="24"/>
        </w:rPr>
        <w:t>的有关规定，应涂有防锈漆。旧钢管表面锈蚀深度、钢管弯曲变形应符合《建筑施工扣件式钢</w:t>
      </w:r>
      <w:r>
        <w:rPr>
          <w:rFonts w:ascii="宋体" w:cs="宋体" w:hint="eastAsia"/>
          <w:kern w:val="0"/>
          <w:sz w:val="24"/>
        </w:rPr>
        <w:t>管脚手架安全技术规范》</w:t>
      </w:r>
      <w:r>
        <w:rPr>
          <w:kern w:val="0"/>
          <w:sz w:val="24"/>
        </w:rPr>
        <w:t>JGJ130</w:t>
      </w:r>
      <w:r>
        <w:rPr>
          <w:rFonts w:ascii="宋体" w:cs="宋体" w:hint="eastAsia"/>
          <w:kern w:val="0"/>
          <w:sz w:val="24"/>
        </w:rPr>
        <w:t>的有关规定。锈蚀检查应每年一次。检查时，应在锈蚀严重的钢管中抽取</w:t>
      </w:r>
      <w:r>
        <w:rPr>
          <w:kern w:val="0"/>
          <w:sz w:val="24"/>
        </w:rPr>
        <w:t>3</w:t>
      </w:r>
      <w:r>
        <w:rPr>
          <w:rFonts w:ascii="宋体" w:cs="宋体" w:hint="eastAsia"/>
          <w:kern w:val="0"/>
          <w:sz w:val="24"/>
        </w:rPr>
        <w:t>根，在每根锈蚀严重部位横向截断取样检查，当锈蚀深度超过规定值时不得使用。钢管上严禁打孔。</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2</w:t>
      </w:r>
      <w:r>
        <w:rPr>
          <w:rFonts w:ascii="宋体" w:cs="宋体" w:hint="eastAsia"/>
          <w:kern w:val="0"/>
          <w:sz w:val="24"/>
        </w:rPr>
        <w:t>）</w:t>
      </w:r>
      <w:r>
        <w:rPr>
          <w:rFonts w:ascii="宋体" w:cs="宋体" w:hint="eastAsia"/>
          <w:kern w:val="0"/>
          <w:sz w:val="24"/>
        </w:rPr>
        <w:t>扣件应采用可锻铸铁或铸钢制作，其质量和性能应符合现行国家标准《钢管脚手架扣件》</w:t>
      </w:r>
      <w:r>
        <w:rPr>
          <w:kern w:val="0"/>
          <w:sz w:val="24"/>
        </w:rPr>
        <w:t>GB15831</w:t>
      </w:r>
      <w:r>
        <w:rPr>
          <w:rFonts w:ascii="宋体" w:cs="宋体" w:hint="eastAsia"/>
          <w:kern w:val="0"/>
          <w:sz w:val="24"/>
        </w:rPr>
        <w:t>的要求，采用其他材料制作的扣件，应经试验证明其质量符合该标准的规定后方可使用。扣件应有生产许可证、法定检测单位的测试报告和产品合格证。扣件进入施工现场应检查产品合格证，并应进行抽样复试。扣件在使用前应逐个挑选，有裂缝、变形、</w:t>
      </w:r>
      <w:r>
        <w:rPr>
          <w:rFonts w:ascii="宋体" w:cs="宋体" w:hint="eastAsia"/>
          <w:kern w:val="0"/>
          <w:sz w:val="24"/>
        </w:rPr>
        <w:t>螺栓出现滑丝的严禁使用。扣件在螺栓拧紧扭力矩达</w:t>
      </w:r>
      <w:r>
        <w:rPr>
          <w:kern w:val="0"/>
          <w:sz w:val="24"/>
        </w:rPr>
        <w:t>65N·m</w:t>
      </w:r>
      <w:r>
        <w:rPr>
          <w:rFonts w:ascii="宋体" w:cs="宋体" w:hint="eastAsia"/>
          <w:kern w:val="0"/>
          <w:sz w:val="24"/>
        </w:rPr>
        <w:t>时，不得发生破坏。新、旧扣件均应进行防锈处理。</w:t>
      </w:r>
    </w:p>
    <w:p w:rsidR="005F7985">
      <w:pPr>
        <w:pStyle w:val="Normal0"/>
        <w:autoSpaceDE w:val="0"/>
        <w:autoSpaceDN w:val="0"/>
        <w:adjustRightInd w:val="0"/>
        <w:spacing w:line="360" w:lineRule="auto"/>
        <w:ind w:firstLine="480" w:firstLineChars="200"/>
        <w:jc w:val="left"/>
        <w:rPr>
          <w:rFonts w:ascii="宋体" w:cs="宋体"/>
          <w:color w:val="000000"/>
          <w:kern w:val="0"/>
          <w:sz w:val="24"/>
        </w:rPr>
      </w:pPr>
      <w:r>
        <w:rPr>
          <w:rFonts w:ascii="宋体" w:cs="宋体" w:hint="eastAsia"/>
          <w:color w:val="000000"/>
          <w:kern w:val="0"/>
          <w:sz w:val="24"/>
        </w:rPr>
        <w:t>（</w:t>
      </w:r>
      <w:r>
        <w:rPr>
          <w:rFonts w:ascii="宋体" w:cs="宋体" w:hint="eastAsia"/>
          <w:color w:val="000000"/>
          <w:kern w:val="0"/>
          <w:sz w:val="24"/>
        </w:rPr>
        <w:t>3</w:t>
      </w:r>
      <w:r>
        <w:rPr>
          <w:rFonts w:ascii="宋体" w:cs="宋体" w:hint="eastAsia"/>
          <w:color w:val="000000"/>
          <w:kern w:val="0"/>
          <w:sz w:val="24"/>
        </w:rPr>
        <w:t>）</w:t>
      </w:r>
      <w:r>
        <w:rPr>
          <w:rFonts w:ascii="宋体" w:cs="宋体" w:hint="eastAsia"/>
          <w:color w:val="000000"/>
          <w:kern w:val="0"/>
          <w:sz w:val="24"/>
        </w:rPr>
        <w:t>搭设架子前应进行保养，除锈并统一涂色，力求环保美观。</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color w:val="000000"/>
          <w:kern w:val="0"/>
          <w:sz w:val="24"/>
        </w:rPr>
        <w:t>（</w:t>
      </w:r>
      <w:r>
        <w:rPr>
          <w:rFonts w:ascii="宋体" w:cs="宋体" w:hint="eastAsia"/>
          <w:color w:val="000000"/>
          <w:kern w:val="0"/>
          <w:sz w:val="24"/>
        </w:rPr>
        <w:t>4</w:t>
      </w:r>
      <w:r>
        <w:rPr>
          <w:rFonts w:ascii="宋体" w:cs="宋体" w:hint="eastAsia"/>
          <w:color w:val="000000"/>
          <w:kern w:val="0"/>
          <w:sz w:val="24"/>
        </w:rPr>
        <w:t>）</w:t>
      </w:r>
      <w:r>
        <w:rPr>
          <w:rFonts w:ascii="宋体" w:cs="宋体" w:hint="eastAsia"/>
          <w:kern w:val="0"/>
          <w:sz w:val="24"/>
        </w:rPr>
        <w:t>脚手板</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hint="eastAsia"/>
          <w:color w:val="000000"/>
          <w:kern w:val="0"/>
          <w:sz w:val="24"/>
        </w:rPr>
        <w:t>本工程</w:t>
      </w:r>
      <w:r>
        <w:rPr>
          <w:rFonts w:ascii="宋体" w:cs="宋体" w:hint="eastAsia"/>
          <w:kern w:val="0"/>
          <w:sz w:val="24"/>
        </w:rPr>
        <w:t>脚手板是木制脚手板。</w:t>
      </w:r>
    </w:p>
    <w:p w:rsidR="005F7985">
      <w:pPr>
        <w:pStyle w:val="Normal0"/>
        <w:autoSpaceDE w:val="0"/>
        <w:autoSpaceDN w:val="0"/>
        <w:adjustRightInd w:val="0"/>
        <w:spacing w:line="360" w:lineRule="auto"/>
        <w:ind w:firstLine="480" w:firstLineChars="200"/>
        <w:jc w:val="left"/>
        <w:rPr>
          <w:rFonts w:ascii="宋体" w:cs="宋体"/>
          <w:kern w:val="0"/>
          <w:sz w:val="24"/>
        </w:rPr>
        <w:sectPr>
          <w:type w:val="nextPage"/>
          <w:pgSz w:w="11906" w:h="16838"/>
          <w:pgMar w:top="1287" w:right="1152" w:bottom="1271" w:left="1094" w:header="851" w:footer="312" w:gutter="0"/>
          <w:pgNumType w:fmt="numberInDash" w:start="3"/>
          <w:cols w:space="708"/>
          <w:titlePg w:val="0"/>
          <w:docGrid w:type="lines" w:linePitch="312"/>
        </w:sectPr>
      </w:pPr>
      <w:r>
        <w:rPr>
          <w:rFonts w:ascii="宋体" w:cs="宋体" w:hint="eastAsia"/>
          <w:kern w:val="0"/>
          <w:sz w:val="24"/>
        </w:rPr>
        <w:t>木脚手板才材质应符合现行国家标准《木结构设计规范》</w:t>
      </w:r>
      <w:r>
        <w:rPr>
          <w:rFonts w:ascii="宋体" w:cs="宋体"/>
          <w:kern w:val="0"/>
          <w:sz w:val="24"/>
        </w:rPr>
        <w:t>GB50005</w:t>
      </w:r>
      <w:r>
        <w:rPr>
          <w:rFonts w:ascii="宋体" w:cs="宋体" w:hint="eastAsia"/>
          <w:kern w:val="0"/>
          <w:sz w:val="24"/>
        </w:rPr>
        <w:t>中Ⅱ</w:t>
      </w:r>
      <w:r>
        <w:rPr>
          <w:rFonts w:ascii="宋体" w:cs="宋体"/>
          <w:kern w:val="0"/>
          <w:sz w:val="24"/>
        </w:rPr>
        <w:t>a</w:t>
      </w:r>
      <w:r>
        <w:rPr>
          <w:rFonts w:ascii="宋体" w:cs="宋体" w:hint="eastAsia"/>
          <w:kern w:val="0"/>
          <w:sz w:val="24"/>
        </w:rPr>
        <w:t>级材质的规定。脚手板厚度不应小于</w:t>
      </w:r>
      <w:r>
        <w:rPr>
          <w:rFonts w:ascii="宋体" w:cs="宋体"/>
          <w:kern w:val="0"/>
          <w:sz w:val="24"/>
        </w:rPr>
        <w:t>50mm</w:t>
      </w:r>
      <w:r>
        <w:rPr>
          <w:rFonts w:ascii="宋体" w:cs="宋体" w:hint="eastAsia"/>
          <w:kern w:val="0"/>
          <w:sz w:val="24"/>
        </w:rPr>
        <w:t>，两端宜各设置</w:t>
      </w:r>
      <w:r>
        <w:rPr>
          <w:rFonts w:ascii="宋体" w:cs="宋体" w:hint="eastAsia"/>
          <w:kern w:val="0"/>
          <w:sz w:val="24"/>
        </w:rPr>
        <w:t>8#</w:t>
      </w:r>
      <w:r>
        <w:rPr>
          <w:rFonts w:ascii="宋体" w:cs="宋体" w:hint="eastAsia"/>
          <w:kern w:val="0"/>
          <w:sz w:val="24"/>
        </w:rPr>
        <w:t>铅丝箍两道。宽度、厚度允许偏差应符合现行国家标准《木结构工程施工质量验收规范》</w:t>
      </w:r>
      <w:r>
        <w:rPr>
          <w:rFonts w:ascii="宋体" w:cs="宋体"/>
          <w:kern w:val="0"/>
          <w:sz w:val="24"/>
        </w:rPr>
        <w:t>GB50206</w:t>
      </w:r>
      <w:r>
        <w:rPr>
          <w:rFonts w:ascii="宋体" w:cs="宋体" w:hint="eastAsia"/>
          <w:kern w:val="0"/>
          <w:sz w:val="24"/>
        </w:rPr>
        <w:t>的规定；不得使用扭曲变形、劈裂、腐朽的脚手板；</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5</w:t>
      </w:r>
      <w:r>
        <w:rPr>
          <w:rFonts w:ascii="宋体" w:cs="宋体" w:hint="eastAsia"/>
          <w:kern w:val="0"/>
          <w:sz w:val="24"/>
        </w:rPr>
        <w:t>）</w:t>
      </w:r>
      <w:r>
        <w:rPr>
          <w:rFonts w:ascii="宋体" w:cs="宋体" w:hint="eastAsia"/>
          <w:kern w:val="0"/>
          <w:sz w:val="24"/>
        </w:rPr>
        <w:t>安全网采用密目式安全立网，应符合下列要求：</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1)</w:t>
      </w:r>
      <w:r>
        <w:rPr>
          <w:rFonts w:ascii="宋体" w:cs="宋体" w:hint="eastAsia"/>
          <w:kern w:val="0"/>
          <w:sz w:val="24"/>
        </w:rPr>
        <w:t>网目密度不低于</w:t>
      </w:r>
      <w:r>
        <w:rPr>
          <w:kern w:val="0"/>
          <w:sz w:val="24"/>
        </w:rPr>
        <w:t>2000</w:t>
      </w:r>
      <w:r>
        <w:rPr>
          <w:rFonts w:ascii="宋体" w:cs="宋体" w:hint="eastAsia"/>
          <w:kern w:val="0"/>
          <w:sz w:val="24"/>
        </w:rPr>
        <w:t>目</w:t>
      </w:r>
      <w:r>
        <w:rPr>
          <w:kern w:val="0"/>
          <w:sz w:val="24"/>
        </w:rPr>
        <w:t>/100c</w:t>
      </w:r>
      <w:r>
        <w:rPr>
          <w:rFonts w:ascii="宋体" w:cs="宋体" w:hint="eastAsia"/>
          <w:kern w:val="0"/>
          <w:sz w:val="24"/>
        </w:rPr>
        <w:t>㎡；</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2)</w:t>
      </w:r>
      <w:r>
        <w:rPr>
          <w:rFonts w:ascii="宋体" w:cs="宋体" w:hint="eastAsia"/>
          <w:kern w:val="0"/>
          <w:sz w:val="24"/>
        </w:rPr>
        <w:t>网体各边缘部位的开眼环扣必须牢固可靠；</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3)</w:t>
      </w:r>
      <w:r>
        <w:rPr>
          <w:rFonts w:ascii="宋体" w:cs="宋体" w:hint="eastAsia"/>
          <w:kern w:val="0"/>
          <w:sz w:val="24"/>
        </w:rPr>
        <w:t>网体缝线不得有跳针、露缝，缝边应均匀；</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4)</w:t>
      </w:r>
      <w:r>
        <w:rPr>
          <w:rFonts w:ascii="宋体" w:cs="宋体" w:hint="eastAsia"/>
          <w:kern w:val="0"/>
          <w:sz w:val="24"/>
        </w:rPr>
        <w:t>一张网体上不得有一个以上的接缝，且接缝部位应端正牢固；</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5)</w:t>
      </w:r>
      <w:r>
        <w:rPr>
          <w:rFonts w:ascii="宋体" w:cs="宋体" w:hint="eastAsia"/>
          <w:kern w:val="0"/>
          <w:sz w:val="24"/>
        </w:rPr>
        <w:t>不得有断沙、破洞、变形及有碍使用的编织缺陷；</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6)</w:t>
      </w:r>
      <w:r>
        <w:rPr>
          <w:rFonts w:ascii="宋体" w:cs="宋体" w:hint="eastAsia"/>
          <w:kern w:val="0"/>
          <w:sz w:val="24"/>
        </w:rPr>
        <w:t>阻燃安全网的续燃、阻燃时间均不得大于</w:t>
      </w:r>
      <w:r>
        <w:rPr>
          <w:kern w:val="0"/>
          <w:sz w:val="24"/>
        </w:rPr>
        <w:t>4s</w:t>
      </w:r>
      <w:r>
        <w:rPr>
          <w:rFonts w:ascii="宋体" w:cs="宋体" w:hint="eastAsia"/>
          <w:kern w:val="0"/>
          <w:sz w:val="24"/>
        </w:rPr>
        <w:t>。使用的安全网必须有产品生产许可证和质量合格证，以及由相关建筑安全监督管理部门发放的准用证；</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7)</w:t>
      </w:r>
      <w:r>
        <w:rPr>
          <w:rFonts w:ascii="宋体" w:cs="宋体" w:hint="eastAsia"/>
          <w:kern w:val="0"/>
          <w:sz w:val="24"/>
        </w:rPr>
        <w:t>做耐贯穿试验不穿透，</w:t>
      </w:r>
      <w:r>
        <w:rPr>
          <w:kern w:val="0"/>
          <w:sz w:val="24"/>
        </w:rPr>
        <w:t>6×1.8</w:t>
      </w:r>
      <w:r>
        <w:rPr>
          <w:kern w:val="0"/>
          <w:sz w:val="24"/>
        </w:rPr>
        <w:t>m</w:t>
      </w:r>
      <w:r>
        <w:rPr>
          <w:rFonts w:ascii="宋体" w:cs="宋体" w:hint="eastAsia"/>
          <w:kern w:val="0"/>
          <w:sz w:val="24"/>
        </w:rPr>
        <w:t>的单张网重量在</w:t>
      </w:r>
      <w:r>
        <w:rPr>
          <w:kern w:val="0"/>
          <w:sz w:val="24"/>
        </w:rPr>
        <w:t>3kg</w:t>
      </w:r>
      <w:r>
        <w:rPr>
          <w:rFonts w:ascii="宋体" w:cs="宋体" w:hint="eastAsia"/>
          <w:kern w:val="0"/>
          <w:sz w:val="24"/>
        </w:rPr>
        <w:t>以上；</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8)</w:t>
      </w:r>
      <w:r>
        <w:rPr>
          <w:rFonts w:ascii="宋体" w:cs="宋体" w:hint="eastAsia"/>
          <w:kern w:val="0"/>
          <w:sz w:val="24"/>
        </w:rPr>
        <w:t>颜色应满足环境效果要求，选用绿色；</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6</w:t>
      </w:r>
      <w:r>
        <w:rPr>
          <w:rFonts w:ascii="宋体" w:cs="宋体" w:hint="eastAsia"/>
          <w:kern w:val="0"/>
          <w:sz w:val="24"/>
        </w:rPr>
        <w:t>）</w:t>
      </w:r>
      <w:r>
        <w:rPr>
          <w:rFonts w:ascii="宋体" w:cs="宋体" w:hint="eastAsia"/>
          <w:kern w:val="0"/>
          <w:sz w:val="24"/>
        </w:rPr>
        <w:t>连</w:t>
      </w:r>
      <w:r>
        <w:rPr>
          <w:rFonts w:ascii="宋体" w:cs="宋体" w:hint="eastAsia"/>
          <w:color w:val="000000"/>
          <w:kern w:val="0"/>
          <w:sz w:val="24"/>
        </w:rPr>
        <w:t>墙件材料采用膨胀螺栓制</w:t>
      </w:r>
      <w:r>
        <w:rPr>
          <w:rFonts w:ascii="宋体" w:cs="宋体" w:hint="eastAsia"/>
          <w:kern w:val="0"/>
          <w:sz w:val="24"/>
        </w:rPr>
        <w:t>作</w:t>
      </w:r>
      <w:r>
        <w:rPr>
          <w:rFonts w:ascii="宋体" w:cs="宋体" w:hint="eastAsia"/>
          <w:color w:val="000000"/>
          <w:kern w:val="0"/>
          <w:sz w:val="24"/>
        </w:rPr>
        <w:t>，其材质应符合现行国家标准《碳素钢结构》</w:t>
      </w:r>
      <w:r>
        <w:rPr>
          <w:color w:val="000000"/>
          <w:kern w:val="0"/>
          <w:sz w:val="24"/>
        </w:rPr>
        <w:t>GB/T700</w:t>
      </w:r>
      <w:r>
        <w:rPr>
          <w:rFonts w:ascii="宋体" w:cs="宋体" w:hint="eastAsia"/>
          <w:color w:val="000000"/>
          <w:kern w:val="0"/>
          <w:sz w:val="24"/>
        </w:rPr>
        <w:t>中</w:t>
      </w:r>
      <w:r>
        <w:rPr>
          <w:color w:val="000000"/>
          <w:kern w:val="0"/>
          <w:sz w:val="24"/>
        </w:rPr>
        <w:t>Q235</w:t>
      </w:r>
      <w:r>
        <w:rPr>
          <w:rFonts w:ascii="宋体" w:cs="宋体" w:hint="eastAsia"/>
          <w:color w:val="000000"/>
          <w:kern w:val="0"/>
          <w:sz w:val="24"/>
        </w:rPr>
        <w:t>级钢或《低合金高强度结构钢》</w:t>
      </w:r>
      <w:r>
        <w:rPr>
          <w:color w:val="000000"/>
          <w:kern w:val="0"/>
          <w:sz w:val="24"/>
        </w:rPr>
        <w:t>GB/T1591</w:t>
      </w:r>
      <w:r>
        <w:rPr>
          <w:rFonts w:ascii="宋体" w:cs="宋体" w:hint="eastAsia"/>
          <w:color w:val="000000"/>
          <w:kern w:val="0"/>
          <w:sz w:val="24"/>
        </w:rPr>
        <w:t>中</w:t>
      </w:r>
      <w:r>
        <w:rPr>
          <w:color w:val="000000"/>
          <w:kern w:val="0"/>
          <w:sz w:val="24"/>
        </w:rPr>
        <w:t>Q345</w:t>
      </w:r>
      <w:r>
        <w:rPr>
          <w:rFonts w:ascii="宋体" w:cs="宋体" w:hint="eastAsia"/>
          <w:color w:val="000000"/>
          <w:kern w:val="0"/>
          <w:sz w:val="24"/>
        </w:rPr>
        <w:t>级钢的规定。</w:t>
      </w:r>
    </w:p>
    <w:p w:rsidR="005F7985">
      <w:pPr>
        <w:pStyle w:val="Normal0"/>
        <w:autoSpaceDE w:val="0"/>
        <w:autoSpaceDN w:val="0"/>
        <w:adjustRightInd w:val="0"/>
        <w:spacing w:line="360" w:lineRule="auto"/>
        <w:ind w:firstLine="480" w:firstLineChars="200"/>
        <w:jc w:val="left"/>
        <w:rPr>
          <w:color w:val="000000"/>
          <w:kern w:val="0"/>
          <w:sz w:val="24"/>
        </w:rPr>
      </w:pPr>
      <w:r>
        <w:rPr>
          <w:color w:val="000000"/>
          <w:kern w:val="0"/>
          <w:sz w:val="24"/>
        </w:rPr>
        <w:t>主要材料参数表</w:t>
      </w:r>
    </w:p>
    <w:p w:rsidR="005F7985">
      <w:pPr>
        <w:pStyle w:val="Normal0"/>
        <w:autoSpaceDE w:val="0"/>
        <w:autoSpaceDN w:val="0"/>
        <w:adjustRightInd w:val="0"/>
        <w:spacing w:line="360" w:lineRule="auto"/>
        <w:jc w:val="left"/>
        <w:rPr>
          <w:color w:val="000000"/>
          <w:kern w:val="0"/>
          <w:sz w:val="24"/>
        </w:rPr>
      </w:pPr>
      <w:r>
        <w:rPr>
          <w:rFonts w:hint="eastAsia"/>
          <w:color w:val="000000"/>
          <w:kern w:val="0"/>
          <w:sz w:val="24"/>
        </w:rPr>
        <w:t xml:space="preserve">                              </w:t>
      </w:r>
      <w:r>
        <w:rPr>
          <w:color w:val="000000"/>
          <w:kern w:val="0"/>
          <w:sz w:val="24"/>
        </w:rPr>
        <w:t>扣件式脚手架</w:t>
      </w:r>
    </w:p>
    <w:tbl>
      <w:tblPr>
        <w:tblStyle w:val="TableNormal"/>
        <w:tblW w:w="0" w:type="auto"/>
        <w:tblCellSpacing w:w="0" w:type="dxa"/>
        <w:tblInd w:w="105" w:type="dxa"/>
        <w:tblLayout w:type="fixed"/>
        <w:tblCellMar>
          <w:left w:w="105" w:type="dxa"/>
          <w:right w:w="105" w:type="dxa"/>
        </w:tblCellMar>
        <w:tblLook w:val="0000"/>
      </w:tblPr>
      <w:tblGrid>
        <w:gridCol w:w="963"/>
        <w:gridCol w:w="2351"/>
        <w:gridCol w:w="2738"/>
        <w:gridCol w:w="675"/>
        <w:gridCol w:w="1035"/>
        <w:gridCol w:w="1695"/>
      </w:tblGrid>
      <w:tr>
        <w:tblPrEx>
          <w:tblW w:w="0" w:type="auto"/>
          <w:tblCellSpacing w:w="0" w:type="dxa"/>
          <w:tblInd w:w="105" w:type="dxa"/>
          <w:tblLayout w:type="fixed"/>
          <w:tblCellMar>
            <w:left w:w="105" w:type="dxa"/>
            <w:right w:w="105" w:type="dxa"/>
          </w:tblCellMar>
          <w:tblLook w:val="0000"/>
        </w:tblPrEx>
        <w:trPr>
          <w:trHeight w:val="481"/>
          <w:tblCellSpacing w:w="0" w:type="dxa"/>
        </w:trPr>
        <w:tc>
          <w:tcPr>
            <w:tcW w:w="963"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名称</w:t>
            </w:r>
          </w:p>
        </w:tc>
        <w:tc>
          <w:tcPr>
            <w:tcW w:w="2351"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规格</w:t>
            </w:r>
          </w:p>
        </w:tc>
        <w:tc>
          <w:tcPr>
            <w:tcW w:w="2738"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用途</w:t>
            </w:r>
          </w:p>
        </w:tc>
        <w:tc>
          <w:tcPr>
            <w:tcW w:w="67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单位</w:t>
            </w:r>
          </w:p>
        </w:tc>
        <w:tc>
          <w:tcPr>
            <w:tcW w:w="103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总需用量</w:t>
            </w:r>
          </w:p>
        </w:tc>
        <w:tc>
          <w:tcPr>
            <w:tcW w:w="169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备注</w:t>
            </w:r>
          </w:p>
        </w:tc>
      </w:tr>
      <w:tr>
        <w:tblPrEx>
          <w:tblW w:w="0" w:type="auto"/>
          <w:tblCellSpacing w:w="0" w:type="dxa"/>
          <w:tblInd w:w="105" w:type="dxa"/>
          <w:tblLayout w:type="fixed"/>
          <w:tblCellMar>
            <w:left w:w="105" w:type="dxa"/>
            <w:right w:w="105" w:type="dxa"/>
          </w:tblCellMar>
          <w:tblLook w:val="0000"/>
        </w:tblPrEx>
        <w:trPr>
          <w:trHeight w:val="468"/>
          <w:tblCellSpacing w:w="0" w:type="dxa"/>
        </w:trPr>
        <w:tc>
          <w:tcPr>
            <w:tcW w:w="963" w:type="dxa"/>
            <w:vMerge w:val="restart"/>
            <w:tcBorders>
              <w:top w:val="single" w:sz="6" w:space="0" w:color="000000"/>
              <w:left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钢管</w:t>
            </w:r>
          </w:p>
        </w:tc>
        <w:tc>
          <w:tcPr>
            <w:tcW w:w="2351"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color w:val="000000"/>
                <w:kern w:val="0"/>
                <w:sz w:val="24"/>
              </w:rPr>
            </w:pPr>
            <w:r>
              <w:rPr>
                <w:color w:val="000000"/>
                <w:kern w:val="0"/>
                <w:sz w:val="24"/>
              </w:rPr>
              <w:t>6m</w:t>
            </w:r>
            <w:r>
              <w:rPr>
                <w:rFonts w:ascii="宋体" w:cs="宋体" w:hint="eastAsia"/>
                <w:color w:val="000000"/>
                <w:kern w:val="0"/>
                <w:sz w:val="24"/>
              </w:rPr>
              <w:t>φ</w:t>
            </w:r>
            <w:r>
              <w:rPr>
                <w:color w:val="000000"/>
                <w:kern w:val="0"/>
                <w:sz w:val="24"/>
              </w:rPr>
              <w:t>48.3mm</w:t>
            </w:r>
            <w:r>
              <w:rPr>
                <w:rFonts w:ascii="宋体" w:cs="宋体" w:hint="eastAsia"/>
                <w:color w:val="000000"/>
                <w:kern w:val="0"/>
                <w:sz w:val="24"/>
              </w:rPr>
              <w:t>×</w:t>
            </w:r>
            <w:r>
              <w:rPr>
                <w:color w:val="000000"/>
                <w:kern w:val="0"/>
                <w:sz w:val="24"/>
              </w:rPr>
              <w:t>3.</w:t>
            </w:r>
            <w:r>
              <w:rPr>
                <w:rFonts w:hint="eastAsia"/>
                <w:color w:val="000000"/>
                <w:kern w:val="0"/>
                <w:sz w:val="24"/>
              </w:rPr>
              <w:t>6</w:t>
            </w:r>
            <w:r>
              <w:rPr>
                <w:color w:val="000000"/>
                <w:kern w:val="0"/>
                <w:sz w:val="24"/>
              </w:rPr>
              <w:t>mm</w:t>
            </w:r>
          </w:p>
        </w:tc>
        <w:tc>
          <w:tcPr>
            <w:tcW w:w="2738"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纵向水平杆、立杆、剪刀撑</w:t>
            </w:r>
          </w:p>
        </w:tc>
        <w:tc>
          <w:tcPr>
            <w:tcW w:w="67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根</w:t>
            </w:r>
          </w:p>
        </w:tc>
        <w:tc>
          <w:tcPr>
            <w:tcW w:w="103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color w:val="000000"/>
                <w:kern w:val="0"/>
                <w:sz w:val="24"/>
              </w:rPr>
            </w:pPr>
          </w:p>
        </w:tc>
        <w:tc>
          <w:tcPr>
            <w:tcW w:w="169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租赁</w:t>
            </w:r>
          </w:p>
        </w:tc>
      </w:tr>
      <w:tr>
        <w:tblPrEx>
          <w:tblW w:w="0" w:type="auto"/>
          <w:tblCellSpacing w:w="0" w:type="dxa"/>
          <w:tblInd w:w="105" w:type="dxa"/>
          <w:tblLayout w:type="fixed"/>
          <w:tblCellMar>
            <w:left w:w="105" w:type="dxa"/>
            <w:right w:w="105" w:type="dxa"/>
          </w:tblCellMar>
          <w:tblLook w:val="0000"/>
        </w:tblPrEx>
        <w:trPr>
          <w:trHeight w:val="468"/>
          <w:tblCellSpacing w:w="0" w:type="dxa"/>
        </w:trPr>
        <w:tc>
          <w:tcPr>
            <w:tcW w:w="963" w:type="dxa"/>
            <w:vMerge/>
            <w:tcBorders>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pPr>
          </w:p>
        </w:tc>
        <w:tc>
          <w:tcPr>
            <w:tcW w:w="2351"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color w:val="000000"/>
                <w:kern w:val="0"/>
                <w:sz w:val="24"/>
              </w:rPr>
            </w:pPr>
            <w:r>
              <w:rPr>
                <w:rFonts w:hint="eastAsia"/>
                <w:color w:val="000000"/>
                <w:kern w:val="0"/>
                <w:sz w:val="24"/>
              </w:rPr>
              <w:t>3.5</w:t>
            </w:r>
            <w:r>
              <w:rPr>
                <w:color w:val="000000"/>
                <w:kern w:val="0"/>
                <w:sz w:val="24"/>
              </w:rPr>
              <w:t>m</w:t>
            </w:r>
            <w:r>
              <w:rPr>
                <w:rFonts w:ascii="宋体" w:cs="宋体" w:hint="eastAsia"/>
                <w:color w:val="000000"/>
                <w:kern w:val="0"/>
                <w:sz w:val="24"/>
              </w:rPr>
              <w:t>φ</w:t>
            </w:r>
            <w:r>
              <w:rPr>
                <w:color w:val="000000"/>
                <w:kern w:val="0"/>
                <w:sz w:val="24"/>
              </w:rPr>
              <w:t>48.3mm</w:t>
            </w:r>
            <w:r>
              <w:rPr>
                <w:rFonts w:ascii="宋体" w:cs="宋体" w:hint="eastAsia"/>
                <w:color w:val="000000"/>
                <w:kern w:val="0"/>
                <w:sz w:val="24"/>
              </w:rPr>
              <w:t>×</w:t>
            </w:r>
            <w:r>
              <w:rPr>
                <w:color w:val="000000"/>
                <w:kern w:val="0"/>
                <w:sz w:val="24"/>
              </w:rPr>
              <w:t>3.</w:t>
            </w:r>
            <w:r>
              <w:rPr>
                <w:rFonts w:hint="eastAsia"/>
                <w:color w:val="000000"/>
                <w:kern w:val="0"/>
                <w:sz w:val="24"/>
              </w:rPr>
              <w:t>6</w:t>
            </w:r>
            <w:r>
              <w:rPr>
                <w:color w:val="000000"/>
                <w:kern w:val="0"/>
                <w:sz w:val="24"/>
              </w:rPr>
              <w:t>mm</w:t>
            </w:r>
          </w:p>
        </w:tc>
        <w:tc>
          <w:tcPr>
            <w:tcW w:w="2738"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color w:val="000000"/>
                <w:kern w:val="0"/>
                <w:sz w:val="24"/>
              </w:rPr>
            </w:pPr>
            <w:r>
              <w:rPr>
                <w:rFonts w:ascii="宋体" w:cs="宋体" w:hint="eastAsia"/>
                <w:color w:val="000000"/>
                <w:kern w:val="0"/>
                <w:sz w:val="24"/>
              </w:rPr>
              <w:t>纵向水平杆、立杆、剪刀撑</w:t>
            </w:r>
          </w:p>
        </w:tc>
        <w:tc>
          <w:tcPr>
            <w:tcW w:w="67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color w:val="000000"/>
                <w:kern w:val="0"/>
                <w:sz w:val="24"/>
              </w:rPr>
            </w:pPr>
            <w:r>
              <w:rPr>
                <w:rFonts w:ascii="宋体" w:cs="宋体" w:hint="eastAsia"/>
                <w:color w:val="000000"/>
                <w:kern w:val="0"/>
                <w:sz w:val="24"/>
              </w:rPr>
              <w:t>根</w:t>
            </w:r>
          </w:p>
        </w:tc>
        <w:tc>
          <w:tcPr>
            <w:tcW w:w="103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color w:val="000000"/>
                <w:kern w:val="0"/>
                <w:sz w:val="24"/>
              </w:rPr>
            </w:pPr>
          </w:p>
        </w:tc>
        <w:tc>
          <w:tcPr>
            <w:tcW w:w="169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color w:val="000000"/>
                <w:kern w:val="0"/>
                <w:sz w:val="24"/>
              </w:rPr>
            </w:pPr>
            <w:r>
              <w:rPr>
                <w:rFonts w:ascii="宋体" w:cs="宋体" w:hint="eastAsia"/>
                <w:color w:val="000000"/>
                <w:kern w:val="0"/>
                <w:sz w:val="24"/>
              </w:rPr>
              <w:t>租赁</w:t>
            </w:r>
          </w:p>
        </w:tc>
      </w:tr>
      <w:tr>
        <w:tblPrEx>
          <w:tblW w:w="0" w:type="auto"/>
          <w:tblCellSpacing w:w="0" w:type="dxa"/>
          <w:tblInd w:w="105" w:type="dxa"/>
          <w:tblLayout w:type="fixed"/>
          <w:tblCellMar>
            <w:left w:w="105" w:type="dxa"/>
            <w:right w:w="105" w:type="dxa"/>
          </w:tblCellMar>
          <w:tblLook w:val="0000"/>
        </w:tblPrEx>
        <w:trPr>
          <w:trHeight w:val="481"/>
          <w:tblCellSpacing w:w="0" w:type="dxa"/>
        </w:trPr>
        <w:tc>
          <w:tcPr>
            <w:tcW w:w="963" w:type="dxa"/>
            <w:vMerge/>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jc w:val="left"/>
              <w:rPr>
                <w:color w:val="000000"/>
                <w:kern w:val="0"/>
                <w:sz w:val="24"/>
              </w:rPr>
            </w:pPr>
          </w:p>
        </w:tc>
        <w:tc>
          <w:tcPr>
            <w:tcW w:w="2351"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color w:val="000000"/>
                <w:kern w:val="0"/>
                <w:sz w:val="24"/>
              </w:rPr>
            </w:pPr>
            <w:r>
              <w:rPr>
                <w:color w:val="000000"/>
                <w:kern w:val="0"/>
                <w:sz w:val="24"/>
              </w:rPr>
              <w:t>1.5m</w:t>
            </w:r>
            <w:r>
              <w:rPr>
                <w:rFonts w:ascii="宋体" w:cs="宋体" w:hint="eastAsia"/>
                <w:color w:val="000000"/>
                <w:kern w:val="0"/>
                <w:sz w:val="24"/>
              </w:rPr>
              <w:t>φ</w:t>
            </w:r>
            <w:r>
              <w:rPr>
                <w:color w:val="000000"/>
                <w:kern w:val="0"/>
                <w:sz w:val="24"/>
              </w:rPr>
              <w:t>48.3mm</w:t>
            </w:r>
            <w:r>
              <w:rPr>
                <w:rFonts w:ascii="宋体" w:cs="宋体" w:hint="eastAsia"/>
                <w:color w:val="000000"/>
                <w:kern w:val="0"/>
                <w:sz w:val="24"/>
              </w:rPr>
              <w:t>×</w:t>
            </w:r>
            <w:r>
              <w:rPr>
                <w:color w:val="000000"/>
                <w:kern w:val="0"/>
                <w:sz w:val="24"/>
              </w:rPr>
              <w:t>3.</w:t>
            </w:r>
            <w:r>
              <w:rPr>
                <w:rFonts w:hint="eastAsia"/>
                <w:color w:val="000000"/>
                <w:kern w:val="0"/>
                <w:sz w:val="24"/>
              </w:rPr>
              <w:t>6</w:t>
            </w:r>
            <w:r>
              <w:rPr>
                <w:color w:val="000000"/>
                <w:kern w:val="0"/>
                <w:sz w:val="24"/>
              </w:rPr>
              <w:t>mm</w:t>
            </w:r>
          </w:p>
        </w:tc>
        <w:tc>
          <w:tcPr>
            <w:tcW w:w="2738"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横向水平杆、连墙件</w:t>
            </w:r>
          </w:p>
        </w:tc>
        <w:tc>
          <w:tcPr>
            <w:tcW w:w="67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根</w:t>
            </w:r>
          </w:p>
        </w:tc>
        <w:tc>
          <w:tcPr>
            <w:tcW w:w="103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color w:val="000000"/>
                <w:kern w:val="0"/>
                <w:sz w:val="24"/>
              </w:rPr>
            </w:pPr>
          </w:p>
        </w:tc>
        <w:tc>
          <w:tcPr>
            <w:tcW w:w="169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租赁</w:t>
            </w:r>
          </w:p>
        </w:tc>
      </w:tr>
      <w:tr>
        <w:tblPrEx>
          <w:tblW w:w="0" w:type="auto"/>
          <w:tblCellSpacing w:w="0" w:type="dxa"/>
          <w:tblInd w:w="105" w:type="dxa"/>
          <w:tblLayout w:type="fixed"/>
          <w:tblCellMar>
            <w:left w:w="105" w:type="dxa"/>
            <w:right w:w="105" w:type="dxa"/>
          </w:tblCellMar>
          <w:tblLook w:val="0000"/>
        </w:tblPrEx>
        <w:trPr>
          <w:trHeight w:val="921"/>
          <w:tblCellSpacing w:w="0" w:type="dxa"/>
        </w:trPr>
        <w:tc>
          <w:tcPr>
            <w:tcW w:w="963"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木脚手板</w:t>
            </w:r>
          </w:p>
        </w:tc>
        <w:tc>
          <w:tcPr>
            <w:tcW w:w="2351"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color w:val="000000"/>
                <w:kern w:val="0"/>
                <w:sz w:val="24"/>
              </w:rPr>
            </w:pPr>
            <w:r>
              <w:rPr>
                <w:rFonts w:hint="eastAsia"/>
                <w:color w:val="000000"/>
                <w:kern w:val="0"/>
                <w:sz w:val="24"/>
              </w:rPr>
              <w:t>4</w:t>
            </w:r>
            <w:r>
              <w:rPr>
                <w:color w:val="000000"/>
                <w:kern w:val="0"/>
                <w:sz w:val="24"/>
              </w:rPr>
              <w:t>000mm</w:t>
            </w:r>
            <w:r>
              <w:rPr>
                <w:rFonts w:ascii="宋体" w:cs="宋体" w:hint="eastAsia"/>
                <w:color w:val="000000"/>
                <w:kern w:val="0"/>
                <w:sz w:val="24"/>
              </w:rPr>
              <w:t>×</w:t>
            </w:r>
            <w:r>
              <w:rPr>
                <w:color w:val="000000"/>
                <w:kern w:val="0"/>
                <w:sz w:val="24"/>
              </w:rPr>
              <w:t>200mm</w:t>
            </w:r>
            <w:r>
              <w:rPr>
                <w:rFonts w:ascii="宋体" w:cs="宋体" w:hint="eastAsia"/>
                <w:color w:val="000000"/>
                <w:kern w:val="0"/>
                <w:sz w:val="24"/>
              </w:rPr>
              <w:t>×</w:t>
            </w:r>
            <w:r>
              <w:rPr>
                <w:color w:val="000000"/>
                <w:kern w:val="0"/>
                <w:sz w:val="24"/>
              </w:rPr>
              <w:t>50mm</w:t>
            </w:r>
          </w:p>
        </w:tc>
        <w:tc>
          <w:tcPr>
            <w:tcW w:w="2738"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脚手板与基础垫板</w:t>
            </w:r>
          </w:p>
        </w:tc>
        <w:tc>
          <w:tcPr>
            <w:tcW w:w="67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块</w:t>
            </w:r>
          </w:p>
        </w:tc>
        <w:tc>
          <w:tcPr>
            <w:tcW w:w="103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color w:val="000000"/>
                <w:kern w:val="0"/>
                <w:sz w:val="24"/>
              </w:rPr>
            </w:pPr>
          </w:p>
        </w:tc>
        <w:tc>
          <w:tcPr>
            <w:tcW w:w="169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租赁</w:t>
            </w:r>
          </w:p>
        </w:tc>
      </w:tr>
      <w:tr>
        <w:tblPrEx>
          <w:tblW w:w="0" w:type="auto"/>
          <w:tblCellSpacing w:w="0" w:type="dxa"/>
          <w:tblInd w:w="105" w:type="dxa"/>
          <w:tblLayout w:type="fixed"/>
          <w:tblCellMar>
            <w:left w:w="105" w:type="dxa"/>
            <w:right w:w="105" w:type="dxa"/>
          </w:tblCellMar>
          <w:tblLook w:val="0000"/>
        </w:tblPrEx>
        <w:trPr>
          <w:trHeight w:val="481"/>
          <w:tblCellSpacing w:w="0" w:type="dxa"/>
        </w:trPr>
        <w:tc>
          <w:tcPr>
            <w:tcW w:w="963"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扣件</w:t>
            </w:r>
          </w:p>
        </w:tc>
        <w:tc>
          <w:tcPr>
            <w:tcW w:w="2351"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ind w:firstLine="840"/>
              <w:rPr>
                <w:rFonts w:ascii="宋体" w:cs="宋体"/>
                <w:color w:val="000000"/>
                <w:kern w:val="0"/>
                <w:sz w:val="24"/>
              </w:rPr>
            </w:pPr>
          </w:p>
        </w:tc>
        <w:tc>
          <w:tcPr>
            <w:tcW w:w="2738"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各杆件的连接</w:t>
            </w:r>
          </w:p>
        </w:tc>
        <w:tc>
          <w:tcPr>
            <w:tcW w:w="67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个</w:t>
            </w:r>
          </w:p>
        </w:tc>
        <w:tc>
          <w:tcPr>
            <w:tcW w:w="103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color w:val="000000"/>
                <w:kern w:val="0"/>
                <w:sz w:val="24"/>
              </w:rPr>
            </w:pPr>
          </w:p>
        </w:tc>
        <w:tc>
          <w:tcPr>
            <w:tcW w:w="169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租赁</w:t>
            </w:r>
          </w:p>
        </w:tc>
      </w:tr>
      <w:tr>
        <w:tblPrEx>
          <w:tblW w:w="0" w:type="auto"/>
          <w:tblCellSpacing w:w="0" w:type="dxa"/>
          <w:tblInd w:w="105" w:type="dxa"/>
          <w:tblLayout w:type="fixed"/>
          <w:tblCellMar>
            <w:left w:w="105" w:type="dxa"/>
            <w:right w:w="105" w:type="dxa"/>
          </w:tblCellMar>
          <w:tblLook w:val="0000"/>
        </w:tblPrEx>
        <w:trPr>
          <w:trHeight w:val="481"/>
          <w:tblCellSpacing w:w="0" w:type="dxa"/>
        </w:trPr>
        <w:tc>
          <w:tcPr>
            <w:tcW w:w="963"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安全网</w:t>
            </w:r>
          </w:p>
        </w:tc>
        <w:tc>
          <w:tcPr>
            <w:tcW w:w="2351"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color w:val="000000"/>
                <w:kern w:val="0"/>
                <w:sz w:val="24"/>
              </w:rPr>
              <w:t>6m</w:t>
            </w:r>
            <w:r>
              <w:rPr>
                <w:rFonts w:ascii="宋体" w:cs="宋体" w:hint="eastAsia"/>
                <w:color w:val="000000"/>
                <w:kern w:val="0"/>
                <w:sz w:val="24"/>
              </w:rPr>
              <w:t>×</w:t>
            </w:r>
            <w:r>
              <w:rPr>
                <w:color w:val="000000"/>
                <w:kern w:val="0"/>
                <w:sz w:val="24"/>
              </w:rPr>
              <w:t>1.</w:t>
            </w:r>
            <w:r>
              <w:rPr>
                <w:rFonts w:hint="eastAsia"/>
                <w:color w:val="000000"/>
                <w:kern w:val="0"/>
                <w:sz w:val="24"/>
              </w:rPr>
              <w:t>8</w:t>
            </w:r>
            <w:r>
              <w:rPr>
                <w:color w:val="000000"/>
                <w:kern w:val="0"/>
                <w:sz w:val="24"/>
              </w:rPr>
              <w:t>m2000</w:t>
            </w:r>
            <w:r>
              <w:rPr>
                <w:rFonts w:ascii="宋体" w:cs="宋体" w:hint="eastAsia"/>
                <w:color w:val="000000"/>
                <w:kern w:val="0"/>
                <w:sz w:val="24"/>
              </w:rPr>
              <w:t>目</w:t>
            </w:r>
          </w:p>
        </w:tc>
        <w:tc>
          <w:tcPr>
            <w:tcW w:w="2738"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防护</w:t>
            </w:r>
          </w:p>
        </w:tc>
        <w:tc>
          <w:tcPr>
            <w:tcW w:w="67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张</w:t>
            </w:r>
          </w:p>
        </w:tc>
        <w:tc>
          <w:tcPr>
            <w:tcW w:w="103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color w:val="000000"/>
                <w:kern w:val="0"/>
                <w:sz w:val="24"/>
              </w:rPr>
            </w:pPr>
          </w:p>
        </w:tc>
        <w:tc>
          <w:tcPr>
            <w:tcW w:w="1695" w:type="dxa"/>
            <w:tcBorders>
              <w:top w:val="single" w:sz="6" w:space="0" w:color="000000"/>
              <w:left w:val="single" w:sz="6" w:space="0" w:color="000000"/>
              <w:bottom w:val="single" w:sz="6" w:space="0" w:color="000000"/>
              <w:right w:val="single" w:sz="6" w:space="0" w:color="000000"/>
            </w:tcBorders>
          </w:tcPr>
          <w:p w:rsidR="005F7985">
            <w:pPr>
              <w:pStyle w:val="Normal0"/>
              <w:autoSpaceDE w:val="0"/>
              <w:autoSpaceDN w:val="0"/>
              <w:adjustRightInd w:val="0"/>
              <w:spacing w:line="360" w:lineRule="auto"/>
              <w:rPr>
                <w:rFonts w:ascii="宋体" w:cs="宋体"/>
                <w:color w:val="000000"/>
                <w:kern w:val="0"/>
                <w:sz w:val="24"/>
              </w:rPr>
            </w:pPr>
            <w:r>
              <w:rPr>
                <w:rFonts w:ascii="宋体" w:cs="宋体" w:hint="eastAsia"/>
                <w:color w:val="000000"/>
                <w:kern w:val="0"/>
                <w:sz w:val="24"/>
              </w:rPr>
              <w:t>采购</w:t>
            </w:r>
          </w:p>
        </w:tc>
      </w:tr>
    </w:tbl>
    <w:p w:rsidR="005F7985">
      <w:pPr>
        <w:pStyle w:val="Normal0"/>
        <w:autoSpaceDE w:val="0"/>
        <w:autoSpaceDN w:val="0"/>
        <w:adjustRightInd w:val="0"/>
        <w:spacing w:line="360" w:lineRule="auto"/>
        <w:jc w:val="left"/>
        <w:rPr>
          <w:color w:val="000000"/>
          <w:kern w:val="0"/>
          <w:sz w:val="24"/>
        </w:rPr>
      </w:pPr>
    </w:p>
    <w:p w:rsidR="005F7985">
      <w:pPr>
        <w:pStyle w:val="Normal0"/>
        <w:autoSpaceDE w:val="0"/>
        <w:autoSpaceDN w:val="0"/>
        <w:adjustRightInd w:val="0"/>
        <w:spacing w:line="360" w:lineRule="auto"/>
        <w:jc w:val="left"/>
        <w:rPr>
          <w:color w:val="000000"/>
          <w:kern w:val="0"/>
          <w:sz w:val="24"/>
        </w:rPr>
      </w:pPr>
    </w:p>
    <w:p w:rsidR="005F7985">
      <w:pPr>
        <w:pStyle w:val="Heading2"/>
        <w:ind w:left="0"/>
        <w:sectPr>
          <w:type w:val="nextPage"/>
          <w:pgSz w:w="11906" w:h="16838"/>
          <w:pgMar w:top="1287" w:right="1152" w:bottom="1271" w:left="1094" w:header="851" w:footer="312" w:gutter="0"/>
          <w:pgNumType w:fmt="numberInDash" w:start="4"/>
          <w:cols w:space="708"/>
          <w:titlePg w:val="0"/>
          <w:docGrid w:type="lines" w:linePitch="312"/>
        </w:sectPr>
      </w:pPr>
      <w:bookmarkStart w:id="63" w:name="_Toc15637"/>
      <w:bookmarkStart w:id="64" w:name="_Toc454430404"/>
      <w:bookmarkStart w:id="65" w:name="_Toc29984"/>
      <w:bookmarkStart w:id="66" w:name="_Toc14512"/>
      <w:bookmarkStart w:id="67" w:name="_Toc7010"/>
      <w:r>
        <w:rPr>
          <w:rFonts w:hint="eastAsia"/>
        </w:rPr>
        <w:t>施工工艺</w:t>
      </w:r>
      <w:bookmarkEnd w:id="63"/>
      <w:bookmarkEnd w:id="64"/>
      <w:bookmarkEnd w:id="65"/>
      <w:bookmarkEnd w:id="66"/>
      <w:bookmarkEnd w:id="67"/>
    </w:p>
    <w:p w:rsidR="005F7985">
      <w:pPr>
        <w:pStyle w:val="Heading3"/>
      </w:pPr>
      <w:bookmarkStart w:id="68" w:name="_Toc14995"/>
      <w:bookmarkStart w:id="69" w:name="_Toc454430405"/>
      <w:bookmarkStart w:id="70" w:name="_Toc20751"/>
      <w:bookmarkStart w:id="71" w:name="_Toc7505"/>
      <w:bookmarkStart w:id="72" w:name="_Toc23857"/>
      <w:r>
        <w:rPr>
          <w:rFonts w:hint="eastAsia"/>
        </w:rPr>
        <w:t>技术参数</w:t>
      </w:r>
      <w:bookmarkEnd w:id="68"/>
      <w:bookmarkEnd w:id="69"/>
      <w:bookmarkEnd w:id="70"/>
      <w:bookmarkEnd w:id="71"/>
      <w:bookmarkEnd w:id="72"/>
    </w:p>
    <w:p w:rsidR="005F7985">
      <w:pPr>
        <w:pStyle w:val="Normal0"/>
        <w:autoSpaceDE w:val="0"/>
        <w:autoSpaceDN w:val="0"/>
        <w:adjustRightInd w:val="0"/>
        <w:spacing w:line="360" w:lineRule="auto"/>
        <w:jc w:val="left"/>
        <w:rPr>
          <w:color w:val="000000"/>
          <w:kern w:val="0"/>
          <w:sz w:val="24"/>
        </w:rPr>
      </w:pPr>
      <w:r>
        <w:rPr>
          <w:color w:val="000000"/>
          <w:kern w:val="0"/>
          <w:sz w:val="24"/>
        </w:rPr>
        <w:t>【扣件式脚手架】</w:t>
      </w:r>
    </w:p>
    <w:tbl>
      <w:tblPr>
        <w:tblStyle w:val="TableNormal"/>
        <w:tblW w:w="0" w:type="auto"/>
        <w:jc w:val="center"/>
        <w:tblCellSpacing w:w="0" w:type="dxa"/>
        <w:tblLayout w:type="fixed"/>
        <w:tblCellMar>
          <w:top w:w="45" w:type="dxa"/>
          <w:left w:w="45" w:type="dxa"/>
          <w:bottom w:w="45" w:type="dxa"/>
          <w:right w:w="45" w:type="dxa"/>
        </w:tblCellMar>
        <w:tblLook w:val="0000"/>
      </w:tblPr>
      <w:tblGrid>
        <w:gridCol w:w="2471"/>
        <w:gridCol w:w="1628"/>
        <w:gridCol w:w="3052"/>
        <w:gridCol w:w="2137"/>
      </w:tblGrid>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471"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脚手架排数</w:t>
            </w:r>
          </w:p>
        </w:tc>
        <w:tc>
          <w:tcPr>
            <w:tcW w:w="1628"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双排脚手架</w:t>
            </w:r>
          </w:p>
        </w:tc>
        <w:tc>
          <w:tcPr>
            <w:tcW w:w="3052"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纵、横向水平杆布置方式</w:t>
            </w:r>
          </w:p>
        </w:tc>
        <w:tc>
          <w:tcPr>
            <w:tcW w:w="2137"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纵向水平杆在上</w:t>
            </w:r>
          </w:p>
        </w:tc>
      </w:tr>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471"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搭设高度</w:t>
            </w:r>
            <w:r>
              <w:rPr>
                <w:color w:val="000000"/>
                <w:kern w:val="0"/>
                <w:sz w:val="24"/>
              </w:rPr>
              <w:t>(m)</w:t>
            </w:r>
          </w:p>
        </w:tc>
        <w:tc>
          <w:tcPr>
            <w:tcW w:w="1628"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2</w:t>
            </w:r>
            <w:r>
              <w:rPr>
                <w:rFonts w:hint="eastAsia"/>
                <w:color w:val="000000"/>
                <w:kern w:val="0"/>
                <w:sz w:val="24"/>
              </w:rPr>
              <w:t>4</w:t>
            </w:r>
            <w:r>
              <w:rPr>
                <w:rFonts w:hint="eastAsia"/>
                <w:color w:val="000000"/>
                <w:kern w:val="0"/>
                <w:sz w:val="24"/>
              </w:rPr>
              <w:t>（</w:t>
            </w:r>
            <w:r>
              <w:rPr>
                <w:rFonts w:hint="eastAsia"/>
                <w:color w:val="000000"/>
                <w:kern w:val="0"/>
                <w:sz w:val="24"/>
              </w:rPr>
              <w:t>20</w:t>
            </w:r>
            <w:r>
              <w:rPr>
                <w:rFonts w:hint="eastAsia"/>
                <w:color w:val="000000"/>
                <w:kern w:val="0"/>
                <w:sz w:val="24"/>
              </w:rPr>
              <w:t>以下）</w:t>
            </w:r>
          </w:p>
        </w:tc>
        <w:tc>
          <w:tcPr>
            <w:tcW w:w="3052"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钢管类型</w:t>
            </w:r>
          </w:p>
        </w:tc>
        <w:tc>
          <w:tcPr>
            <w:tcW w:w="2137"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Ф48×3.</w:t>
            </w:r>
            <w:r>
              <w:rPr>
                <w:rFonts w:hint="eastAsia"/>
                <w:color w:val="000000"/>
                <w:kern w:val="0"/>
                <w:sz w:val="24"/>
              </w:rPr>
              <w:t>6</w:t>
            </w:r>
          </w:p>
        </w:tc>
      </w:tr>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471"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立杆纵距</w:t>
            </w:r>
            <w:r>
              <w:rPr>
                <w:color w:val="000000"/>
                <w:kern w:val="0"/>
                <w:sz w:val="24"/>
              </w:rPr>
              <w:t>(m)</w:t>
            </w:r>
          </w:p>
        </w:tc>
        <w:tc>
          <w:tcPr>
            <w:tcW w:w="1628"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rFonts w:hint="eastAsia"/>
                <w:color w:val="000000"/>
                <w:kern w:val="0"/>
                <w:sz w:val="24"/>
              </w:rPr>
              <w:t>1.5</w:t>
            </w:r>
          </w:p>
        </w:tc>
        <w:tc>
          <w:tcPr>
            <w:tcW w:w="3052"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立杆横距</w:t>
            </w:r>
            <w:r>
              <w:rPr>
                <w:color w:val="000000"/>
                <w:kern w:val="0"/>
                <w:sz w:val="24"/>
              </w:rPr>
              <w:t>(m)</w:t>
            </w:r>
          </w:p>
        </w:tc>
        <w:tc>
          <w:tcPr>
            <w:tcW w:w="2137"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0.9</w:t>
            </w:r>
          </w:p>
        </w:tc>
      </w:tr>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471"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立杆步距</w:t>
            </w:r>
            <w:r>
              <w:rPr>
                <w:color w:val="000000"/>
                <w:kern w:val="0"/>
                <w:sz w:val="24"/>
              </w:rPr>
              <w:t>(m)</w:t>
            </w:r>
          </w:p>
        </w:tc>
        <w:tc>
          <w:tcPr>
            <w:tcW w:w="1628"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1.8</w:t>
            </w:r>
          </w:p>
        </w:tc>
        <w:tc>
          <w:tcPr>
            <w:tcW w:w="3052"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双立杆计算方法</w:t>
            </w:r>
          </w:p>
        </w:tc>
        <w:tc>
          <w:tcPr>
            <w:tcW w:w="2137"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不设置双立杆</w:t>
            </w:r>
          </w:p>
        </w:tc>
      </w:tr>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471"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挡脚板</w:t>
            </w:r>
          </w:p>
        </w:tc>
        <w:tc>
          <w:tcPr>
            <w:tcW w:w="1628"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2</w:t>
            </w:r>
            <w:r>
              <w:rPr>
                <w:color w:val="000000"/>
                <w:kern w:val="0"/>
                <w:sz w:val="24"/>
              </w:rPr>
              <w:t>步</w:t>
            </w:r>
            <w:r>
              <w:rPr>
                <w:color w:val="000000"/>
                <w:kern w:val="0"/>
                <w:sz w:val="24"/>
              </w:rPr>
              <w:t>1</w:t>
            </w:r>
            <w:r>
              <w:rPr>
                <w:color w:val="000000"/>
                <w:kern w:val="0"/>
                <w:sz w:val="24"/>
              </w:rPr>
              <w:t>设</w:t>
            </w:r>
          </w:p>
        </w:tc>
        <w:tc>
          <w:tcPr>
            <w:tcW w:w="3052"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脚手板</w:t>
            </w:r>
          </w:p>
        </w:tc>
        <w:tc>
          <w:tcPr>
            <w:tcW w:w="2137"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2</w:t>
            </w:r>
            <w:r>
              <w:rPr>
                <w:color w:val="000000"/>
                <w:kern w:val="0"/>
                <w:sz w:val="24"/>
              </w:rPr>
              <w:t>步</w:t>
            </w:r>
            <w:r>
              <w:rPr>
                <w:color w:val="000000"/>
                <w:kern w:val="0"/>
                <w:sz w:val="24"/>
              </w:rPr>
              <w:t>1</w:t>
            </w:r>
            <w:r>
              <w:rPr>
                <w:color w:val="000000"/>
                <w:kern w:val="0"/>
                <w:sz w:val="24"/>
              </w:rPr>
              <w:t>设</w:t>
            </w:r>
          </w:p>
        </w:tc>
      </w:tr>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471"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横向斜撑</w:t>
            </w:r>
          </w:p>
        </w:tc>
        <w:tc>
          <w:tcPr>
            <w:tcW w:w="1628"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rFonts w:hint="eastAsia"/>
                <w:color w:val="000000"/>
                <w:kern w:val="0"/>
                <w:sz w:val="24"/>
              </w:rPr>
              <w:t>4</w:t>
            </w:r>
            <w:r>
              <w:rPr>
                <w:color w:val="000000"/>
                <w:kern w:val="0"/>
                <w:sz w:val="24"/>
              </w:rPr>
              <w:t>跨</w:t>
            </w:r>
            <w:r>
              <w:rPr>
                <w:color w:val="000000"/>
                <w:kern w:val="0"/>
                <w:sz w:val="24"/>
              </w:rPr>
              <w:t>1</w:t>
            </w:r>
            <w:r>
              <w:rPr>
                <w:color w:val="000000"/>
                <w:kern w:val="0"/>
                <w:sz w:val="24"/>
              </w:rPr>
              <w:t>设</w:t>
            </w:r>
          </w:p>
        </w:tc>
        <w:tc>
          <w:tcPr>
            <w:tcW w:w="3052"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连墙件布置方式</w:t>
            </w:r>
          </w:p>
        </w:tc>
        <w:tc>
          <w:tcPr>
            <w:tcW w:w="2137"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一步一跨</w:t>
            </w:r>
          </w:p>
        </w:tc>
      </w:tr>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471"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连墙件连接方式</w:t>
            </w:r>
          </w:p>
        </w:tc>
        <w:tc>
          <w:tcPr>
            <w:tcW w:w="1628"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膨胀螺栓</w:t>
            </w:r>
          </w:p>
        </w:tc>
        <w:tc>
          <w:tcPr>
            <w:tcW w:w="3052"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地区</w:t>
            </w:r>
          </w:p>
        </w:tc>
        <w:tc>
          <w:tcPr>
            <w:tcW w:w="2137"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rFonts w:hint="eastAsia"/>
                <w:color w:val="000000"/>
                <w:kern w:val="0"/>
                <w:sz w:val="24"/>
              </w:rPr>
              <w:t>六枝特区</w:t>
            </w:r>
          </w:p>
        </w:tc>
      </w:tr>
      <w:tr>
        <w:tblPrEx>
          <w:tblW w:w="0" w:type="auto"/>
          <w:jc w:val="center"/>
          <w:tblCellSpacing w:w="0" w:type="dxa"/>
          <w:tblLayout w:type="fixed"/>
          <w:tblCellMar>
            <w:top w:w="45" w:type="dxa"/>
            <w:left w:w="45" w:type="dxa"/>
            <w:bottom w:w="45" w:type="dxa"/>
            <w:right w:w="45" w:type="dxa"/>
          </w:tblCellMar>
          <w:tblLook w:val="0000"/>
        </w:tblPrEx>
        <w:trPr>
          <w:trHeight w:val="75"/>
          <w:tblCellSpacing w:w="0" w:type="dxa"/>
          <w:jc w:val="center"/>
        </w:trPr>
        <w:tc>
          <w:tcPr>
            <w:tcW w:w="2471"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基本风压</w:t>
            </w:r>
            <w:r>
              <w:rPr>
                <w:color w:val="000000"/>
                <w:kern w:val="0"/>
                <w:sz w:val="24"/>
              </w:rPr>
              <w:t>(kN/m</w:t>
            </w:r>
            <w:r>
              <w:rPr>
                <w:color w:val="000000"/>
                <w:kern w:val="0"/>
                <w:sz w:val="24"/>
                <w:vertAlign w:val="superscript"/>
              </w:rPr>
              <w:t>2</w:t>
            </w:r>
            <w:r>
              <w:rPr>
                <w:color w:val="000000"/>
                <w:kern w:val="0"/>
                <w:sz w:val="24"/>
              </w:rPr>
              <w:t>)</w:t>
            </w:r>
          </w:p>
        </w:tc>
        <w:tc>
          <w:tcPr>
            <w:tcW w:w="1628"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0.2</w:t>
            </w:r>
          </w:p>
        </w:tc>
        <w:tc>
          <w:tcPr>
            <w:tcW w:w="3052"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安全网</w:t>
            </w:r>
          </w:p>
        </w:tc>
        <w:tc>
          <w:tcPr>
            <w:tcW w:w="2137" w:type="dxa"/>
            <w:tcBorders>
              <w:top w:val="single" w:sz="6" w:space="0" w:color="auto"/>
              <w:left w:val="single" w:sz="6" w:space="0" w:color="auto"/>
              <w:bottom w:val="single" w:sz="6" w:space="0" w:color="auto"/>
              <w:right w:val="single" w:sz="6" w:space="0" w:color="auto"/>
            </w:tcBorders>
            <w:shd w:val="clear" w:color="auto" w:fill="FFFFFF"/>
            <w:vAlign w:val="center"/>
          </w:tcPr>
          <w:p w:rsidR="005F7985">
            <w:pPr>
              <w:pStyle w:val="Normal0"/>
              <w:autoSpaceDE w:val="0"/>
              <w:autoSpaceDN w:val="0"/>
              <w:adjustRightInd w:val="0"/>
              <w:spacing w:line="360" w:lineRule="auto"/>
              <w:jc w:val="center"/>
              <w:rPr>
                <w:color w:val="000000"/>
                <w:kern w:val="0"/>
                <w:sz w:val="24"/>
              </w:rPr>
            </w:pPr>
            <w:r>
              <w:rPr>
                <w:color w:val="000000"/>
                <w:kern w:val="0"/>
                <w:sz w:val="24"/>
              </w:rPr>
              <w:t>全封闭</w:t>
            </w:r>
          </w:p>
        </w:tc>
      </w:tr>
    </w:tbl>
    <w:p w:rsidR="005F7985">
      <w:pPr>
        <w:pStyle w:val="Heading3"/>
      </w:pPr>
      <w:bookmarkStart w:id="73" w:name="_Toc12933"/>
      <w:bookmarkStart w:id="74" w:name="_Toc454430406"/>
      <w:bookmarkStart w:id="75" w:name="_Toc16775"/>
      <w:bookmarkStart w:id="76" w:name="_Toc31085"/>
      <w:bookmarkStart w:id="77" w:name="_Toc12737"/>
      <w:r>
        <w:rPr>
          <w:rFonts w:hint="eastAsia"/>
        </w:rPr>
        <w:t>工艺流程</w:t>
      </w:r>
      <w:bookmarkEnd w:id="73"/>
      <w:bookmarkEnd w:id="74"/>
      <w:bookmarkEnd w:id="75"/>
      <w:bookmarkEnd w:id="76"/>
      <w:bookmarkEnd w:id="77"/>
    </w:p>
    <w:p w:rsidR="005F7985">
      <w:pPr>
        <w:pStyle w:val="Normal0"/>
        <w:autoSpaceDE w:val="0"/>
        <w:autoSpaceDN w:val="0"/>
        <w:adjustRightInd w:val="0"/>
        <w:spacing w:line="360" w:lineRule="auto"/>
        <w:jc w:val="left"/>
        <w:rPr>
          <w:color w:val="000000"/>
          <w:kern w:val="0"/>
          <w:sz w:val="24"/>
        </w:rPr>
      </w:pPr>
      <w:r>
        <w:rPr>
          <w:rFonts w:hint="eastAsia"/>
          <w:color w:val="000000"/>
          <w:kern w:val="0"/>
          <w:sz w:val="24"/>
        </w:rPr>
        <w:t xml:space="preserve">    </w:t>
      </w:r>
      <w:r>
        <w:rPr>
          <w:color w:val="000000"/>
          <w:kern w:val="0"/>
          <w:sz w:val="24"/>
        </w:rPr>
        <w:t>扣件式脚手架</w:t>
      </w:r>
    </w:p>
    <w:p w:rsidR="005F7985">
      <w:pPr>
        <w:pStyle w:val="Normal0"/>
        <w:autoSpaceDE w:val="0"/>
        <w:autoSpaceDN w:val="0"/>
        <w:adjustRightInd w:val="0"/>
        <w:spacing w:line="360" w:lineRule="auto"/>
        <w:rPr>
          <w:rFonts w:ascii="宋体" w:cs="宋体"/>
          <w:kern w:val="0"/>
          <w:sz w:val="24"/>
        </w:rPr>
      </w:pPr>
      <w:r>
        <w:rPr>
          <w:rFonts w:ascii="宋体" w:cs="宋体" w:hint="eastAsia"/>
          <w:kern w:val="0"/>
          <w:sz w:val="24"/>
        </w:rPr>
        <w:t xml:space="preserve">    </w:t>
      </w:r>
      <w:r>
        <w:rPr>
          <w:rFonts w:ascii="宋体" w:cs="宋体" w:hint="eastAsia"/>
          <w:kern w:val="0"/>
          <w:sz w:val="24"/>
        </w:rPr>
        <w:t>场地平整、夯实</w:t>
      </w:r>
      <w:r>
        <w:rPr>
          <w:kern w:val="0"/>
          <w:sz w:val="24"/>
        </w:rPr>
        <w:t>→</w:t>
      </w:r>
      <w:r>
        <w:rPr>
          <w:rFonts w:ascii="宋体" w:cs="宋体" w:hint="eastAsia"/>
          <w:kern w:val="0"/>
          <w:sz w:val="24"/>
        </w:rPr>
        <w:t>基础承载力实验、材料配备</w:t>
      </w:r>
      <w:r>
        <w:rPr>
          <w:kern w:val="0"/>
          <w:sz w:val="24"/>
        </w:rPr>
        <w:t>→</w:t>
      </w:r>
      <w:r>
        <w:rPr>
          <w:rFonts w:ascii="宋体" w:cs="宋体" w:hint="eastAsia"/>
          <w:kern w:val="0"/>
          <w:sz w:val="24"/>
        </w:rPr>
        <w:t>定位设置通长脚手板、底座</w:t>
      </w:r>
      <w:r>
        <w:rPr>
          <w:kern w:val="0"/>
          <w:sz w:val="24"/>
        </w:rPr>
        <w:t>→</w:t>
      </w:r>
      <w:r>
        <w:rPr>
          <w:rFonts w:ascii="宋体" w:cs="宋体" w:hint="eastAsia"/>
          <w:kern w:val="0"/>
          <w:sz w:val="24"/>
        </w:rPr>
        <w:t>纵向扫地杆</w:t>
      </w:r>
      <w:r>
        <w:rPr>
          <w:kern w:val="0"/>
          <w:sz w:val="24"/>
        </w:rPr>
        <w:t>→</w:t>
      </w:r>
      <w:r>
        <w:rPr>
          <w:rFonts w:ascii="宋体" w:cs="宋体" w:hint="eastAsia"/>
          <w:kern w:val="0"/>
          <w:sz w:val="24"/>
        </w:rPr>
        <w:t>立杆</w:t>
      </w:r>
      <w:r>
        <w:rPr>
          <w:kern w:val="0"/>
          <w:sz w:val="24"/>
        </w:rPr>
        <w:t>→</w:t>
      </w:r>
      <w:r>
        <w:rPr>
          <w:rFonts w:ascii="宋体" w:cs="宋体" w:hint="eastAsia"/>
          <w:kern w:val="0"/>
          <w:sz w:val="24"/>
        </w:rPr>
        <w:t>横向扫地杆</w:t>
      </w:r>
      <w:r>
        <w:rPr>
          <w:kern w:val="0"/>
          <w:sz w:val="24"/>
        </w:rPr>
        <w:t>→</w:t>
      </w:r>
      <w:r>
        <w:rPr>
          <w:rFonts w:ascii="宋体" w:cs="宋体" w:hint="eastAsia"/>
          <w:kern w:val="0"/>
          <w:sz w:val="24"/>
        </w:rPr>
        <w:t>横向水平杆</w:t>
      </w:r>
      <w:r>
        <w:rPr>
          <w:kern w:val="0"/>
          <w:sz w:val="24"/>
        </w:rPr>
        <w:t>→</w:t>
      </w:r>
      <w:r>
        <w:rPr>
          <w:rFonts w:ascii="宋体" w:cs="宋体" w:hint="eastAsia"/>
          <w:kern w:val="0"/>
          <w:sz w:val="24"/>
        </w:rPr>
        <w:t>纵向水平杆</w:t>
      </w:r>
      <w:r>
        <w:rPr>
          <w:rFonts w:ascii="宋体" w:cs="宋体"/>
          <w:kern w:val="0"/>
          <w:sz w:val="24"/>
        </w:rPr>
        <w:t>(</w:t>
      </w:r>
      <w:r>
        <w:rPr>
          <w:rFonts w:ascii="宋体" w:cs="宋体" w:hint="eastAsia"/>
          <w:kern w:val="0"/>
          <w:sz w:val="24"/>
        </w:rPr>
        <w:t>格栅</w:t>
      </w:r>
      <w:r>
        <w:rPr>
          <w:rFonts w:ascii="宋体" w:cs="宋体"/>
          <w:kern w:val="0"/>
          <w:sz w:val="24"/>
        </w:rPr>
        <w:t>)</w:t>
      </w:r>
      <w:r>
        <w:rPr>
          <w:kern w:val="0"/>
          <w:sz w:val="24"/>
        </w:rPr>
        <w:t xml:space="preserve"> →</w:t>
      </w:r>
      <w:r>
        <w:rPr>
          <w:rFonts w:ascii="宋体" w:cs="宋体" w:hint="eastAsia"/>
          <w:kern w:val="0"/>
          <w:sz w:val="24"/>
        </w:rPr>
        <w:t>剪刀撑</w:t>
      </w:r>
      <w:r>
        <w:rPr>
          <w:kern w:val="0"/>
          <w:sz w:val="24"/>
        </w:rPr>
        <w:t>→</w:t>
      </w:r>
      <w:r>
        <w:rPr>
          <w:rFonts w:ascii="宋体" w:cs="宋体" w:hint="eastAsia"/>
          <w:kern w:val="0"/>
          <w:sz w:val="24"/>
        </w:rPr>
        <w:t>连墙件</w:t>
      </w:r>
      <w:r>
        <w:rPr>
          <w:kern w:val="0"/>
          <w:sz w:val="24"/>
        </w:rPr>
        <w:t>→</w:t>
      </w:r>
      <w:r>
        <w:rPr>
          <w:rFonts w:ascii="宋体" w:cs="宋体" w:hint="eastAsia"/>
          <w:kern w:val="0"/>
          <w:sz w:val="24"/>
        </w:rPr>
        <w:t>铺脚手板</w:t>
      </w:r>
      <w:r>
        <w:rPr>
          <w:kern w:val="0"/>
          <w:sz w:val="24"/>
        </w:rPr>
        <w:t>→</w:t>
      </w:r>
      <w:r>
        <w:rPr>
          <w:rFonts w:ascii="宋体" w:cs="宋体" w:hint="eastAsia"/>
          <w:kern w:val="0"/>
          <w:sz w:val="24"/>
        </w:rPr>
        <w:t>扎防护栏杆</w:t>
      </w:r>
      <w:r>
        <w:rPr>
          <w:kern w:val="0"/>
          <w:sz w:val="24"/>
        </w:rPr>
        <w:t>→</w:t>
      </w:r>
      <w:r>
        <w:rPr>
          <w:rFonts w:ascii="宋体" w:cs="宋体" w:hint="eastAsia"/>
          <w:kern w:val="0"/>
          <w:sz w:val="24"/>
        </w:rPr>
        <w:t>扎安全网</w:t>
      </w:r>
    </w:p>
    <w:p w:rsidR="005F7985">
      <w:pPr>
        <w:pStyle w:val="Heading3"/>
      </w:pPr>
      <w:bookmarkStart w:id="78" w:name="_Toc14976"/>
      <w:bookmarkStart w:id="79" w:name="_Toc18056"/>
      <w:bookmarkStart w:id="80" w:name="_Toc454430407"/>
      <w:bookmarkStart w:id="81" w:name="_Toc16605"/>
      <w:bookmarkStart w:id="82" w:name="_Toc12040"/>
      <w:r>
        <w:rPr>
          <w:rFonts w:hint="eastAsia"/>
        </w:rPr>
        <w:t>施工方法</w:t>
      </w:r>
      <w:bookmarkEnd w:id="78"/>
      <w:bookmarkEnd w:id="79"/>
      <w:bookmarkEnd w:id="80"/>
      <w:bookmarkEnd w:id="81"/>
      <w:bookmarkEnd w:id="82"/>
    </w:p>
    <w:p w:rsidR="005F7985">
      <w:pPr>
        <w:pStyle w:val="Normal0"/>
        <w:numPr>
          <w:ilvl w:val="0"/>
          <w:numId w:val="16"/>
        </w:numPr>
        <w:autoSpaceDE w:val="0"/>
        <w:autoSpaceDN w:val="0"/>
        <w:adjustRightInd w:val="0"/>
        <w:spacing w:line="360" w:lineRule="auto"/>
        <w:ind w:firstLine="480"/>
        <w:rPr>
          <w:rFonts w:ascii="宋体" w:cs="宋体"/>
          <w:kern w:val="0"/>
          <w:sz w:val="24"/>
        </w:rPr>
      </w:pPr>
      <w:r>
        <w:rPr>
          <w:rFonts w:ascii="宋体" w:cs="宋体" w:hint="eastAsia"/>
          <w:kern w:val="0"/>
          <w:sz w:val="24"/>
        </w:rPr>
        <w:t>定距定位。根据构造要求在建筑物四角用尺量出内、外立杆离墙距离，并做好标记；用钢卷尺拉直，分出立杆位置，并用小竹片点出立杆标记；垫板、底座应准确地放在定位线上，垫板必须铺放平整，不得悬空。</w:t>
      </w:r>
    </w:p>
    <w:p w:rsidR="005F7985">
      <w:pPr>
        <w:pStyle w:val="Normal0"/>
        <w:numPr>
          <w:ilvl w:val="0"/>
          <w:numId w:val="16"/>
        </w:numPr>
        <w:autoSpaceDE w:val="0"/>
        <w:autoSpaceDN w:val="0"/>
        <w:adjustRightInd w:val="0"/>
        <w:spacing w:line="360" w:lineRule="auto"/>
        <w:ind w:firstLine="480"/>
        <w:rPr>
          <w:rFonts w:ascii="宋体" w:cs="宋体"/>
          <w:kern w:val="0"/>
          <w:sz w:val="24"/>
        </w:rPr>
      </w:pPr>
      <w:r>
        <w:rPr>
          <w:rFonts w:ascii="宋体" w:cs="宋体" w:hint="eastAsia"/>
          <w:kern w:val="0"/>
          <w:sz w:val="24"/>
        </w:rPr>
        <w:t>在搭设首层</w:t>
      </w:r>
      <w:r>
        <w:rPr>
          <w:kern w:val="0"/>
          <w:sz w:val="24"/>
        </w:rPr>
        <w:t xml:space="preserve"> </w:t>
      </w:r>
      <w:r>
        <w:rPr>
          <w:rFonts w:ascii="宋体" w:cs="宋体" w:hint="eastAsia"/>
          <w:kern w:val="0"/>
          <w:sz w:val="24"/>
        </w:rPr>
        <w:t>脚手架过程中，沿四周每框架格内设一道斜支撑，拐角处双向增设，待该部位脚手架与主体结构的连墙件可靠拉结后方可拆除。当脚手架操作层高出连墙件以上两步时，宜先立外排，后立内排。其余按以下构造要求搭设。</w:t>
      </w:r>
    </w:p>
    <w:p w:rsidR="005F7985">
      <w:pPr>
        <w:pStyle w:val="Normal0"/>
        <w:numPr>
          <w:ilvl w:val="0"/>
          <w:numId w:val="16"/>
        </w:numPr>
        <w:autoSpaceDE w:val="0"/>
        <w:autoSpaceDN w:val="0"/>
        <w:adjustRightInd w:val="0"/>
        <w:spacing w:line="360" w:lineRule="auto"/>
        <w:ind w:firstLine="480"/>
        <w:rPr>
          <w:rFonts w:ascii="宋体" w:cs="宋体"/>
          <w:kern w:val="0"/>
          <w:sz w:val="24"/>
        </w:rPr>
      </w:pPr>
      <w:r>
        <w:rPr>
          <w:rFonts w:ascii="宋体" w:cs="宋体" w:hint="eastAsia"/>
          <w:kern w:val="0"/>
          <w:sz w:val="24"/>
        </w:rPr>
        <w:t>垫板尺寸采用长度不少于</w:t>
      </w:r>
      <w:r>
        <w:rPr>
          <w:rFonts w:ascii="宋体" w:cs="宋体"/>
          <w:kern w:val="0"/>
          <w:sz w:val="24"/>
        </w:rPr>
        <w:t>2</w:t>
      </w:r>
      <w:r>
        <w:rPr>
          <w:rFonts w:ascii="宋体" w:cs="宋体" w:hint="eastAsia"/>
          <w:kern w:val="0"/>
          <w:sz w:val="24"/>
        </w:rPr>
        <w:t>跨、厚度不小于</w:t>
      </w:r>
      <w:r>
        <w:rPr>
          <w:rFonts w:ascii="宋体" w:cs="宋体"/>
          <w:kern w:val="0"/>
          <w:sz w:val="24"/>
        </w:rPr>
        <w:t>50mm</w:t>
      </w:r>
      <w:r>
        <w:rPr>
          <w:rFonts w:ascii="宋体" w:cs="宋体" w:hint="eastAsia"/>
          <w:kern w:val="0"/>
          <w:sz w:val="24"/>
        </w:rPr>
        <w:t>、宽度不小于</w:t>
      </w:r>
      <w:r>
        <w:rPr>
          <w:rFonts w:ascii="宋体" w:cs="宋体"/>
          <w:kern w:val="0"/>
          <w:sz w:val="24"/>
        </w:rPr>
        <w:t>200mm</w:t>
      </w:r>
      <w:r>
        <w:rPr>
          <w:rFonts w:ascii="宋体" w:cs="宋体" w:hint="eastAsia"/>
          <w:kern w:val="0"/>
          <w:sz w:val="24"/>
        </w:rPr>
        <w:t>的木垫板或槽钢。</w:t>
      </w:r>
    </w:p>
    <w:p w:rsidR="005F7985">
      <w:pPr>
        <w:pStyle w:val="Normal0"/>
        <w:autoSpaceDE w:val="0"/>
        <w:autoSpaceDN w:val="0"/>
        <w:adjustRightInd w:val="0"/>
        <w:spacing w:line="360" w:lineRule="auto"/>
        <w:jc w:val="left"/>
        <w:rPr>
          <w:color w:val="000000"/>
          <w:kern w:val="0"/>
          <w:sz w:val="24"/>
        </w:rPr>
      </w:pPr>
      <w:r>
        <w:rPr>
          <w:color w:val="000000"/>
          <w:kern w:val="0"/>
          <w:sz w:val="24"/>
        </w:rPr>
        <w:t>扣件式脚手架</w:t>
      </w:r>
      <w:r>
        <w:rPr>
          <w:color w:val="000000"/>
          <w:kern w:val="0"/>
          <w:sz w:val="24"/>
        </w:rPr>
        <w:t xml:space="preserve"> </w:t>
      </w:r>
    </w:p>
    <w:p w:rsidR="005F7985">
      <w:pPr>
        <w:pStyle w:val="Normal0"/>
        <w:autoSpaceDE w:val="0"/>
        <w:autoSpaceDN w:val="0"/>
        <w:adjustRightInd w:val="0"/>
        <w:spacing w:line="360" w:lineRule="auto"/>
        <w:jc w:val="left"/>
        <w:rPr>
          <w:rFonts w:ascii="宋体" w:hAnsi="宋体" w:cs="宋体"/>
          <w:kern w:val="0"/>
          <w:sz w:val="24"/>
        </w:rPr>
      </w:pPr>
      <w:r>
        <w:rPr>
          <w:rFonts w:ascii="宋体" w:hAnsi="宋体" w:cs="宋体" w:hint="eastAsia"/>
          <w:kern w:val="0"/>
          <w:sz w:val="24"/>
        </w:rPr>
        <w:t>立杆设置</w:t>
      </w:r>
    </w:p>
    <w:p w:rsidR="005F7985">
      <w:pPr>
        <w:pStyle w:val="Normal0"/>
        <w:autoSpaceDE w:val="0"/>
        <w:autoSpaceDN w:val="0"/>
        <w:adjustRightInd w:val="0"/>
        <w:spacing w:line="360" w:lineRule="auto"/>
        <w:ind w:firstLine="480" w:firstLineChars="200"/>
        <w:rPr>
          <w:rFonts w:ascii="宋体" w:hAnsi="宋体" w:cs="宋体"/>
          <w:kern w:val="0"/>
          <w:sz w:val="24"/>
        </w:rPr>
        <w:sectPr>
          <w:type w:val="nextPage"/>
          <w:pgSz w:w="11906" w:h="16838"/>
          <w:pgMar w:top="1287" w:right="1152" w:bottom="1271" w:left="1094" w:header="851" w:footer="312" w:gutter="0"/>
          <w:pgNumType w:fmt="numberInDash" w:start="5"/>
          <w:cols w:space="708"/>
          <w:titlePg w:val="0"/>
          <w:docGrid w:type="lines" w:linePitch="312"/>
        </w:sectPr>
      </w:pPr>
      <w:r>
        <w:rPr>
          <w:rFonts w:ascii="宋体" w:hAnsi="宋体" w:cs="宋体" w:hint="eastAsia"/>
          <w:kern w:val="0"/>
          <w:sz w:val="24"/>
        </w:rPr>
        <w:t>1)</w:t>
      </w:r>
      <w:r>
        <w:rPr>
          <w:rFonts w:ascii="宋体" w:hAnsi="宋体" w:cs="宋体" w:hint="eastAsia"/>
          <w:kern w:val="0"/>
          <w:sz w:val="24"/>
        </w:rPr>
        <w:t>立杆采用对接接头连接，立杆与纵向水平杆采用直角扣件连接。接头位置交错布置，两个相邻立杆接头避免出现在同步同跨内，并在高度方向错开的距离不小于</w:t>
      </w:r>
      <w:r>
        <w:rPr>
          <w:rFonts w:ascii="宋体" w:hAnsi="宋体" w:cs="宋体" w:hint="eastAsia"/>
          <w:kern w:val="0"/>
          <w:sz w:val="24"/>
        </w:rPr>
        <w:t>50cm</w:t>
      </w:r>
      <w:r>
        <w:rPr>
          <w:rFonts w:ascii="宋体" w:hAnsi="宋体" w:cs="宋体" w:hint="eastAsia"/>
          <w:kern w:val="0"/>
          <w:sz w:val="24"/>
        </w:rPr>
        <w:t>；各接头中</w:t>
      </w:r>
    </w:p>
    <w:p w:rsidR="005F7985">
      <w:pPr>
        <w:pStyle w:val="Normal0"/>
        <w:autoSpaceDE w:val="0"/>
        <w:autoSpaceDN w:val="0"/>
        <w:adjustRightInd w:val="0"/>
        <w:spacing w:line="360" w:lineRule="auto"/>
        <w:ind w:firstLine="480" w:firstLineChars="200"/>
        <w:rPr>
          <w:rFonts w:ascii="宋体" w:hAnsi="宋体" w:cs="宋体"/>
          <w:kern w:val="0"/>
          <w:sz w:val="24"/>
        </w:rPr>
      </w:pPr>
      <w:r>
        <w:rPr>
          <w:rFonts w:ascii="宋体" w:hAnsi="宋体" w:cs="宋体" w:hint="eastAsia"/>
          <w:kern w:val="0"/>
          <w:sz w:val="24"/>
        </w:rPr>
        <w:t>心距主节点的距离不大于步距的</w:t>
      </w:r>
      <w:r>
        <w:rPr>
          <w:rFonts w:ascii="宋体" w:hAnsi="宋体" w:cs="宋体" w:hint="eastAsia"/>
          <w:kern w:val="0"/>
          <w:sz w:val="24"/>
        </w:rPr>
        <w:t>1/3</w:t>
      </w:r>
      <w:r>
        <w:rPr>
          <w:rFonts w:ascii="宋体" w:hAnsi="宋体" w:cs="宋体" w:hint="eastAsia"/>
          <w:kern w:val="0"/>
          <w:sz w:val="24"/>
        </w:rPr>
        <w:t>。</w:t>
      </w:r>
    </w:p>
    <w:p w:rsidR="005F7985">
      <w:pPr>
        <w:pStyle w:val="Normal0"/>
        <w:autoSpaceDE w:val="0"/>
        <w:autoSpaceDN w:val="0"/>
        <w:adjustRightInd w:val="0"/>
        <w:spacing w:line="360" w:lineRule="auto"/>
        <w:ind w:firstLine="480" w:firstLineChars="200"/>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每根立杆底部应设置垫板，并且必须设置纵、横向扫地杆。纵向扫地杆应采用直角扣件固定在距底座上皮不大于</w:t>
      </w:r>
      <w:r>
        <w:rPr>
          <w:rFonts w:ascii="宋体" w:hAnsi="宋体" w:cs="宋体" w:hint="eastAsia"/>
          <w:kern w:val="0"/>
          <w:sz w:val="24"/>
        </w:rPr>
        <w:t>200mm</w:t>
      </w:r>
      <w:r>
        <w:rPr>
          <w:rFonts w:ascii="宋体" w:hAnsi="宋体" w:cs="宋体" w:hint="eastAsia"/>
          <w:kern w:val="0"/>
          <w:sz w:val="24"/>
        </w:rPr>
        <w:t>处立杆上。横向扫地杆亦应采用直角扣件固定在紧靠纵向扫地杆下方立杆上。</w:t>
      </w:r>
    </w:p>
    <w:p w:rsidR="005F7985">
      <w:pPr>
        <w:pStyle w:val="Normal0"/>
        <w:autoSpaceDE w:val="0"/>
        <w:autoSpaceDN w:val="0"/>
        <w:adjustRightInd w:val="0"/>
        <w:spacing w:line="360" w:lineRule="auto"/>
        <w:ind w:firstLine="480" w:firstLineChars="200"/>
        <w:rPr>
          <w:rFonts w:ascii="宋体" w:hAnsi="宋体" w:cs="宋体"/>
          <w:kern w:val="0"/>
          <w:sz w:val="24"/>
        </w:rPr>
      </w:pPr>
      <w:r>
        <w:rPr>
          <w:rFonts w:ascii="宋体" w:hAnsi="宋体" w:cs="宋体" w:hint="eastAsia"/>
          <w:kern w:val="0"/>
          <w:sz w:val="24"/>
        </w:rPr>
        <w:t>3)</w:t>
      </w:r>
      <w:r>
        <w:rPr>
          <w:rFonts w:ascii="宋体" w:hAnsi="宋体" w:cs="宋体" w:hint="eastAsia"/>
          <w:kern w:val="0"/>
          <w:sz w:val="24"/>
        </w:rPr>
        <w:t>当立杆基础不在同一高度上时，必须将高处的纵向扫地杆向低处延长两跨与立杆固定，高低差不应大于</w:t>
      </w:r>
      <w:r>
        <w:rPr>
          <w:rFonts w:ascii="宋体" w:hAnsi="宋体" w:cs="宋体" w:hint="eastAsia"/>
          <w:kern w:val="0"/>
          <w:sz w:val="24"/>
        </w:rPr>
        <w:t>1m</w:t>
      </w:r>
      <w:r>
        <w:rPr>
          <w:rFonts w:ascii="宋体" w:hAnsi="宋体" w:cs="宋体" w:hint="eastAsia"/>
          <w:kern w:val="0"/>
          <w:sz w:val="24"/>
        </w:rPr>
        <w:t>。靠边坡上方的立杆轴线</w:t>
      </w:r>
      <w:r>
        <w:rPr>
          <w:rFonts w:ascii="宋体" w:hAnsi="宋体" w:cs="宋体" w:hint="eastAsia"/>
          <w:kern w:val="0"/>
          <w:sz w:val="24"/>
        </w:rPr>
        <w:t>到边坡的距离不应小于</w:t>
      </w:r>
      <w:r>
        <w:rPr>
          <w:rFonts w:ascii="宋体" w:hAnsi="宋体" w:cs="宋体" w:hint="eastAsia"/>
          <w:kern w:val="0"/>
          <w:sz w:val="24"/>
        </w:rPr>
        <w:t>500mm</w:t>
      </w:r>
      <w:r>
        <w:rPr>
          <w:rFonts w:ascii="宋体" w:hAnsi="宋体" w:cs="宋体" w:hint="eastAsia"/>
          <w:kern w:val="0"/>
          <w:sz w:val="24"/>
        </w:rPr>
        <w:t>。</w:t>
      </w:r>
    </w:p>
    <w:p w:rsidR="005F7985">
      <w:pPr>
        <w:pStyle w:val="Normal0"/>
        <w:autoSpaceDE w:val="0"/>
        <w:autoSpaceDN w:val="0"/>
        <w:adjustRightInd w:val="0"/>
        <w:spacing w:line="360" w:lineRule="auto"/>
        <w:ind w:firstLine="480" w:firstLineChars="200"/>
        <w:rPr>
          <w:rFonts w:ascii="宋体" w:hAnsi="宋体" w:cs="宋体"/>
          <w:kern w:val="0"/>
          <w:sz w:val="24"/>
        </w:rPr>
      </w:pPr>
      <w:r>
        <w:rPr>
          <w:rFonts w:ascii="宋体" w:hAnsi="宋体" w:cs="宋体" w:hint="eastAsia"/>
          <w:kern w:val="0"/>
          <w:sz w:val="24"/>
        </w:rPr>
        <w:t>4)</w:t>
      </w:r>
      <w:r>
        <w:rPr>
          <w:rFonts w:ascii="宋体" w:hAnsi="宋体" w:cs="宋体" w:hint="eastAsia"/>
          <w:kern w:val="0"/>
          <w:sz w:val="24"/>
        </w:rPr>
        <w:t>立杆的垂直偏差应控制在不大于架高的</w:t>
      </w:r>
      <w:r>
        <w:rPr>
          <w:rFonts w:ascii="宋体" w:hAnsi="宋体" w:cs="宋体" w:hint="eastAsia"/>
          <w:kern w:val="0"/>
          <w:sz w:val="24"/>
        </w:rPr>
        <w:t>1/400</w:t>
      </w:r>
      <w:r>
        <w:rPr>
          <w:rFonts w:ascii="宋体" w:hAnsi="宋体" w:cs="宋体" w:hint="eastAsia"/>
          <w:kern w:val="0"/>
          <w:sz w:val="24"/>
        </w:rPr>
        <w:t>。</w:t>
      </w:r>
    </w:p>
    <w:p w:rsidR="005F7985">
      <w:pPr>
        <w:pStyle w:val="Normal0"/>
        <w:autoSpaceDE w:val="0"/>
        <w:autoSpaceDN w:val="0"/>
        <w:adjustRightInd w:val="0"/>
        <w:spacing w:line="360" w:lineRule="auto"/>
        <w:ind w:firstLine="480" w:firstLineChars="200"/>
        <w:rPr>
          <w:rFonts w:ascii="宋体" w:hAnsi="宋体" w:cs="宋体"/>
          <w:kern w:val="0"/>
          <w:sz w:val="24"/>
        </w:rPr>
      </w:pPr>
      <w:r>
        <w:rPr>
          <w:rFonts w:ascii="宋体" w:hAnsi="宋体" w:cs="宋体" w:hint="eastAsia"/>
          <w:kern w:val="0"/>
          <w:sz w:val="24"/>
        </w:rPr>
        <w:t>5)</w:t>
      </w:r>
      <w:r>
        <w:rPr>
          <w:rFonts w:ascii="宋体" w:hAnsi="宋体" w:cs="宋体" w:hint="eastAsia"/>
          <w:kern w:val="0"/>
          <w:sz w:val="24"/>
        </w:rPr>
        <w:t>开始搭设立杆时，每隔</w:t>
      </w:r>
      <w:r>
        <w:rPr>
          <w:rFonts w:ascii="宋体" w:hAnsi="宋体" w:cs="宋体" w:hint="eastAsia"/>
          <w:kern w:val="0"/>
          <w:sz w:val="24"/>
        </w:rPr>
        <w:t>4</w:t>
      </w:r>
      <w:r>
        <w:rPr>
          <w:rFonts w:ascii="宋体" w:hAnsi="宋体" w:cs="宋体" w:hint="eastAsia"/>
          <w:kern w:val="0"/>
          <w:sz w:val="24"/>
        </w:rPr>
        <w:t>跨设置一根抛撑，直至连墙件安装稳定后，方可根据情况拆除。</w:t>
      </w:r>
    </w:p>
    <w:p w:rsidR="005F7985">
      <w:pPr>
        <w:pStyle w:val="Normal0"/>
        <w:autoSpaceDE w:val="0"/>
        <w:autoSpaceDN w:val="0"/>
        <w:adjustRightInd w:val="0"/>
        <w:spacing w:line="360" w:lineRule="auto"/>
        <w:ind w:firstLine="480" w:firstLineChars="200"/>
        <w:rPr>
          <w:rFonts w:ascii="宋体" w:hAnsi="宋体" w:cs="宋体"/>
          <w:kern w:val="0"/>
          <w:sz w:val="24"/>
        </w:rPr>
      </w:pPr>
      <w:r>
        <w:rPr>
          <w:rFonts w:ascii="宋体" w:hAnsi="宋体" w:cs="宋体" w:hint="eastAsia"/>
          <w:kern w:val="0"/>
          <w:sz w:val="24"/>
        </w:rPr>
        <w:t>6)</w:t>
      </w:r>
      <w:r>
        <w:rPr>
          <w:rFonts w:ascii="宋体" w:hAnsi="宋体" w:cs="宋体" w:hint="eastAsia"/>
          <w:kern w:val="0"/>
          <w:sz w:val="24"/>
        </w:rPr>
        <w:t>立杆及纵横向水平杆构造要求见下图。</w:t>
      </w:r>
    </w:p>
    <w:p w:rsidR="005F7985">
      <w:pPr>
        <w:pStyle w:val="Normal0"/>
        <w:autoSpaceDE w:val="0"/>
        <w:autoSpaceDN w:val="0"/>
        <w:adjustRightInd w:val="0"/>
        <w:spacing w:line="360" w:lineRule="auto"/>
        <w:rPr>
          <w:rFonts w:ascii="宋体" w:cs="宋体"/>
          <w:kern w:val="0"/>
          <w:sz w:val="24"/>
        </w:rPr>
      </w:pPr>
      <w:r>
        <w:rPr>
          <w:rFonts w:ascii="宋体" w:cs="宋体"/>
          <w:kern w:val="0"/>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i1025" type="#_x0000_t75" style="width:459pt;height:240pt;mso-position-horizontal-relative:page;mso-position-vertical-relative:page;mso-wrap-style:square">
            <v:fill o:detectmouseclick="t"/>
            <v:imagedata r:id="rId5" o:title=""/>
          </v:shape>
        </w:pict>
      </w:r>
    </w:p>
    <w:p w:rsidR="005F7985">
      <w:pPr>
        <w:pStyle w:val="Normal0"/>
        <w:autoSpaceDE w:val="0"/>
        <w:autoSpaceDN w:val="0"/>
        <w:adjustRightInd w:val="0"/>
        <w:spacing w:line="360" w:lineRule="auto"/>
        <w:rPr>
          <w:rFonts w:ascii="宋体" w:cs="宋体"/>
          <w:kern w:val="0"/>
          <w:sz w:val="24"/>
        </w:rPr>
      </w:pPr>
      <w:r>
        <w:rPr>
          <w:rFonts w:ascii="宋体" w:cs="宋体"/>
          <w:kern w:val="0"/>
          <w:sz w:val="24"/>
        </w:rPr>
        <w:pict>
          <v:shape id="图片 4" o:spid="_x0000_i1026" type="#_x0000_t75" style="width:486pt;height:168pt;mso-position-horizontal-relative:page;mso-position-vertical-relative:page;mso-wrap-style:square">
            <v:fill o:detectmouseclick="t"/>
            <v:imagedata r:id="rId6" o:title="" cropbottom="674f" cropleft="1190f"/>
          </v:shape>
        </w:pict>
      </w:r>
    </w:p>
    <w:p w:rsidR="005F7985">
      <w:pPr>
        <w:pStyle w:val="Normal0"/>
        <w:autoSpaceDE w:val="0"/>
        <w:autoSpaceDN w:val="0"/>
        <w:adjustRightInd w:val="0"/>
        <w:spacing w:line="360" w:lineRule="auto"/>
        <w:jc w:val="center"/>
        <w:rPr>
          <w:rFonts w:ascii="宋体" w:cs="宋体"/>
          <w:kern w:val="0"/>
          <w:sz w:val="24"/>
        </w:rPr>
      </w:pPr>
      <w:r>
        <w:rPr>
          <w:rFonts w:ascii="宋体" w:cs="宋体" w:hint="eastAsia"/>
          <w:kern w:val="0"/>
          <w:sz w:val="24"/>
        </w:rPr>
        <w:t>立杆对接接头布置</w:t>
      </w:r>
    </w:p>
    <w:p w:rsidR="005F7985">
      <w:pPr>
        <w:pStyle w:val="Normal0"/>
        <w:autoSpaceDE w:val="0"/>
        <w:autoSpaceDN w:val="0"/>
        <w:adjustRightInd w:val="0"/>
        <w:spacing w:line="360" w:lineRule="auto"/>
        <w:rPr>
          <w:kern w:val="0"/>
          <w:sz w:val="24"/>
        </w:rPr>
        <w:sectPr>
          <w:type w:val="nextPage"/>
          <w:pgSz w:w="11906" w:h="16838"/>
          <w:pgMar w:top="1287" w:right="1152" w:bottom="1271" w:left="1094" w:header="851" w:footer="312" w:gutter="0"/>
          <w:pgNumType w:fmt="numberInDash" w:start="6"/>
          <w:cols w:space="708"/>
          <w:titlePg w:val="0"/>
          <w:docGrid w:type="lines" w:linePitch="312"/>
        </w:sectPr>
      </w:pPr>
    </w:p>
    <w:p w:rsidR="005F7985">
      <w:pPr>
        <w:pStyle w:val="Normal0"/>
        <w:autoSpaceDE w:val="0"/>
        <w:autoSpaceDN w:val="0"/>
        <w:adjustRightInd w:val="0"/>
        <w:spacing w:line="360" w:lineRule="auto"/>
        <w:rPr>
          <w:kern w:val="0"/>
          <w:sz w:val="24"/>
        </w:rPr>
      </w:pPr>
      <w:r>
        <w:rPr>
          <w:kern w:val="0"/>
          <w:sz w:val="24"/>
        </w:rPr>
        <w:pict>
          <v:shape id="图片 5" o:spid="_x0000_i1027" type="#_x0000_t75" style="width:412.5pt;height:205.5pt;mso-position-horizontal-relative:page;mso-position-vertical-relative:page;mso-wrap-style:square">
            <v:imagedata r:id="rId7" o:title=""/>
          </v:shape>
        </w:pict>
      </w:r>
    </w:p>
    <w:p w:rsidR="005F7985">
      <w:pPr>
        <w:pStyle w:val="Normal0"/>
        <w:autoSpaceDE w:val="0"/>
        <w:autoSpaceDN w:val="0"/>
        <w:adjustRightInd w:val="0"/>
        <w:spacing w:line="360" w:lineRule="auto"/>
        <w:jc w:val="center"/>
        <w:rPr>
          <w:color w:val="000000"/>
          <w:kern w:val="0"/>
          <w:sz w:val="24"/>
        </w:rPr>
      </w:pPr>
      <w:r>
        <w:rPr>
          <w:rFonts w:ascii="宋体" w:cs="宋体" w:hint="eastAsia"/>
          <w:kern w:val="0"/>
          <w:sz w:val="24"/>
        </w:rPr>
        <w:t>纵、横向扫地杆构造</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2</w:t>
      </w:r>
      <w:r>
        <w:rPr>
          <w:rFonts w:ascii="宋体" w:cs="宋体" w:hint="eastAsia"/>
          <w:kern w:val="0"/>
          <w:sz w:val="24"/>
        </w:rPr>
        <w:t>）</w:t>
      </w:r>
      <w:r>
        <w:rPr>
          <w:rFonts w:ascii="宋体" w:cs="宋体" w:hint="eastAsia"/>
          <w:kern w:val="0"/>
          <w:sz w:val="24"/>
        </w:rPr>
        <w:t>纵、横向水平杆</w:t>
      </w:r>
    </w:p>
    <w:p w:rsidR="005F7985">
      <w:pPr>
        <w:pStyle w:val="Normal0"/>
        <w:autoSpaceDE w:val="0"/>
        <w:autoSpaceDN w:val="0"/>
        <w:adjustRightInd w:val="0"/>
        <w:spacing w:line="360" w:lineRule="auto"/>
        <w:ind w:left="420" w:leftChars="200"/>
        <w:rPr>
          <w:rFonts w:ascii="宋体" w:cs="宋体"/>
          <w:kern w:val="0"/>
          <w:sz w:val="24"/>
        </w:rPr>
      </w:pPr>
      <w:r>
        <w:rPr>
          <w:rFonts w:ascii="宋体" w:cs="宋体" w:hint="eastAsia"/>
          <w:kern w:val="0"/>
          <w:sz w:val="24"/>
        </w:rPr>
        <w:t>1</w:t>
      </w:r>
      <w:r>
        <w:rPr>
          <w:rFonts w:ascii="宋体" w:cs="宋体" w:hint="eastAsia"/>
          <w:kern w:val="0"/>
          <w:sz w:val="24"/>
        </w:rPr>
        <w:t>）</w:t>
      </w:r>
      <w:r>
        <w:rPr>
          <w:rFonts w:ascii="宋体" w:cs="宋体" w:hint="eastAsia"/>
          <w:kern w:val="0"/>
          <w:sz w:val="24"/>
        </w:rPr>
        <w:t>纵向水平杆设置在立杆内侧，其长度不小于</w:t>
      </w:r>
      <w:r>
        <w:rPr>
          <w:kern w:val="0"/>
          <w:sz w:val="24"/>
        </w:rPr>
        <w:t>3</w:t>
      </w:r>
      <w:r>
        <w:rPr>
          <w:rFonts w:ascii="宋体" w:cs="宋体" w:hint="eastAsia"/>
          <w:kern w:val="0"/>
          <w:sz w:val="24"/>
        </w:rPr>
        <w:t>跨。纵向水平杆接长宜采用对接扣件连接，也可采用搭接。要求如下：</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当采用对接时，对接扣件应该交错布置，两根相邻纵向水平杆接头不宜设置在同步或同跨；不同步或不同跨两相邻接头在水平方向错开距离不应小于</w:t>
      </w:r>
      <w:r>
        <w:rPr>
          <w:kern w:val="0"/>
          <w:sz w:val="24"/>
        </w:rPr>
        <w:t>500mm</w:t>
      </w:r>
      <w:r>
        <w:rPr>
          <w:rFonts w:ascii="宋体" w:cs="宋体" w:hint="eastAsia"/>
          <w:kern w:val="0"/>
          <w:sz w:val="24"/>
        </w:rPr>
        <w:t>；各接头中心至最近主节点的距离不宜大于纵距的</w:t>
      </w:r>
      <w:r>
        <w:rPr>
          <w:kern w:val="0"/>
          <w:sz w:val="24"/>
        </w:rPr>
        <w:t>1/3</w:t>
      </w:r>
      <w:r>
        <w:rPr>
          <w:rFonts w:ascii="宋体" w:cs="宋体" w:hint="eastAsia"/>
          <w:kern w:val="0"/>
          <w:sz w:val="24"/>
        </w:rPr>
        <w:t>。</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当采用搭接时，搭接长度不应小于</w:t>
      </w:r>
      <w:r>
        <w:rPr>
          <w:kern w:val="0"/>
          <w:sz w:val="24"/>
        </w:rPr>
        <w:t>1m</w:t>
      </w:r>
      <w:r>
        <w:rPr>
          <w:rFonts w:ascii="宋体" w:cs="宋体" w:hint="eastAsia"/>
          <w:kern w:val="0"/>
          <w:sz w:val="24"/>
        </w:rPr>
        <w:t>，应等间距设置</w:t>
      </w:r>
      <w:r>
        <w:rPr>
          <w:kern w:val="0"/>
          <w:sz w:val="24"/>
        </w:rPr>
        <w:t>3</w:t>
      </w:r>
      <w:r>
        <w:rPr>
          <w:rFonts w:ascii="宋体" w:cs="宋体" w:hint="eastAsia"/>
          <w:kern w:val="0"/>
          <w:sz w:val="24"/>
        </w:rPr>
        <w:t>个旋转扣件固定，端部扣件盖板边缘至搭接纵向水平杆杆端的距离不应小于</w:t>
      </w:r>
      <w:r>
        <w:rPr>
          <w:kern w:val="0"/>
          <w:sz w:val="24"/>
        </w:rPr>
        <w:t>100mm</w:t>
      </w:r>
      <w:r>
        <w:rPr>
          <w:rFonts w:ascii="宋体" w:cs="宋体" w:hint="eastAsia"/>
          <w:kern w:val="0"/>
          <w:sz w:val="24"/>
        </w:rPr>
        <w:t>。</w:t>
      </w:r>
    </w:p>
    <w:p w:rsidR="005F7985">
      <w:pPr>
        <w:pStyle w:val="Normal0"/>
        <w:autoSpaceDE w:val="0"/>
        <w:autoSpaceDN w:val="0"/>
        <w:adjustRightInd w:val="0"/>
        <w:spacing w:line="360" w:lineRule="auto"/>
        <w:ind w:left="420" w:leftChars="200"/>
        <w:rPr>
          <w:rFonts w:ascii="宋体" w:cs="宋体"/>
          <w:kern w:val="0"/>
          <w:sz w:val="24"/>
        </w:rPr>
      </w:pPr>
      <w:r>
        <w:rPr>
          <w:rFonts w:ascii="宋体" w:cs="宋体" w:hint="eastAsia"/>
          <w:kern w:val="0"/>
          <w:sz w:val="24"/>
        </w:rPr>
        <w:t>2</w:t>
      </w:r>
      <w:r>
        <w:rPr>
          <w:rFonts w:ascii="宋体" w:cs="宋体" w:hint="eastAsia"/>
          <w:kern w:val="0"/>
          <w:sz w:val="24"/>
        </w:rPr>
        <w:t>）</w:t>
      </w:r>
      <w:r>
        <w:rPr>
          <w:rFonts w:ascii="宋体" w:cs="宋体" w:hint="eastAsia"/>
          <w:kern w:val="0"/>
          <w:sz w:val="24"/>
        </w:rPr>
        <w:t>立杆与纵向水平杆交点处设置横向水平杆，两端固定在立杆上，以形成空间结构整体受力。</w:t>
      </w:r>
    </w:p>
    <w:p w:rsidR="005F7985">
      <w:pPr>
        <w:pStyle w:val="Normal0"/>
        <w:autoSpaceDE w:val="0"/>
        <w:autoSpaceDN w:val="0"/>
        <w:adjustRightInd w:val="0"/>
        <w:spacing w:line="360" w:lineRule="auto"/>
        <w:ind w:firstLine="480" w:firstLineChars="200"/>
        <w:jc w:val="center"/>
        <w:rPr>
          <w:kern w:val="0"/>
          <w:sz w:val="24"/>
        </w:rPr>
      </w:pPr>
      <w:r>
        <w:rPr>
          <w:kern w:val="0"/>
          <w:sz w:val="24"/>
        </w:rPr>
        <w:pict>
          <v:shape id="图片 6" o:spid="_x0000_i1028" type="#_x0000_t75" style="width:386.25pt;height:180pt;mso-position-horizontal-relative:page;mso-position-vertical-relative:page;mso-wrap-style:square">
            <v:fill o:detectmouseclick="t"/>
            <v:imagedata r:id="rId8" o:title=""/>
          </v:shape>
        </w:pict>
      </w:r>
    </w:p>
    <w:p w:rsidR="005F7985">
      <w:pPr>
        <w:pStyle w:val="Normal0"/>
        <w:autoSpaceDE w:val="0"/>
        <w:autoSpaceDN w:val="0"/>
        <w:adjustRightInd w:val="0"/>
        <w:spacing w:line="360" w:lineRule="auto"/>
        <w:ind w:firstLine="360" w:firstLineChars="200"/>
        <w:jc w:val="center"/>
        <w:rPr>
          <w:rFonts w:ascii="宋体" w:cs="宋体"/>
          <w:kern w:val="0"/>
          <w:sz w:val="18"/>
          <w:szCs w:val="18"/>
        </w:rPr>
      </w:pPr>
      <w:r>
        <w:rPr>
          <w:rFonts w:ascii="宋体" w:cs="宋体" w:hint="eastAsia"/>
          <w:kern w:val="0"/>
          <w:sz w:val="18"/>
          <w:szCs w:val="18"/>
        </w:rPr>
        <w:t>纵向水平杆对接接头布置</w:t>
      </w:r>
    </w:p>
    <w:p w:rsidR="005F7985">
      <w:pPr>
        <w:pStyle w:val="Normal0"/>
        <w:autoSpaceDE w:val="0"/>
        <w:autoSpaceDN w:val="0"/>
        <w:adjustRightInd w:val="0"/>
        <w:spacing w:line="360" w:lineRule="auto"/>
        <w:ind w:firstLine="480" w:firstLineChars="200"/>
        <w:jc w:val="left"/>
        <w:rPr>
          <w:rFonts w:ascii="宋体" w:cs="宋体"/>
          <w:kern w:val="0"/>
          <w:sz w:val="24"/>
        </w:rPr>
        <w:sectPr>
          <w:type w:val="nextPage"/>
          <w:pgSz w:w="11906" w:h="16838"/>
          <w:pgMar w:top="1287" w:right="1152" w:bottom="1271" w:left="1094" w:header="851" w:footer="312" w:gutter="0"/>
          <w:pgNumType w:fmt="numberInDash" w:start="7"/>
          <w:cols w:space="708"/>
          <w:titlePg w:val="0"/>
          <w:docGrid w:type="lines" w:linePitch="312"/>
        </w:sectPr>
      </w:pPr>
      <w:r>
        <w:rPr>
          <w:rFonts w:ascii="宋体" w:cs="宋体" w:hint="eastAsia"/>
          <w:kern w:val="0"/>
          <w:sz w:val="24"/>
        </w:rPr>
        <w:t>（</w:t>
      </w:r>
      <w:r>
        <w:rPr>
          <w:rFonts w:ascii="宋体" w:cs="宋体" w:hint="eastAsia"/>
          <w:kern w:val="0"/>
          <w:sz w:val="24"/>
        </w:rPr>
        <w:t>3</w:t>
      </w:r>
      <w:r>
        <w:rPr>
          <w:rFonts w:ascii="宋体" w:cs="宋体" w:hint="eastAsia"/>
          <w:kern w:val="0"/>
          <w:sz w:val="24"/>
        </w:rPr>
        <w:t>）</w:t>
      </w:r>
      <w:r>
        <w:rPr>
          <w:rFonts w:ascii="宋体" w:cs="宋体" w:hint="eastAsia"/>
          <w:kern w:val="0"/>
          <w:sz w:val="24"/>
        </w:rPr>
        <w:t>剪刀撑设置</w:t>
      </w:r>
    </w:p>
    <w:p w:rsidR="005F7985">
      <w:pPr>
        <w:pStyle w:val="Normal0"/>
        <w:autoSpaceDE w:val="0"/>
        <w:autoSpaceDN w:val="0"/>
        <w:adjustRightInd w:val="0"/>
        <w:spacing w:line="360" w:lineRule="auto"/>
        <w:ind w:firstLine="480" w:firstLineChars="200"/>
        <w:rPr>
          <w:rFonts w:ascii="宋体" w:cs="宋体"/>
          <w:kern w:val="0"/>
          <w:sz w:val="24"/>
        </w:rPr>
      </w:pPr>
      <w:r>
        <w:rPr>
          <w:kern w:val="0"/>
          <w:sz w:val="24"/>
        </w:rPr>
        <w:t>1)</w:t>
      </w:r>
      <w:r>
        <w:rPr>
          <w:rFonts w:ascii="宋体" w:cs="宋体" w:hint="eastAsia"/>
          <w:kern w:val="0"/>
          <w:sz w:val="24"/>
        </w:rPr>
        <w:t>脚手架外侧立面整个长度和高度上连续设置剪刀撑；</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2)</w:t>
      </w:r>
      <w:r>
        <w:rPr>
          <w:rFonts w:ascii="宋体" w:cs="宋体" w:hint="eastAsia"/>
          <w:kern w:val="0"/>
          <w:sz w:val="24"/>
        </w:rPr>
        <w:t>每道剪刀撑宽度不应小于</w:t>
      </w:r>
      <w:r>
        <w:rPr>
          <w:rFonts w:ascii="宋体" w:cs="宋体"/>
          <w:kern w:val="0"/>
          <w:sz w:val="24"/>
        </w:rPr>
        <w:t>4</w:t>
      </w:r>
      <w:r>
        <w:rPr>
          <w:rFonts w:ascii="宋体" w:cs="宋体" w:hint="eastAsia"/>
          <w:kern w:val="0"/>
          <w:sz w:val="24"/>
        </w:rPr>
        <w:t>跨，且不应小于</w:t>
      </w:r>
      <w:r>
        <w:rPr>
          <w:rFonts w:ascii="宋体" w:cs="宋体"/>
          <w:kern w:val="0"/>
          <w:sz w:val="24"/>
        </w:rPr>
        <w:t>6m</w:t>
      </w:r>
      <w:r>
        <w:rPr>
          <w:rFonts w:ascii="宋体" w:cs="宋体" w:hint="eastAsia"/>
          <w:kern w:val="0"/>
          <w:sz w:val="24"/>
        </w:rPr>
        <w:t>，斜杆与地面的倾角宜在</w:t>
      </w:r>
      <w:r>
        <w:rPr>
          <w:kern w:val="0"/>
          <w:sz w:val="24"/>
        </w:rPr>
        <w:t>45°~60°</w:t>
      </w:r>
      <w:r>
        <w:rPr>
          <w:rFonts w:ascii="宋体" w:cs="宋体" w:hint="eastAsia"/>
          <w:kern w:val="0"/>
          <w:sz w:val="24"/>
        </w:rPr>
        <w:t>之间。</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3)</w:t>
      </w:r>
      <w:r>
        <w:rPr>
          <w:rFonts w:ascii="宋体" w:cs="宋体" w:hint="eastAsia"/>
          <w:kern w:val="0"/>
          <w:sz w:val="24"/>
        </w:rPr>
        <w:t>剪刀撑斜杆的接长应采用搭接或对接，采用搭接连接时，搭接长度不小于</w:t>
      </w:r>
      <w:r>
        <w:rPr>
          <w:kern w:val="0"/>
          <w:sz w:val="24"/>
        </w:rPr>
        <w:t>1m</w:t>
      </w:r>
      <w:r>
        <w:rPr>
          <w:rFonts w:ascii="宋体" w:cs="宋体" w:hint="eastAsia"/>
          <w:kern w:val="0"/>
          <w:sz w:val="24"/>
        </w:rPr>
        <w:t>，应采用不少于</w:t>
      </w:r>
      <w:r>
        <w:rPr>
          <w:rFonts w:ascii="宋体" w:cs="宋体" w:hint="eastAsia"/>
          <w:kern w:val="0"/>
          <w:sz w:val="24"/>
        </w:rPr>
        <w:t>3</w:t>
      </w:r>
      <w:r>
        <w:rPr>
          <w:rFonts w:ascii="宋体" w:cs="宋体" w:hint="eastAsia"/>
          <w:kern w:val="0"/>
          <w:sz w:val="24"/>
        </w:rPr>
        <w:t>个旋转扣件固定，端部扣件盖板的边缘至杆端距离不小于</w:t>
      </w:r>
      <w:r>
        <w:rPr>
          <w:rFonts w:ascii="宋体" w:cs="宋体"/>
          <w:kern w:val="0"/>
          <w:sz w:val="24"/>
        </w:rPr>
        <w:t>100mm</w:t>
      </w:r>
      <w:r>
        <w:rPr>
          <w:rFonts w:ascii="宋体" w:cs="宋体" w:hint="eastAsia"/>
          <w:kern w:val="0"/>
          <w:sz w:val="24"/>
        </w:rPr>
        <w:t>。</w:t>
      </w:r>
    </w:p>
    <w:p w:rsidR="005F7985">
      <w:pPr>
        <w:pStyle w:val="Normal0"/>
        <w:autoSpaceDE w:val="0"/>
        <w:autoSpaceDN w:val="0"/>
        <w:adjustRightInd w:val="0"/>
        <w:spacing w:line="360" w:lineRule="auto"/>
        <w:ind w:firstLine="420" w:firstLineChars="200"/>
        <w:jc w:val="center"/>
        <w:rPr>
          <w:rFonts w:ascii="宋体" w:cs="宋体"/>
          <w:kern w:val="0"/>
          <w:sz w:val="24"/>
        </w:rPr>
      </w:pPr>
      <w:r>
        <w:rPr>
          <w:szCs w:val="21"/>
        </w:rPr>
        <w:pict>
          <v:shape id="图片 20" o:spid="_x0000_i1029" type="#_x0000_t75" style="width:314.25pt;height:4in;mso-position-horizontal-relative:page;mso-position-vertical-relative:page;mso-wrap-style:square">
            <v:imagedata r:id="rId9" o:title="" croptop="6202f" cropbottom="7903f" cropleft="20781f" cropright="17518f"/>
          </v:shape>
        </w:pict>
      </w:r>
    </w:p>
    <w:p w:rsidR="005F7985">
      <w:pPr>
        <w:pStyle w:val="Normal0"/>
        <w:autoSpaceDE w:val="0"/>
        <w:autoSpaceDN w:val="0"/>
        <w:adjustRightInd w:val="0"/>
        <w:spacing w:line="360" w:lineRule="auto"/>
        <w:ind w:firstLine="480" w:firstLineChars="200"/>
        <w:jc w:val="center"/>
        <w:rPr>
          <w:rFonts w:ascii="宋体" w:cs="宋体"/>
          <w:kern w:val="0"/>
          <w:sz w:val="24"/>
        </w:rPr>
      </w:pPr>
      <w:r>
        <w:rPr>
          <w:rFonts w:ascii="宋体" w:cs="宋体"/>
          <w:kern w:val="0"/>
          <w:sz w:val="24"/>
        </w:rPr>
        <w:pict>
          <v:shape id="图片 7" o:spid="_x0000_i1030" type="#_x0000_t75" style="width:413.25pt;height:135.75pt;mso-position-horizontal-relative:page;mso-position-vertical-relative:page;mso-wrap-style:square">
            <v:imagedata r:id="rId10" o:title=""/>
          </v:shape>
        </w:pict>
      </w:r>
    </w:p>
    <w:p w:rsidR="005F7985">
      <w:pPr>
        <w:pStyle w:val="Normal0"/>
        <w:autoSpaceDE w:val="0"/>
        <w:autoSpaceDN w:val="0"/>
        <w:adjustRightInd w:val="0"/>
        <w:spacing w:line="360" w:lineRule="auto"/>
        <w:ind w:firstLine="480" w:firstLineChars="200"/>
        <w:jc w:val="center"/>
        <w:rPr>
          <w:rFonts w:ascii="宋体" w:cs="宋体"/>
          <w:kern w:val="0"/>
          <w:sz w:val="24"/>
        </w:rPr>
      </w:pPr>
      <w:r>
        <w:rPr>
          <w:rFonts w:ascii="宋体" w:cs="宋体" w:hint="eastAsia"/>
          <w:kern w:val="0"/>
          <w:sz w:val="24"/>
        </w:rPr>
        <w:t>剪刀撑（立杆）搭接构造</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4)</w:t>
      </w:r>
      <w:r>
        <w:rPr>
          <w:rFonts w:ascii="宋体" w:cs="宋体" w:hint="eastAsia"/>
          <w:kern w:val="0"/>
          <w:sz w:val="24"/>
        </w:rPr>
        <w:t>剪刀撑斜杆应用旋转扣件固定在与之相交的横向水平杆的伸出端或立杆上，旋转扣件中心线离主节点的距离不宜大于</w:t>
      </w:r>
      <w:r>
        <w:rPr>
          <w:kern w:val="0"/>
          <w:sz w:val="24"/>
        </w:rPr>
        <w:t>150mm</w:t>
      </w:r>
      <w:r>
        <w:rPr>
          <w:rFonts w:ascii="宋体" w:cs="宋体" w:hint="eastAsia"/>
          <w:kern w:val="0"/>
          <w:sz w:val="24"/>
        </w:rPr>
        <w:t>。</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4</w:t>
      </w:r>
      <w:r>
        <w:rPr>
          <w:rFonts w:ascii="宋体" w:cs="宋体" w:hint="eastAsia"/>
          <w:kern w:val="0"/>
          <w:sz w:val="24"/>
        </w:rPr>
        <w:t>）</w:t>
      </w:r>
      <w:r>
        <w:rPr>
          <w:rFonts w:ascii="宋体" w:cs="宋体" w:hint="eastAsia"/>
          <w:kern w:val="0"/>
          <w:sz w:val="24"/>
        </w:rPr>
        <w:t>脚手板、的铺设要求</w:t>
      </w:r>
    </w:p>
    <w:p w:rsidR="005F7985">
      <w:pPr>
        <w:pStyle w:val="Normal0"/>
        <w:autoSpaceDE w:val="0"/>
        <w:autoSpaceDN w:val="0"/>
        <w:adjustRightInd w:val="0"/>
        <w:spacing w:line="360" w:lineRule="auto"/>
        <w:ind w:firstLine="480" w:firstLineChars="200"/>
        <w:rPr>
          <w:rFonts w:ascii="宋体" w:cs="宋体"/>
          <w:kern w:val="0"/>
          <w:sz w:val="24"/>
        </w:rPr>
      </w:pPr>
      <w:r>
        <w:rPr>
          <w:kern w:val="0"/>
          <w:sz w:val="24"/>
        </w:rPr>
        <w:t xml:space="preserve">1) </w:t>
      </w:r>
      <w:r>
        <w:rPr>
          <w:rFonts w:ascii="宋体" w:cs="宋体" w:hint="eastAsia"/>
          <w:kern w:val="0"/>
          <w:sz w:val="24"/>
        </w:rPr>
        <w:t>脚手架里排立杆与结构层之间均应铺设脚手板，内外立杆间应满铺脚手板，无探头板。将脚手板两端与水平杆可靠固定，严防倾翻。</w:t>
      </w:r>
    </w:p>
    <w:p w:rsidR="005F7985">
      <w:pPr>
        <w:pStyle w:val="Normal0"/>
        <w:autoSpaceDE w:val="0"/>
        <w:autoSpaceDN w:val="0"/>
        <w:adjustRightInd w:val="0"/>
        <w:spacing w:line="360" w:lineRule="auto"/>
        <w:ind w:firstLine="480" w:firstLineChars="200"/>
        <w:rPr>
          <w:rFonts w:ascii="宋体" w:cs="宋体"/>
          <w:kern w:val="0"/>
          <w:sz w:val="24"/>
        </w:rPr>
        <w:sectPr>
          <w:type w:val="nextPage"/>
          <w:pgSz w:w="11906" w:h="16838"/>
          <w:pgMar w:top="1287" w:right="1152" w:bottom="1271" w:left="1094" w:header="851" w:footer="312" w:gutter="0"/>
          <w:pgNumType w:fmt="numberInDash" w:start="8"/>
          <w:cols w:space="708"/>
          <w:titlePg w:val="0"/>
          <w:docGrid w:type="lines" w:linePitch="312"/>
        </w:sectPr>
      </w:pPr>
      <w:r>
        <w:rPr>
          <w:kern w:val="0"/>
          <w:sz w:val="24"/>
        </w:rPr>
        <w:t xml:space="preserve">2) </w:t>
      </w:r>
      <w:r>
        <w:rPr>
          <w:rFonts w:ascii="宋体" w:cs="宋体" w:hint="eastAsia"/>
          <w:kern w:val="0"/>
          <w:sz w:val="24"/>
        </w:rPr>
        <w:t>满铺层脚手板必须垂直墙面横向铺设，满铺到位，不留空位，不能满铺处必须采取有效的防护措施。</w:t>
      </w:r>
    </w:p>
    <w:p w:rsidR="005F7985">
      <w:pPr>
        <w:pStyle w:val="Normal0"/>
        <w:autoSpaceDE w:val="0"/>
        <w:autoSpaceDN w:val="0"/>
        <w:adjustRightInd w:val="0"/>
        <w:spacing w:line="360" w:lineRule="auto"/>
        <w:ind w:firstLine="480" w:firstLineChars="200"/>
        <w:rPr>
          <w:rFonts w:ascii="宋体" w:cs="宋体"/>
          <w:kern w:val="0"/>
          <w:sz w:val="24"/>
        </w:rPr>
      </w:pPr>
      <w:r>
        <w:rPr>
          <w:kern w:val="0"/>
          <w:sz w:val="24"/>
        </w:rPr>
        <w:t xml:space="preserve">3) </w:t>
      </w:r>
      <w:r>
        <w:rPr>
          <w:rFonts w:ascii="宋体" w:cs="宋体" w:hint="eastAsia"/>
          <w:kern w:val="0"/>
          <w:sz w:val="24"/>
        </w:rPr>
        <w:t>脚手板须用</w:t>
      </w:r>
      <w:r>
        <w:rPr>
          <w:kern w:val="0"/>
          <w:sz w:val="24"/>
        </w:rPr>
        <w:t>12-14#</w:t>
      </w:r>
      <w:r>
        <w:rPr>
          <w:rFonts w:ascii="宋体" w:cs="宋体" w:hint="eastAsia"/>
          <w:kern w:val="0"/>
          <w:sz w:val="24"/>
        </w:rPr>
        <w:t>铅丝双股并联绑扎，不少于</w:t>
      </w:r>
      <w:r>
        <w:rPr>
          <w:kern w:val="0"/>
          <w:sz w:val="24"/>
        </w:rPr>
        <w:t>4</w:t>
      </w:r>
      <w:r>
        <w:rPr>
          <w:rFonts w:ascii="宋体" w:cs="宋体" w:hint="eastAsia"/>
          <w:kern w:val="0"/>
          <w:sz w:val="24"/>
        </w:rPr>
        <w:t>点，要求绑扎牢固，交接处平整，铺设时要选用完好无损的脚手板，发现有破损的要及时更换。</w:t>
      </w:r>
    </w:p>
    <w:p w:rsidR="005F7985">
      <w:pPr>
        <w:pStyle w:val="Normal0"/>
        <w:autoSpaceDE w:val="0"/>
        <w:autoSpaceDN w:val="0"/>
        <w:adjustRightInd w:val="0"/>
        <w:spacing w:line="360" w:lineRule="auto"/>
        <w:ind w:firstLine="480" w:firstLineChars="200"/>
        <w:jc w:val="center"/>
        <w:rPr>
          <w:rFonts w:ascii="宋体" w:cs="宋体"/>
          <w:kern w:val="0"/>
          <w:sz w:val="24"/>
        </w:rPr>
      </w:pPr>
      <w:r>
        <w:rPr>
          <w:rFonts w:ascii="宋体" w:cs="宋体"/>
          <w:kern w:val="0"/>
          <w:sz w:val="24"/>
        </w:rPr>
        <w:pict>
          <v:shape id="图片 8" o:spid="_x0000_i1031" type="#_x0000_t75" style="width:410.25pt;height:106.5pt;mso-position-horizontal-relative:page;mso-position-vertical-relative:page;mso-wrap-style:square">
            <v:imagedata r:id="rId11" o:title=""/>
          </v:shape>
        </w:pict>
      </w:r>
    </w:p>
    <w:p w:rsidR="005F7985">
      <w:pPr>
        <w:pStyle w:val="Normal0"/>
        <w:autoSpaceDE w:val="0"/>
        <w:autoSpaceDN w:val="0"/>
        <w:adjustRightInd w:val="0"/>
        <w:spacing w:line="360" w:lineRule="auto"/>
        <w:ind w:firstLine="480" w:firstLineChars="200"/>
        <w:jc w:val="center"/>
        <w:rPr>
          <w:rFonts w:ascii="宋体" w:cs="宋体"/>
          <w:kern w:val="0"/>
          <w:sz w:val="24"/>
        </w:rPr>
      </w:pPr>
      <w:r>
        <w:rPr>
          <w:rFonts w:ascii="宋体" w:cs="宋体"/>
          <w:kern w:val="0"/>
          <w:sz w:val="24"/>
        </w:rPr>
        <w:t xml:space="preserve"> </w:t>
      </w:r>
      <w:r>
        <w:rPr>
          <w:rFonts w:ascii="宋体" w:cs="宋体" w:hint="eastAsia"/>
          <w:kern w:val="0"/>
          <w:sz w:val="24"/>
        </w:rPr>
        <w:t>脚手</w:t>
      </w:r>
      <w:r>
        <w:rPr>
          <w:rFonts w:ascii="宋体" w:cs="宋体" w:hint="eastAsia"/>
          <w:kern w:val="0"/>
          <w:sz w:val="24"/>
        </w:rPr>
        <w:t>板对接</w:t>
      </w:r>
      <w:r>
        <w:rPr>
          <w:rFonts w:ascii="宋体" w:cs="宋体"/>
          <w:kern w:val="0"/>
          <w:sz w:val="24"/>
        </w:rPr>
        <w:t xml:space="preserve">                           </w:t>
      </w:r>
      <w:r>
        <w:rPr>
          <w:rFonts w:ascii="宋体" w:cs="宋体" w:hint="eastAsia"/>
          <w:kern w:val="0"/>
          <w:sz w:val="24"/>
        </w:rPr>
        <w:t>脚手板搭接</w:t>
      </w:r>
    </w:p>
    <w:p w:rsidR="005F7985">
      <w:pPr>
        <w:pStyle w:val="Normal0"/>
        <w:autoSpaceDE w:val="0"/>
        <w:autoSpaceDN w:val="0"/>
        <w:adjustRightInd w:val="0"/>
        <w:spacing w:line="360" w:lineRule="auto"/>
        <w:ind w:firstLine="480" w:firstLineChars="200"/>
        <w:jc w:val="center"/>
        <w:rPr>
          <w:rFonts w:ascii="宋体" w:cs="宋体"/>
          <w:kern w:val="0"/>
          <w:sz w:val="24"/>
        </w:rPr>
      </w:pPr>
      <w:r>
        <w:rPr>
          <w:rFonts w:ascii="宋体" w:cs="宋体" w:hint="eastAsia"/>
          <w:kern w:val="0"/>
          <w:sz w:val="24"/>
        </w:rPr>
        <w:t>脚手板对接、搭接构造</w:t>
      </w:r>
    </w:p>
    <w:p w:rsidR="005F7985">
      <w:pPr>
        <w:pStyle w:val="Normal0"/>
        <w:autoSpaceDE w:val="0"/>
        <w:autoSpaceDN w:val="0"/>
        <w:adjustRightInd w:val="0"/>
        <w:spacing w:line="360" w:lineRule="auto"/>
        <w:ind w:firstLine="480" w:firstLineChars="200"/>
        <w:rPr>
          <w:rFonts w:ascii="宋体" w:cs="宋体"/>
          <w:kern w:val="0"/>
          <w:sz w:val="24"/>
        </w:rPr>
      </w:pPr>
      <w:r>
        <w:rPr>
          <w:kern w:val="0"/>
          <w:sz w:val="24"/>
        </w:rPr>
        <w:t>4)</w:t>
      </w:r>
      <w:r>
        <w:rPr>
          <w:rFonts w:ascii="宋体" w:cs="宋体" w:hint="eastAsia"/>
          <w:kern w:val="0"/>
          <w:sz w:val="24"/>
        </w:rPr>
        <w:t>在拐角、斜道平台口处的脚手板，应与横向水平杆可靠连接，防止滑动；</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5</w:t>
      </w:r>
      <w:r>
        <w:rPr>
          <w:rFonts w:ascii="宋体" w:cs="宋体" w:hint="eastAsia"/>
          <w:kern w:val="0"/>
          <w:sz w:val="24"/>
        </w:rPr>
        <w:t>）</w:t>
      </w:r>
      <w:r>
        <w:rPr>
          <w:rFonts w:ascii="宋体" w:cs="宋体" w:hint="eastAsia"/>
          <w:kern w:val="0"/>
          <w:sz w:val="24"/>
        </w:rPr>
        <w:t>防护栏杆</w:t>
      </w:r>
    </w:p>
    <w:p w:rsidR="005F7985">
      <w:pPr>
        <w:pStyle w:val="Normal0"/>
        <w:autoSpaceDE w:val="0"/>
        <w:autoSpaceDN w:val="0"/>
        <w:adjustRightInd w:val="0"/>
        <w:spacing w:line="360" w:lineRule="auto"/>
        <w:ind w:left="420" w:leftChars="200"/>
        <w:rPr>
          <w:rFonts w:ascii="宋体" w:cs="宋体"/>
          <w:kern w:val="0"/>
          <w:sz w:val="24"/>
        </w:rPr>
      </w:pPr>
      <w:r>
        <w:rPr>
          <w:rFonts w:ascii="宋体" w:cs="宋体" w:hint="eastAsia"/>
          <w:kern w:val="0"/>
          <w:sz w:val="24"/>
        </w:rPr>
        <w:t>1</w:t>
      </w:r>
      <w:r>
        <w:rPr>
          <w:rFonts w:ascii="宋体" w:cs="宋体" w:hint="eastAsia"/>
          <w:kern w:val="0"/>
          <w:sz w:val="24"/>
        </w:rPr>
        <w:t>）</w:t>
      </w:r>
      <w:r>
        <w:rPr>
          <w:rFonts w:ascii="宋体" w:cs="宋体" w:hint="eastAsia"/>
          <w:kern w:val="0"/>
          <w:sz w:val="24"/>
        </w:rPr>
        <w:t>脚手架外侧使用建设主管部门认证的合格绿色密目式安全网封闭，且将安全网固定在脚手架外立杆内侧。</w:t>
      </w:r>
    </w:p>
    <w:p w:rsidR="005F7985">
      <w:pPr>
        <w:pStyle w:val="Normal0"/>
        <w:autoSpaceDE w:val="0"/>
        <w:autoSpaceDN w:val="0"/>
        <w:adjustRightInd w:val="0"/>
        <w:spacing w:line="360" w:lineRule="auto"/>
        <w:ind w:left="420" w:leftChars="200"/>
        <w:rPr>
          <w:rFonts w:ascii="宋体" w:cs="宋体"/>
          <w:kern w:val="0"/>
          <w:sz w:val="24"/>
        </w:rPr>
      </w:pPr>
      <w:r>
        <w:rPr>
          <w:rFonts w:ascii="宋体" w:cs="宋体" w:hint="eastAsia"/>
          <w:kern w:val="0"/>
          <w:sz w:val="24"/>
        </w:rPr>
        <w:t>2</w:t>
      </w:r>
      <w:r>
        <w:rPr>
          <w:rFonts w:ascii="宋体" w:cs="宋体" w:hint="eastAsia"/>
          <w:kern w:val="0"/>
          <w:sz w:val="24"/>
        </w:rPr>
        <w:t>）</w:t>
      </w:r>
      <w:r>
        <w:rPr>
          <w:rFonts w:ascii="宋体" w:cs="宋体" w:hint="eastAsia"/>
          <w:kern w:val="0"/>
          <w:sz w:val="24"/>
        </w:rPr>
        <w:t>选用</w:t>
      </w:r>
      <w:r>
        <w:rPr>
          <w:kern w:val="0"/>
          <w:sz w:val="24"/>
        </w:rPr>
        <w:t>18#</w:t>
      </w:r>
      <w:r>
        <w:rPr>
          <w:rFonts w:ascii="宋体" w:cs="宋体" w:hint="eastAsia"/>
          <w:kern w:val="0"/>
          <w:sz w:val="24"/>
        </w:rPr>
        <w:t>铅丝张挂安全网，要求严密、平整。</w:t>
      </w:r>
    </w:p>
    <w:p w:rsidR="005F7985">
      <w:pPr>
        <w:pStyle w:val="Normal0"/>
        <w:autoSpaceDE w:val="0"/>
        <w:autoSpaceDN w:val="0"/>
        <w:adjustRightInd w:val="0"/>
        <w:spacing w:line="360" w:lineRule="auto"/>
        <w:ind w:left="420" w:leftChars="200"/>
        <w:rPr>
          <w:rFonts w:ascii="宋体" w:cs="宋体"/>
          <w:kern w:val="0"/>
          <w:sz w:val="24"/>
        </w:rPr>
      </w:pPr>
      <w:r>
        <w:rPr>
          <w:rFonts w:ascii="宋体" w:cs="宋体" w:hint="eastAsia"/>
          <w:kern w:val="0"/>
          <w:sz w:val="24"/>
        </w:rPr>
        <w:t>3</w:t>
      </w:r>
      <w:r>
        <w:rPr>
          <w:rFonts w:ascii="宋体" w:cs="宋体" w:hint="eastAsia"/>
          <w:kern w:val="0"/>
          <w:sz w:val="24"/>
        </w:rPr>
        <w:t>）</w:t>
      </w:r>
      <w:r>
        <w:rPr>
          <w:rFonts w:ascii="宋体" w:cs="宋体" w:hint="eastAsia"/>
          <w:kern w:val="0"/>
          <w:sz w:val="24"/>
        </w:rPr>
        <w:t>脚手架外侧施工作业层必须在</w:t>
      </w:r>
      <w:r>
        <w:rPr>
          <w:rFonts w:ascii="宋体" w:cs="宋体"/>
          <w:kern w:val="0"/>
          <w:sz w:val="24"/>
        </w:rPr>
        <w:t>0.6m</w:t>
      </w:r>
      <w:r>
        <w:rPr>
          <w:rFonts w:ascii="宋体" w:cs="宋体" w:hint="eastAsia"/>
          <w:kern w:val="0"/>
          <w:sz w:val="24"/>
        </w:rPr>
        <w:t>、</w:t>
      </w:r>
      <w:r>
        <w:rPr>
          <w:kern w:val="0"/>
          <w:sz w:val="24"/>
        </w:rPr>
        <w:t>1.2m</w:t>
      </w:r>
      <w:r>
        <w:rPr>
          <w:rFonts w:ascii="宋体" w:cs="宋体" w:hint="eastAsia"/>
          <w:kern w:val="0"/>
          <w:sz w:val="24"/>
        </w:rPr>
        <w:t>高位置设置</w:t>
      </w:r>
      <w:r>
        <w:rPr>
          <w:rFonts w:ascii="宋体" w:cs="宋体"/>
          <w:kern w:val="0"/>
          <w:sz w:val="24"/>
        </w:rPr>
        <w:t>2</w:t>
      </w:r>
      <w:r>
        <w:rPr>
          <w:rFonts w:ascii="宋体" w:cs="宋体" w:hint="eastAsia"/>
          <w:kern w:val="0"/>
          <w:sz w:val="24"/>
        </w:rPr>
        <w:t>道防护栏杆和</w:t>
      </w:r>
      <w:r>
        <w:rPr>
          <w:kern w:val="0"/>
          <w:sz w:val="24"/>
        </w:rPr>
        <w:t>18cm</w:t>
      </w:r>
      <w:r>
        <w:rPr>
          <w:rFonts w:ascii="宋体" w:cs="宋体" w:hint="eastAsia"/>
          <w:kern w:val="0"/>
          <w:sz w:val="24"/>
        </w:rPr>
        <w:t>高挡脚板，栏杆和挡脚板均应搭设在外立杆的内侧。</w:t>
      </w:r>
      <w:r>
        <w:rPr>
          <w:rFonts w:ascii="宋体" w:cs="宋体"/>
          <w:kern w:val="0"/>
          <w:sz w:val="24"/>
        </w:rPr>
        <w:t xml:space="preserve"> </w:t>
      </w:r>
    </w:p>
    <w:p w:rsidR="005F7985">
      <w:pPr>
        <w:pStyle w:val="Normal0"/>
        <w:autoSpaceDE w:val="0"/>
        <w:autoSpaceDN w:val="0"/>
        <w:adjustRightInd w:val="0"/>
        <w:spacing w:line="360" w:lineRule="auto"/>
        <w:ind w:left="420" w:leftChars="200"/>
        <w:rPr>
          <w:rFonts w:ascii="宋体" w:cs="宋体"/>
          <w:kern w:val="0"/>
          <w:sz w:val="24"/>
        </w:rPr>
      </w:pPr>
      <w:r>
        <w:rPr>
          <w:rFonts w:ascii="宋体" w:cs="宋体" w:hint="eastAsia"/>
          <w:kern w:val="0"/>
          <w:sz w:val="24"/>
        </w:rPr>
        <w:t>4</w:t>
      </w:r>
      <w:r>
        <w:rPr>
          <w:rFonts w:ascii="宋体" w:cs="宋体" w:hint="eastAsia"/>
          <w:kern w:val="0"/>
          <w:sz w:val="24"/>
        </w:rPr>
        <w:t>）</w:t>
      </w:r>
      <w:r>
        <w:rPr>
          <w:rFonts w:ascii="宋体" w:cs="宋体" w:hint="eastAsia"/>
          <w:kern w:val="0"/>
          <w:sz w:val="24"/>
        </w:rPr>
        <w:t>脚手架内侧形成临边的</w:t>
      </w:r>
      <w:r>
        <w:rPr>
          <w:kern w:val="0"/>
          <w:sz w:val="24"/>
        </w:rPr>
        <w:t>(</w:t>
      </w:r>
      <w:r>
        <w:rPr>
          <w:rFonts w:ascii="宋体" w:cs="宋体" w:hint="eastAsia"/>
          <w:kern w:val="0"/>
          <w:sz w:val="24"/>
        </w:rPr>
        <w:t>如遇大开间门窗洞等</w:t>
      </w:r>
      <w:r>
        <w:rPr>
          <w:kern w:val="0"/>
          <w:sz w:val="24"/>
        </w:rPr>
        <w:t>)</w:t>
      </w:r>
      <w:r>
        <w:rPr>
          <w:rFonts w:ascii="宋体" w:cs="宋体" w:hint="eastAsia"/>
          <w:kern w:val="0"/>
          <w:sz w:val="24"/>
        </w:rPr>
        <w:t>，在脚手架内侧在</w:t>
      </w:r>
      <w:r>
        <w:rPr>
          <w:rFonts w:ascii="宋体" w:cs="宋体"/>
          <w:kern w:val="0"/>
          <w:sz w:val="24"/>
        </w:rPr>
        <w:t>0.6m</w:t>
      </w:r>
      <w:r>
        <w:rPr>
          <w:rFonts w:ascii="宋体" w:cs="宋体" w:hint="eastAsia"/>
          <w:kern w:val="0"/>
          <w:sz w:val="24"/>
        </w:rPr>
        <w:t>、</w:t>
      </w:r>
      <w:r>
        <w:rPr>
          <w:kern w:val="0"/>
          <w:sz w:val="24"/>
        </w:rPr>
        <w:t>1.2m</w:t>
      </w:r>
      <w:r>
        <w:rPr>
          <w:rFonts w:ascii="宋体" w:cs="宋体" w:hint="eastAsia"/>
          <w:kern w:val="0"/>
          <w:sz w:val="24"/>
        </w:rPr>
        <w:t>高位置设置</w:t>
      </w:r>
      <w:r>
        <w:rPr>
          <w:rFonts w:ascii="宋体" w:cs="宋体"/>
          <w:kern w:val="0"/>
          <w:sz w:val="24"/>
        </w:rPr>
        <w:t>2</w:t>
      </w:r>
      <w:r>
        <w:rPr>
          <w:rFonts w:ascii="宋体" w:cs="宋体" w:hint="eastAsia"/>
          <w:kern w:val="0"/>
          <w:sz w:val="24"/>
        </w:rPr>
        <w:t>道防护栏杆和</w:t>
      </w:r>
      <w:r>
        <w:rPr>
          <w:kern w:val="0"/>
          <w:sz w:val="24"/>
        </w:rPr>
        <w:t>18cm</w:t>
      </w:r>
      <w:r>
        <w:rPr>
          <w:rFonts w:ascii="宋体" w:cs="宋体" w:hint="eastAsia"/>
          <w:kern w:val="0"/>
          <w:sz w:val="24"/>
        </w:rPr>
        <w:t>高挡脚板。</w:t>
      </w:r>
    </w:p>
    <w:p w:rsidR="005F7985">
      <w:pPr>
        <w:pStyle w:val="Normal0"/>
        <w:autoSpaceDE w:val="0"/>
        <w:autoSpaceDN w:val="0"/>
        <w:adjustRightInd w:val="0"/>
        <w:spacing w:line="360" w:lineRule="auto"/>
        <w:ind w:left="420" w:leftChars="200"/>
        <w:rPr>
          <w:rFonts w:ascii="宋体" w:cs="宋体"/>
          <w:kern w:val="0"/>
          <w:sz w:val="24"/>
        </w:rPr>
        <w:sectPr>
          <w:type w:val="nextPage"/>
          <w:pgSz w:w="11906" w:h="16838"/>
          <w:pgMar w:top="1287" w:right="1152" w:bottom="1271" w:left="1094" w:header="851" w:footer="312" w:gutter="0"/>
          <w:pgNumType w:fmt="numberInDash" w:start="9"/>
          <w:cols w:space="708"/>
          <w:titlePg w:val="0"/>
          <w:docGrid w:type="lines" w:linePitch="312"/>
        </w:sectPr>
      </w:pPr>
      <w:r>
        <w:rPr>
          <w:rFonts w:ascii="宋体" w:cs="宋体" w:hint="eastAsia"/>
          <w:kern w:val="0"/>
          <w:sz w:val="24"/>
        </w:rPr>
        <w:t>6</w:t>
      </w:r>
      <w:r>
        <w:rPr>
          <w:rFonts w:ascii="宋体" w:cs="宋体" w:hint="eastAsia"/>
          <w:kern w:val="0"/>
          <w:sz w:val="24"/>
        </w:rPr>
        <w:t>）</w:t>
      </w:r>
      <w:r>
        <w:rPr>
          <w:rFonts w:ascii="宋体" w:cs="宋体" w:hint="eastAsia"/>
          <w:kern w:val="0"/>
          <w:sz w:val="24"/>
        </w:rPr>
        <w:t>脚手架上门洞、出入口构造示意图：</w:t>
      </w:r>
    </w:p>
    <w:p w:rsidR="005F7985">
      <w:pPr>
        <w:pStyle w:val="Normal0"/>
        <w:autoSpaceDE w:val="0"/>
        <w:autoSpaceDN w:val="0"/>
        <w:adjustRightInd w:val="0"/>
        <w:spacing w:line="360" w:lineRule="auto"/>
        <w:ind w:firstLine="480" w:firstLineChars="200"/>
        <w:jc w:val="center"/>
        <w:rPr>
          <w:rFonts w:ascii="宋体" w:cs="宋体"/>
          <w:kern w:val="0"/>
          <w:sz w:val="24"/>
        </w:rPr>
      </w:pPr>
      <w:r>
        <w:rPr>
          <w:rFonts w:ascii="宋体" w:cs="宋体"/>
          <w:kern w:val="0"/>
          <w:sz w:val="24"/>
        </w:rPr>
        <w:pict>
          <v:shape id="图片 9" o:spid="_x0000_i1032" type="#_x0000_t75" style="width:373.5pt;height:294pt;mso-position-horizontal-relative:page;mso-position-vertical-relative:page;mso-wrap-style:square">
            <v:imagedata r:id="rId12" o:title=""/>
          </v:shape>
        </w:pict>
      </w:r>
    </w:p>
    <w:p w:rsidR="005F7985">
      <w:pPr>
        <w:pStyle w:val="Normal0"/>
        <w:autoSpaceDE w:val="0"/>
        <w:autoSpaceDN w:val="0"/>
        <w:adjustRightInd w:val="0"/>
        <w:spacing w:line="360" w:lineRule="auto"/>
        <w:ind w:firstLine="480" w:firstLineChars="200"/>
        <w:rPr>
          <w:rFonts w:ascii="宋体" w:cs="宋体"/>
          <w:kern w:val="0"/>
          <w:sz w:val="24"/>
        </w:rPr>
      </w:pP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6)</w:t>
      </w:r>
      <w:r>
        <w:rPr>
          <w:rFonts w:ascii="宋体" w:cs="宋体" w:hint="eastAsia"/>
          <w:kern w:val="0"/>
          <w:sz w:val="24"/>
        </w:rPr>
        <w:t>连墙件</w:t>
      </w:r>
    </w:p>
    <w:p w:rsidR="005F7985">
      <w:pPr>
        <w:pStyle w:val="Normal0"/>
        <w:autoSpaceDE w:val="0"/>
        <w:autoSpaceDN w:val="0"/>
        <w:adjustRightInd w:val="0"/>
        <w:spacing w:line="360" w:lineRule="auto"/>
        <w:ind w:firstLine="480" w:firstLineChars="200"/>
        <w:rPr>
          <w:rFonts w:ascii="宋体" w:cs="宋体"/>
          <w:kern w:val="0"/>
          <w:sz w:val="24"/>
        </w:rPr>
      </w:pPr>
      <w:r>
        <w:rPr>
          <w:kern w:val="0"/>
          <w:sz w:val="24"/>
        </w:rPr>
        <w:t xml:space="preserve">1) </w:t>
      </w:r>
      <w:r>
        <w:rPr>
          <w:rFonts w:ascii="宋体" w:cs="宋体" w:hint="eastAsia"/>
          <w:kern w:val="0"/>
          <w:sz w:val="24"/>
        </w:rPr>
        <w:t>脚手架与建筑物按计算书中连墙件布置要求设拉结点。拉结点在转角范围内和顶部处加密。</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2)</w:t>
      </w:r>
      <w:r>
        <w:rPr>
          <w:rFonts w:ascii="宋体" w:cs="宋体" w:hint="eastAsia"/>
          <w:kern w:val="0"/>
          <w:sz w:val="24"/>
        </w:rPr>
        <w:t>连墙件中的连墙杆应呈水平设置，当不能水平设置时，应向脚手架一端下斜连接；</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3)</w:t>
      </w:r>
      <w:r>
        <w:rPr>
          <w:rFonts w:ascii="宋体" w:cs="宋体" w:hint="eastAsia"/>
          <w:kern w:val="0"/>
          <w:sz w:val="24"/>
        </w:rPr>
        <w:t>连墙件应从底层第一步纵向水平杆处开始设置，当该处设置有困难时，应采用其它可靠措施固定；</w:t>
      </w:r>
    </w:p>
    <w:p w:rsidR="005F7985">
      <w:pPr>
        <w:pStyle w:val="Normal0"/>
        <w:autoSpaceDE w:val="0"/>
        <w:autoSpaceDN w:val="0"/>
        <w:adjustRightInd w:val="0"/>
        <w:spacing w:line="360" w:lineRule="auto"/>
        <w:ind w:firstLine="480" w:firstLineChars="200"/>
        <w:rPr>
          <w:rFonts w:ascii="宋体" w:cs="宋体"/>
          <w:kern w:val="0"/>
          <w:sz w:val="24"/>
        </w:rPr>
      </w:pPr>
      <w:r>
        <w:rPr>
          <w:kern w:val="0"/>
          <w:sz w:val="24"/>
        </w:rPr>
        <w:t>4)</w:t>
      </w:r>
      <w:r>
        <w:rPr>
          <w:rFonts w:ascii="宋体" w:cs="宋体" w:hint="eastAsia"/>
          <w:kern w:val="0"/>
          <w:sz w:val="24"/>
        </w:rPr>
        <w:t>拉结点应保证牢固，防止其移动变形，且尽量设置在外架纵横向水平杆接点处。宜靠近主节点设置，偏离主</w:t>
      </w:r>
      <w:r>
        <w:rPr>
          <w:rFonts w:ascii="宋体" w:cs="宋体" w:hint="eastAsia"/>
          <w:kern w:val="0"/>
          <w:sz w:val="24"/>
        </w:rPr>
        <w:t>节点的距离不应大于</w:t>
      </w:r>
      <w:r>
        <w:rPr>
          <w:rFonts w:ascii="宋体" w:cs="宋体"/>
          <w:kern w:val="0"/>
          <w:sz w:val="24"/>
        </w:rPr>
        <w:t>300mm</w:t>
      </w:r>
      <w:r>
        <w:rPr>
          <w:rFonts w:ascii="宋体" w:cs="宋体" w:hint="eastAsia"/>
          <w:kern w:val="0"/>
          <w:sz w:val="24"/>
        </w:rPr>
        <w:t>；</w:t>
      </w:r>
    </w:p>
    <w:p w:rsidR="005F7985">
      <w:pPr>
        <w:pStyle w:val="Normal0"/>
        <w:autoSpaceDE w:val="0"/>
        <w:autoSpaceDN w:val="0"/>
        <w:adjustRightInd w:val="0"/>
        <w:spacing w:line="360" w:lineRule="auto"/>
        <w:ind w:firstLine="480" w:firstLineChars="200"/>
        <w:rPr>
          <w:rFonts w:ascii="宋体" w:cs="宋体"/>
          <w:kern w:val="0"/>
          <w:sz w:val="24"/>
        </w:rPr>
      </w:pPr>
      <w:r>
        <w:rPr>
          <w:kern w:val="0"/>
          <w:sz w:val="24"/>
        </w:rPr>
        <w:t>5)</w:t>
      </w:r>
      <w:r>
        <w:rPr>
          <w:rFonts w:ascii="宋体" w:cs="宋体" w:hint="eastAsia"/>
          <w:kern w:val="0"/>
          <w:sz w:val="24"/>
        </w:rPr>
        <w:t>外墙装饰阶段拉结点，也须满足上述要求，确因施工需要除去原拉结点时，必须重新补设可靠，有效的临时拉结点，以确保外架安全可靠；</w:t>
      </w:r>
    </w:p>
    <w:p w:rsidR="005F7985">
      <w:pPr>
        <w:pStyle w:val="Normal0"/>
        <w:autoSpaceDE w:val="0"/>
        <w:autoSpaceDN w:val="0"/>
        <w:adjustRightInd w:val="0"/>
        <w:spacing w:line="360" w:lineRule="auto"/>
        <w:ind w:firstLine="480" w:firstLineChars="200"/>
        <w:rPr>
          <w:rFonts w:ascii="宋体" w:cs="宋体"/>
          <w:kern w:val="0"/>
          <w:sz w:val="24"/>
        </w:rPr>
      </w:pPr>
      <w:r>
        <w:rPr>
          <w:kern w:val="0"/>
          <w:sz w:val="24"/>
        </w:rPr>
        <w:t>6)</w:t>
      </w:r>
      <w:r>
        <w:rPr>
          <w:rFonts w:ascii="宋体" w:cs="宋体" w:hint="eastAsia"/>
          <w:kern w:val="0"/>
          <w:sz w:val="24"/>
        </w:rPr>
        <w:t>当脚手架下部暂不能设连墙件时应采取防倾覆措施。当搭设抛撑时，抛撑应采用通长杆件并用旋转扣件固定在脚脚手架上，与地面的倾角应在</w:t>
      </w:r>
      <w:r>
        <w:rPr>
          <w:rFonts w:ascii="宋体" w:cs="宋体"/>
          <w:kern w:val="0"/>
          <w:sz w:val="24"/>
        </w:rPr>
        <w:t>45</w:t>
      </w:r>
      <w:r>
        <w:rPr>
          <w:rFonts w:ascii="宋体" w:cs="宋体" w:hint="eastAsia"/>
          <w:kern w:val="0"/>
          <w:sz w:val="24"/>
        </w:rPr>
        <w:t>°</w:t>
      </w:r>
      <w:r>
        <w:rPr>
          <w:kern w:val="0"/>
          <w:sz w:val="24"/>
        </w:rPr>
        <w:t>~</w:t>
      </w:r>
      <w:r>
        <w:rPr>
          <w:rFonts w:ascii="宋体" w:cs="宋体"/>
          <w:kern w:val="0"/>
          <w:sz w:val="24"/>
        </w:rPr>
        <w:t>60</w:t>
      </w:r>
      <w:r>
        <w:rPr>
          <w:rFonts w:ascii="宋体" w:cs="宋体" w:hint="eastAsia"/>
          <w:kern w:val="0"/>
          <w:sz w:val="24"/>
        </w:rPr>
        <w:t>°之间；连接点中心至主节点的距离不应大于</w:t>
      </w:r>
      <w:r>
        <w:rPr>
          <w:rFonts w:ascii="宋体" w:cs="宋体"/>
          <w:kern w:val="0"/>
          <w:sz w:val="24"/>
        </w:rPr>
        <w:t>300mm</w:t>
      </w:r>
      <w:r>
        <w:rPr>
          <w:rFonts w:ascii="宋体" w:cs="宋体" w:hint="eastAsia"/>
          <w:kern w:val="0"/>
          <w:sz w:val="24"/>
        </w:rPr>
        <w:t>。抛撑应在连墙件搭设后方可拆除。</w:t>
      </w:r>
    </w:p>
    <w:p w:rsidR="005F7985">
      <w:pPr>
        <w:pStyle w:val="Normal0"/>
        <w:autoSpaceDE w:val="0"/>
        <w:autoSpaceDN w:val="0"/>
        <w:adjustRightInd w:val="0"/>
        <w:spacing w:line="360" w:lineRule="auto"/>
        <w:ind w:firstLine="480" w:firstLineChars="200"/>
        <w:rPr>
          <w:rFonts w:ascii="宋体" w:cs="宋体"/>
          <w:kern w:val="0"/>
          <w:sz w:val="24"/>
        </w:rPr>
        <w:sectPr>
          <w:type w:val="nextPage"/>
          <w:pgSz w:w="11906" w:h="16838"/>
          <w:pgMar w:top="1287" w:right="1152" w:bottom="1271" w:left="1094" w:header="851" w:footer="312" w:gutter="0"/>
          <w:pgNumType w:fmt="numberInDash" w:start="10"/>
          <w:cols w:space="708"/>
          <w:titlePg w:val="0"/>
          <w:docGrid w:type="lines" w:linePitch="312"/>
        </w:sectPr>
      </w:pPr>
      <w:r>
        <w:rPr>
          <w:kern w:val="0"/>
          <w:sz w:val="24"/>
        </w:rPr>
        <w:t xml:space="preserve">7) </w:t>
      </w:r>
      <w:r>
        <w:rPr>
          <w:rFonts w:ascii="宋体" w:cs="宋体" w:hint="eastAsia"/>
          <w:kern w:val="0"/>
          <w:sz w:val="24"/>
        </w:rPr>
        <w:t>连墙件构造示意图：</w:t>
      </w:r>
    </w:p>
    <w:p w:rsidR="005F7985">
      <w:pPr>
        <w:pStyle w:val="Normal0"/>
        <w:autoSpaceDE w:val="0"/>
        <w:autoSpaceDN w:val="0"/>
        <w:adjustRightInd w:val="0"/>
        <w:spacing w:line="360" w:lineRule="auto"/>
        <w:ind w:firstLine="480" w:firstLineChars="200"/>
        <w:jc w:val="center"/>
        <w:rPr>
          <w:kern w:val="0"/>
          <w:sz w:val="24"/>
        </w:rPr>
      </w:pPr>
      <w:r>
        <w:rPr>
          <w:rFonts w:ascii="宋体" w:cs="宋体"/>
          <w:kern w:val="0"/>
          <w:sz w:val="24"/>
        </w:rPr>
        <w:pict>
          <v:shape id="图片 10" o:spid="_x0000_i1033" type="#_x0000_t75" style="width:375pt;height:359.25pt;mso-position-horizontal-relative:page;mso-position-vertical-relative:page;mso-wrap-style:square">
            <v:imagedata r:id="rId13" o:title=""/>
          </v:shape>
        </w:pict>
      </w:r>
      <w:r>
        <w:rPr>
          <w:kern w:val="0"/>
          <w:sz w:val="24"/>
        </w:rPr>
        <w:tab/>
      </w:r>
      <w:r>
        <w:rPr>
          <w:b/>
          <w:bCs/>
          <w:color w:val="000000"/>
          <w:kern w:val="0"/>
          <w:sz w:val="28"/>
          <w:szCs w:val="28"/>
        </w:rPr>
        <w:pict>
          <v:shape id="图片 11" o:spid="_x0000_i1034" type="#_x0000_t75" style="width:345.75pt;height:206.25pt;mso-position-horizontal-relative:page;mso-position-vertical-relative:page;mso-wrap-style:square">
            <v:imagedata r:id="rId14" o:title=""/>
          </v:shape>
        </w:pict>
      </w:r>
    </w:p>
    <w:p w:rsidR="005F7985">
      <w:pPr>
        <w:pStyle w:val="Normal0"/>
        <w:autoSpaceDE w:val="0"/>
        <w:autoSpaceDN w:val="0"/>
        <w:adjustRightInd w:val="0"/>
        <w:spacing w:line="360" w:lineRule="auto"/>
        <w:ind w:firstLine="480" w:firstLineChars="200"/>
        <w:jc w:val="center"/>
        <w:rPr>
          <w:kern w:val="0"/>
          <w:sz w:val="24"/>
        </w:rPr>
      </w:pPr>
      <w:r>
        <w:rPr>
          <w:rFonts w:hint="eastAsia"/>
          <w:kern w:val="0"/>
          <w:sz w:val="24"/>
        </w:rPr>
        <w:t>两条</w:t>
      </w:r>
      <w:r>
        <w:rPr>
          <w:rFonts w:hint="eastAsia"/>
          <w:kern w:val="0"/>
          <w:sz w:val="24"/>
        </w:rPr>
        <w:t>24M</w:t>
      </w:r>
      <w:r>
        <w:rPr>
          <w:rFonts w:hint="eastAsia"/>
          <w:kern w:val="0"/>
          <w:sz w:val="24"/>
        </w:rPr>
        <w:t>膨胀螺栓连墙件</w:t>
      </w:r>
    </w:p>
    <w:p w:rsidR="005F7985">
      <w:pPr>
        <w:pStyle w:val="Normal0"/>
        <w:autoSpaceDE w:val="0"/>
        <w:autoSpaceDN w:val="0"/>
        <w:adjustRightInd w:val="0"/>
        <w:spacing w:line="360" w:lineRule="auto"/>
        <w:ind w:firstLine="480" w:firstLineChars="200"/>
        <w:rPr>
          <w:kern w:val="0"/>
          <w:sz w:val="24"/>
        </w:rPr>
      </w:pPr>
    </w:p>
    <w:p w:rsidR="005F7985">
      <w:pPr>
        <w:pStyle w:val="Normal0"/>
        <w:autoSpaceDE w:val="0"/>
        <w:autoSpaceDN w:val="0"/>
        <w:adjustRightInd w:val="0"/>
        <w:spacing w:line="360" w:lineRule="auto"/>
        <w:ind w:firstLine="480" w:firstLineChars="200"/>
        <w:jc w:val="center"/>
        <w:rPr>
          <w:rFonts w:ascii="宋体" w:cs="宋体"/>
          <w:kern w:val="0"/>
          <w:sz w:val="24"/>
        </w:rPr>
      </w:pPr>
      <w:r>
        <w:rPr>
          <w:kern w:val="0"/>
          <w:sz w:val="24"/>
        </w:rPr>
        <w:t>1-</w:t>
      </w:r>
      <w:r>
        <w:rPr>
          <w:rFonts w:ascii="宋体" w:cs="宋体" w:hint="eastAsia"/>
          <w:kern w:val="0"/>
          <w:sz w:val="24"/>
        </w:rPr>
        <w:t>垫木；</w:t>
      </w:r>
      <w:r>
        <w:rPr>
          <w:kern w:val="0"/>
          <w:sz w:val="24"/>
        </w:rPr>
        <w:t>2-</w:t>
      </w:r>
      <w:r>
        <w:rPr>
          <w:rFonts w:ascii="宋体" w:cs="宋体" w:hint="eastAsia"/>
          <w:kern w:val="0"/>
          <w:sz w:val="24"/>
        </w:rPr>
        <w:t>短钢管；</w:t>
      </w:r>
      <w:r>
        <w:rPr>
          <w:kern w:val="0"/>
          <w:sz w:val="24"/>
        </w:rPr>
        <w:t>3-</w:t>
      </w:r>
      <w:r>
        <w:rPr>
          <w:rFonts w:ascii="宋体" w:cs="宋体" w:hint="eastAsia"/>
          <w:kern w:val="0"/>
          <w:sz w:val="24"/>
        </w:rPr>
        <w:t>直角扣件；</w:t>
      </w:r>
      <w:r>
        <w:rPr>
          <w:kern w:val="0"/>
          <w:sz w:val="24"/>
        </w:rPr>
        <w:t>4-</w:t>
      </w:r>
      <w:r>
        <w:rPr>
          <w:rFonts w:ascii="宋体" w:cs="宋体" w:hint="eastAsia"/>
          <w:kern w:val="0"/>
          <w:sz w:val="24"/>
        </w:rPr>
        <w:t>横向水平杆；</w:t>
      </w:r>
      <w:r>
        <w:rPr>
          <w:kern w:val="0"/>
          <w:sz w:val="24"/>
        </w:rPr>
        <w:t>5-</w:t>
      </w:r>
      <w:r>
        <w:rPr>
          <w:rFonts w:ascii="宋体" w:cs="宋体" w:hint="eastAsia"/>
          <w:kern w:val="0"/>
          <w:sz w:val="24"/>
        </w:rPr>
        <w:t>附加钢管</w:t>
      </w:r>
    </w:p>
    <w:p w:rsidR="005F7985">
      <w:pPr>
        <w:pStyle w:val="Normal0"/>
        <w:autoSpaceDE w:val="0"/>
        <w:autoSpaceDN w:val="0"/>
        <w:adjustRightInd w:val="0"/>
        <w:spacing w:line="360" w:lineRule="auto"/>
        <w:ind w:firstLine="480" w:firstLineChars="200"/>
        <w:jc w:val="center"/>
        <w:rPr>
          <w:rFonts w:ascii="宋体" w:cs="宋体"/>
          <w:kern w:val="0"/>
          <w:sz w:val="24"/>
        </w:rPr>
      </w:pPr>
      <w:r>
        <w:rPr>
          <w:rFonts w:ascii="宋体" w:cs="宋体" w:hint="eastAsia"/>
          <w:kern w:val="0"/>
          <w:sz w:val="24"/>
        </w:rPr>
        <w:t>脚手架刚性连墙件构造示意图</w:t>
      </w:r>
    </w:p>
    <w:p w:rsidR="005F7985">
      <w:pPr>
        <w:pStyle w:val="Normal0"/>
        <w:autoSpaceDE w:val="0"/>
        <w:autoSpaceDN w:val="0"/>
        <w:adjustRightInd w:val="0"/>
        <w:spacing w:line="360" w:lineRule="auto"/>
        <w:ind w:firstLine="480" w:firstLineChars="200"/>
        <w:jc w:val="center"/>
        <w:rPr>
          <w:rFonts w:ascii="宋体" w:cs="宋体"/>
          <w:kern w:val="0"/>
          <w:sz w:val="24"/>
        </w:rPr>
        <w:sectPr>
          <w:type w:val="nextPage"/>
          <w:pgSz w:w="11906" w:h="16838"/>
          <w:pgMar w:top="1287" w:right="1152" w:bottom="1271" w:left="1094" w:header="851" w:footer="312" w:gutter="0"/>
          <w:pgNumType w:fmt="numberInDash" w:start="11"/>
          <w:cols w:space="708"/>
          <w:titlePg w:val="0"/>
          <w:docGrid w:type="lines" w:linePitch="312"/>
        </w:sectPr>
      </w:pP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(7)</w:t>
      </w:r>
      <w:r>
        <w:rPr>
          <w:rFonts w:ascii="宋体" w:cs="宋体" w:hint="eastAsia"/>
          <w:kern w:val="0"/>
          <w:sz w:val="24"/>
        </w:rPr>
        <w:t>架体内封闭</w:t>
      </w:r>
    </w:p>
    <w:p w:rsidR="005F7985">
      <w:pPr>
        <w:pStyle w:val="Normal0"/>
        <w:autoSpaceDE w:val="0"/>
        <w:autoSpaceDN w:val="0"/>
        <w:adjustRightInd w:val="0"/>
        <w:spacing w:line="360" w:lineRule="auto"/>
        <w:ind w:firstLine="480" w:firstLineChars="200"/>
        <w:rPr>
          <w:rFonts w:ascii="宋体" w:cs="宋体"/>
          <w:kern w:val="0"/>
          <w:sz w:val="24"/>
        </w:rPr>
      </w:pPr>
      <w:r>
        <w:rPr>
          <w:kern w:val="0"/>
          <w:sz w:val="24"/>
        </w:rPr>
        <w:t>1)</w:t>
      </w:r>
      <w:r>
        <w:rPr>
          <w:rFonts w:ascii="宋体" w:cs="宋体" w:hint="eastAsia"/>
          <w:kern w:val="0"/>
          <w:sz w:val="24"/>
        </w:rPr>
        <w:t>脚手架的架体内立杆距墙体净距最多为</w:t>
      </w:r>
      <w:r>
        <w:rPr>
          <w:kern w:val="0"/>
          <w:sz w:val="24"/>
        </w:rPr>
        <w:t>200mm</w:t>
      </w:r>
      <w:r>
        <w:rPr>
          <w:rFonts w:ascii="宋体" w:cs="宋体" w:hint="eastAsia"/>
          <w:kern w:val="0"/>
          <w:sz w:val="24"/>
        </w:rPr>
        <w:t>，如因结构设计的限制大于</w:t>
      </w:r>
      <w:r>
        <w:rPr>
          <w:kern w:val="0"/>
          <w:sz w:val="24"/>
        </w:rPr>
        <w:t>200mm</w:t>
      </w:r>
      <w:r>
        <w:rPr>
          <w:rFonts w:ascii="宋体" w:cs="宋体" w:hint="eastAsia"/>
          <w:kern w:val="0"/>
          <w:sz w:val="24"/>
        </w:rPr>
        <w:t>的必须铺设站人板，站人板设置平整牢固。</w:t>
      </w:r>
    </w:p>
    <w:p w:rsidR="005F7985">
      <w:pPr>
        <w:pStyle w:val="Normal0"/>
        <w:autoSpaceDE w:val="0"/>
        <w:autoSpaceDN w:val="0"/>
        <w:adjustRightInd w:val="0"/>
        <w:spacing w:line="360" w:lineRule="auto"/>
        <w:ind w:firstLine="480" w:firstLineChars="200"/>
        <w:rPr>
          <w:rFonts w:ascii="宋体" w:cs="宋体"/>
          <w:kern w:val="0"/>
          <w:sz w:val="24"/>
        </w:rPr>
      </w:pPr>
      <w:r>
        <w:rPr>
          <w:kern w:val="0"/>
          <w:sz w:val="24"/>
        </w:rPr>
        <w:t>2)</w:t>
      </w:r>
      <w:r>
        <w:rPr>
          <w:rFonts w:ascii="宋体" w:cs="宋体" w:hint="eastAsia"/>
          <w:kern w:val="0"/>
          <w:sz w:val="24"/>
        </w:rPr>
        <w:t>脚手架施工层内立杆与建筑物之间应采用脚手板或木板进行封闭。</w:t>
      </w:r>
    </w:p>
    <w:p w:rsidR="005F7985">
      <w:pPr>
        <w:pStyle w:val="Normal0"/>
        <w:autoSpaceDE w:val="0"/>
        <w:autoSpaceDN w:val="0"/>
        <w:adjustRightInd w:val="0"/>
        <w:spacing w:line="360" w:lineRule="auto"/>
        <w:ind w:firstLine="480" w:firstLineChars="200"/>
        <w:rPr>
          <w:rFonts w:ascii="宋体" w:cs="宋体"/>
          <w:kern w:val="0"/>
          <w:sz w:val="24"/>
        </w:rPr>
      </w:pPr>
      <w:r>
        <w:rPr>
          <w:kern w:val="0"/>
          <w:sz w:val="24"/>
        </w:rPr>
        <w:t>3)</w:t>
      </w:r>
      <w:r>
        <w:rPr>
          <w:rFonts w:ascii="宋体" w:cs="宋体" w:hint="eastAsia"/>
          <w:kern w:val="0"/>
          <w:sz w:val="24"/>
        </w:rPr>
        <w:t>施工层以下脚手架、每不大于</w:t>
      </w:r>
      <w:r>
        <w:rPr>
          <w:kern w:val="0"/>
          <w:sz w:val="24"/>
        </w:rPr>
        <w:t>10m</w:t>
      </w:r>
      <w:r>
        <w:rPr>
          <w:rFonts w:ascii="宋体" w:cs="宋体" w:hint="eastAsia"/>
          <w:kern w:val="0"/>
          <w:sz w:val="24"/>
        </w:rPr>
        <w:t>以及底部用双层网兜进行封闭。</w:t>
      </w:r>
    </w:p>
    <w:p w:rsidR="005F7985">
      <w:pPr>
        <w:pStyle w:val="Heading3"/>
      </w:pPr>
      <w:bookmarkStart w:id="83" w:name="_Toc454430408"/>
      <w:bookmarkStart w:id="84" w:name="_Toc27338"/>
      <w:bookmarkStart w:id="85" w:name="_Toc15538"/>
      <w:bookmarkStart w:id="86" w:name="_Toc7419"/>
      <w:bookmarkStart w:id="87" w:name="_Toc11134"/>
      <w:r>
        <w:rPr>
          <w:rFonts w:hint="eastAsia"/>
        </w:rPr>
        <w:t>检查验收</w:t>
      </w:r>
      <w:bookmarkEnd w:id="83"/>
      <w:bookmarkEnd w:id="84"/>
      <w:bookmarkEnd w:id="85"/>
      <w:bookmarkEnd w:id="86"/>
      <w:bookmarkEnd w:id="87"/>
    </w:p>
    <w:p w:rsidR="005F7985">
      <w:pPr>
        <w:pStyle w:val="Heading4"/>
      </w:pPr>
      <w:r>
        <w:rPr>
          <w:rFonts w:hint="eastAsia"/>
        </w:rPr>
        <w:t>脚手架搭设前，对进入现场的各种构配件应按下列规定进行检查验收，不合格的应及时清除出场</w:t>
      </w:r>
    </w:p>
    <w:p w:rsidR="005F7985">
      <w:pPr>
        <w:pStyle w:val="Normal0"/>
        <w:numPr>
          <w:ilvl w:val="0"/>
          <w:numId w:val="17"/>
        </w:numPr>
        <w:tabs>
          <w:tab w:val="left" w:pos="360"/>
        </w:tabs>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构配件应有相应的产品标识及产品质量合格证；</w:t>
      </w:r>
    </w:p>
    <w:p w:rsidR="005F7985">
      <w:pPr>
        <w:pStyle w:val="Normal0"/>
        <w:numPr>
          <w:ilvl w:val="0"/>
          <w:numId w:val="17"/>
        </w:numPr>
        <w:tabs>
          <w:tab w:val="left" w:pos="360"/>
        </w:tabs>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构配件应有相应的产品主要技术参数及产品使用说明书；</w:t>
      </w:r>
    </w:p>
    <w:p w:rsidR="005F7985">
      <w:pPr>
        <w:pStyle w:val="Normal0"/>
        <w:numPr>
          <w:ilvl w:val="0"/>
          <w:numId w:val="17"/>
        </w:numPr>
        <w:tabs>
          <w:tab w:val="left" w:pos="360"/>
        </w:tabs>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当对构配件质量有疑问时，应进行质量抽检和实验。</w:t>
      </w:r>
    </w:p>
    <w:p w:rsidR="005F7985">
      <w:pPr>
        <w:pStyle w:val="Heading4"/>
      </w:pPr>
      <w:r>
        <w:rPr>
          <w:rFonts w:hint="eastAsia"/>
        </w:rPr>
        <w:t>脚手架下列阶段进行检查与验收，应按规定对脚手架工程的质量进行检查，经检查合格后方可交付使用</w:t>
      </w:r>
      <w:r>
        <w:t>:</w:t>
      </w:r>
    </w:p>
    <w:p w:rsidR="005F7985">
      <w:pPr>
        <w:pStyle w:val="Normal0"/>
        <w:numPr>
          <w:ilvl w:val="0"/>
          <w:numId w:val="6"/>
        </w:numPr>
        <w:tabs>
          <w:tab w:val="left" w:pos="360"/>
        </w:tabs>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基础完工后及脚手架搭设前；</w:t>
      </w:r>
    </w:p>
    <w:p w:rsidR="005F7985">
      <w:pPr>
        <w:pStyle w:val="Normal0"/>
        <w:numPr>
          <w:ilvl w:val="0"/>
          <w:numId w:val="6"/>
        </w:numPr>
        <w:tabs>
          <w:tab w:val="left" w:pos="360"/>
        </w:tabs>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作业层上施加荷载前；</w:t>
      </w:r>
    </w:p>
    <w:p w:rsidR="005F7985">
      <w:pPr>
        <w:pStyle w:val="Normal0"/>
        <w:numPr>
          <w:ilvl w:val="0"/>
          <w:numId w:val="6"/>
        </w:numPr>
        <w:tabs>
          <w:tab w:val="left" w:pos="360"/>
        </w:tabs>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每搭设完两层后；</w:t>
      </w:r>
    </w:p>
    <w:p w:rsidR="005F7985">
      <w:pPr>
        <w:pStyle w:val="Normal0"/>
        <w:numPr>
          <w:ilvl w:val="0"/>
          <w:numId w:val="6"/>
        </w:numPr>
        <w:tabs>
          <w:tab w:val="left" w:pos="360"/>
        </w:tabs>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达到设计高度后；</w:t>
      </w:r>
    </w:p>
    <w:p w:rsidR="005F7985">
      <w:pPr>
        <w:pStyle w:val="Normal0"/>
        <w:numPr>
          <w:ilvl w:val="0"/>
          <w:numId w:val="6"/>
        </w:numPr>
        <w:tabs>
          <w:tab w:val="left" w:pos="360"/>
        </w:tabs>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遇有六级强风及以上风或大雨后；</w:t>
      </w:r>
    </w:p>
    <w:p w:rsidR="005F7985">
      <w:pPr>
        <w:pStyle w:val="Normal0"/>
        <w:numPr>
          <w:ilvl w:val="0"/>
          <w:numId w:val="6"/>
        </w:numPr>
        <w:tabs>
          <w:tab w:val="left" w:pos="360"/>
        </w:tabs>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停用超过一个月。</w:t>
      </w:r>
    </w:p>
    <w:p w:rsidR="005F7985">
      <w:pPr>
        <w:pStyle w:val="Heading4"/>
      </w:pPr>
      <w:r>
        <w:rPr>
          <w:rFonts w:hint="eastAsia"/>
        </w:rPr>
        <w:t>架子搭设和组装完毕，使用前必须由项目经理、技术负责人、项目安全负责人、架子班长等人员组成验收小组，进行验收，并填写验收单。</w:t>
      </w:r>
    </w:p>
    <w:p w:rsidR="005F7985">
      <w:pPr>
        <w:pStyle w:val="Heading4"/>
      </w:pPr>
      <w:r>
        <w:rPr>
          <w:rFonts w:hint="eastAsia"/>
        </w:rPr>
        <w:t>验收时应具备下列文件</w:t>
      </w:r>
    </w:p>
    <w:p w:rsidR="005F7985">
      <w:pPr>
        <w:pStyle w:val="Normal0"/>
        <w:numPr>
          <w:ilvl w:val="0"/>
          <w:numId w:val="7"/>
        </w:numPr>
        <w:tabs>
          <w:tab w:val="left" w:pos="360"/>
        </w:tabs>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根据编制依据相关文件规范、标准要求所</w:t>
      </w:r>
      <w:r>
        <w:rPr>
          <w:rFonts w:ascii="宋体" w:cs="宋体" w:hint="eastAsia"/>
          <w:kern w:val="0"/>
          <w:sz w:val="24"/>
        </w:rPr>
        <w:t>形成的施工组织设计文件；</w:t>
      </w:r>
    </w:p>
    <w:p w:rsidR="005F7985">
      <w:pPr>
        <w:pStyle w:val="Normal0"/>
        <w:numPr>
          <w:ilvl w:val="0"/>
          <w:numId w:val="7"/>
        </w:numPr>
        <w:tabs>
          <w:tab w:val="left" w:pos="360"/>
        </w:tabs>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专项施工方案及变更文件；</w:t>
      </w:r>
    </w:p>
    <w:p w:rsidR="005F7985">
      <w:pPr>
        <w:pStyle w:val="Normal0"/>
        <w:numPr>
          <w:ilvl w:val="0"/>
          <w:numId w:val="7"/>
        </w:numPr>
        <w:tabs>
          <w:tab w:val="left" w:pos="360"/>
        </w:tabs>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安全技术交底文件；</w:t>
      </w:r>
    </w:p>
    <w:p w:rsidR="005F7985">
      <w:pPr>
        <w:pStyle w:val="Normal0"/>
        <w:numPr>
          <w:ilvl w:val="0"/>
          <w:numId w:val="7"/>
        </w:numPr>
        <w:tabs>
          <w:tab w:val="left" w:pos="360"/>
        </w:tabs>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脚手架构配件的出厂合格证或质量分类合格标志；</w:t>
      </w:r>
    </w:p>
    <w:p w:rsidR="005F7985">
      <w:pPr>
        <w:pStyle w:val="Normal0"/>
        <w:numPr>
          <w:ilvl w:val="0"/>
          <w:numId w:val="7"/>
        </w:numPr>
        <w:tabs>
          <w:tab w:val="left" w:pos="360"/>
        </w:tabs>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脚手架工程的施工记录及质量检查记录；</w:t>
      </w:r>
    </w:p>
    <w:p w:rsidR="005F7985">
      <w:pPr>
        <w:pStyle w:val="Normal0"/>
        <w:numPr>
          <w:ilvl w:val="0"/>
          <w:numId w:val="7"/>
        </w:numPr>
        <w:tabs>
          <w:tab w:val="left" w:pos="360"/>
        </w:tabs>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脚手架搭设过程中出现的重要问题及处理记录；</w:t>
      </w:r>
    </w:p>
    <w:p w:rsidR="005F7985">
      <w:pPr>
        <w:pStyle w:val="Normal0"/>
        <w:numPr>
          <w:ilvl w:val="0"/>
          <w:numId w:val="7"/>
        </w:numPr>
        <w:tabs>
          <w:tab w:val="left" w:pos="360"/>
        </w:tabs>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脚手架工程的施工验收报告。</w:t>
      </w:r>
    </w:p>
    <w:p w:rsidR="005F7985">
      <w:pPr>
        <w:pStyle w:val="Heading4"/>
        <w:sectPr>
          <w:type w:val="nextPage"/>
          <w:pgSz w:w="11906" w:h="16838"/>
          <w:pgMar w:top="1287" w:right="1152" w:bottom="1271" w:left="1094" w:header="851" w:footer="312" w:gutter="0"/>
          <w:pgNumType w:fmt="numberInDash" w:start="12"/>
          <w:cols w:space="708"/>
          <w:titlePg w:val="0"/>
          <w:docGrid w:type="lines" w:linePitch="312"/>
        </w:sectPr>
      </w:pPr>
      <w:r>
        <w:rPr>
          <w:rFonts w:hint="eastAsia"/>
        </w:rPr>
        <w:t>脚手架工程的验收，除查验有关文件外，还应进行现场检查，检查应着重以下各项，</w:t>
      </w:r>
    </w:p>
    <w:p w:rsidR="005F7985">
      <w:pPr>
        <w:pStyle w:val="Heading4"/>
        <w:numPr>
          <w:ilvl w:val="0"/>
          <w:numId w:val="0"/>
        </w:numPr>
        <w:ind w:left="284"/>
      </w:pPr>
      <w:r>
        <w:rPr>
          <w:rFonts w:hint="eastAsia"/>
        </w:rPr>
        <w:t>并记入施工验收报告。</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(1)</w:t>
      </w:r>
      <w:r>
        <w:rPr>
          <w:rFonts w:ascii="宋体" w:cs="宋体" w:hint="eastAsia"/>
          <w:kern w:val="0"/>
          <w:sz w:val="24"/>
        </w:rPr>
        <w:t>构配件和加固件是否齐全，质量是否合格，连接和挂扣是否紧固可靠。</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(2)</w:t>
      </w:r>
      <w:r>
        <w:rPr>
          <w:rFonts w:ascii="宋体" w:cs="宋体" w:hint="eastAsia"/>
          <w:kern w:val="0"/>
          <w:sz w:val="24"/>
        </w:rPr>
        <w:t>安全网的张挂及扶手的设置是否齐全；</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(3)</w:t>
      </w:r>
      <w:r>
        <w:rPr>
          <w:rFonts w:ascii="宋体" w:cs="宋体" w:hint="eastAsia"/>
          <w:kern w:val="0"/>
          <w:sz w:val="24"/>
        </w:rPr>
        <w:t>地基是否积水，底座是否松动；</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(4)</w:t>
      </w:r>
      <w:r>
        <w:rPr>
          <w:rFonts w:ascii="宋体" w:cs="宋体" w:hint="eastAsia"/>
          <w:kern w:val="0"/>
          <w:sz w:val="24"/>
        </w:rPr>
        <w:t>杆件的设置和连接，连墙件、支撑、门洞桁架等的构造是否符合要求；立杆是否悬空；</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(5)</w:t>
      </w:r>
      <w:r>
        <w:rPr>
          <w:rFonts w:ascii="宋体" w:cs="宋体" w:hint="eastAsia"/>
          <w:kern w:val="0"/>
          <w:sz w:val="24"/>
        </w:rPr>
        <w:t>垂直度、水平度及立杆的沉降是否合格；</w:t>
      </w:r>
    </w:p>
    <w:p w:rsidR="005F7985">
      <w:pPr>
        <w:pStyle w:val="Normal0"/>
        <w:autoSpaceDE w:val="0"/>
        <w:autoSpaceDN w:val="0"/>
        <w:adjustRightInd w:val="0"/>
        <w:spacing w:line="360" w:lineRule="auto"/>
        <w:ind w:firstLine="480" w:firstLineChars="200"/>
        <w:jc w:val="left"/>
        <w:rPr>
          <w:rFonts w:ascii="宋体" w:cs="宋体"/>
          <w:color w:val="000000"/>
          <w:kern w:val="0"/>
          <w:sz w:val="24"/>
        </w:rPr>
      </w:pPr>
      <w:r>
        <w:rPr>
          <w:color w:val="000000"/>
          <w:kern w:val="0"/>
          <w:sz w:val="24"/>
        </w:rPr>
        <w:t>(6)</w:t>
      </w:r>
      <w:r>
        <w:rPr>
          <w:rFonts w:ascii="宋体" w:cs="宋体" w:hint="eastAsia"/>
          <w:color w:val="000000"/>
          <w:kern w:val="0"/>
          <w:sz w:val="24"/>
        </w:rPr>
        <w:t>搭设脚手架时，应有保证安全上下的爬梯或斜道，严禁攀登架体上下。</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(7)</w:t>
      </w:r>
      <w:r>
        <w:rPr>
          <w:rFonts w:ascii="宋体" w:cs="宋体" w:hint="eastAsia"/>
          <w:kern w:val="0"/>
          <w:sz w:val="24"/>
        </w:rPr>
        <w:t>扣件螺栓是否松动；</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(8)</w:t>
      </w:r>
      <w:r>
        <w:rPr>
          <w:rFonts w:ascii="宋体" w:cs="宋体" w:hint="eastAsia"/>
          <w:kern w:val="0"/>
          <w:sz w:val="24"/>
        </w:rPr>
        <w:t>架体是否超载；</w:t>
      </w:r>
    </w:p>
    <w:p w:rsidR="005F7985">
      <w:pPr>
        <w:pStyle w:val="Heading4"/>
      </w:pPr>
      <w:r>
        <w:rPr>
          <w:rFonts w:hint="eastAsia"/>
        </w:rPr>
        <w:t>脚手架检查验收严格按照《建筑施工安全检查标准》</w:t>
      </w:r>
      <w:r>
        <w:t>JGJ59</w:t>
      </w:r>
      <w:r>
        <w:rPr>
          <w:rFonts w:hint="eastAsia"/>
        </w:rPr>
        <w:t>的检查评分表进行。</w:t>
      </w:r>
    </w:p>
    <w:p w:rsidR="005F7985">
      <w:pPr>
        <w:pStyle w:val="Heading4"/>
      </w:pPr>
      <w:r>
        <w:rPr>
          <w:rFonts w:hint="eastAsia"/>
        </w:rPr>
        <w:t>脚手架使用期间的检查</w:t>
      </w:r>
    </w:p>
    <w:p w:rsidR="005F7985">
      <w:pPr>
        <w:pStyle w:val="Normal0"/>
        <w:autoSpaceDE w:val="0"/>
        <w:autoSpaceDN w:val="0"/>
        <w:adjustRightInd w:val="0"/>
        <w:spacing w:line="360" w:lineRule="auto"/>
        <w:ind w:firstLine="480" w:firstLineChars="200"/>
        <w:rPr>
          <w:rFonts w:ascii="宋体" w:cs="宋体"/>
          <w:kern w:val="0"/>
          <w:sz w:val="24"/>
        </w:rPr>
      </w:pPr>
      <w:r>
        <w:rPr>
          <w:kern w:val="0"/>
          <w:sz w:val="24"/>
        </w:rPr>
        <w:t>(1)</w:t>
      </w:r>
      <w:r>
        <w:rPr>
          <w:rFonts w:ascii="宋体" w:cs="宋体" w:hint="eastAsia"/>
          <w:kern w:val="0"/>
          <w:sz w:val="24"/>
        </w:rPr>
        <w:t>脚手架使用期间必须设专人经常检查，当其从安全维护架转换为装饰施工时，必须及时进行检查，符合要求后，必须经过项目技术负责人（项目经理）签字批准，才能使用。</w:t>
      </w:r>
    </w:p>
    <w:p w:rsidR="005F7985">
      <w:pPr>
        <w:pStyle w:val="Normal0"/>
        <w:autoSpaceDE w:val="0"/>
        <w:autoSpaceDN w:val="0"/>
        <w:adjustRightInd w:val="0"/>
        <w:spacing w:line="360" w:lineRule="auto"/>
        <w:ind w:firstLine="480" w:firstLineChars="200"/>
        <w:rPr>
          <w:rFonts w:ascii="宋体" w:cs="宋体"/>
          <w:kern w:val="0"/>
          <w:sz w:val="24"/>
        </w:rPr>
      </w:pPr>
      <w:r>
        <w:rPr>
          <w:kern w:val="0"/>
          <w:sz w:val="24"/>
        </w:rPr>
        <w:t>(2)</w:t>
      </w:r>
      <w:r>
        <w:rPr>
          <w:rFonts w:ascii="宋体" w:cs="宋体" w:hint="eastAsia"/>
          <w:kern w:val="0"/>
          <w:sz w:val="24"/>
        </w:rPr>
        <w:t>检查后不</w:t>
      </w:r>
      <w:r>
        <w:rPr>
          <w:rFonts w:ascii="宋体" w:cs="宋体" w:hint="eastAsia"/>
          <w:kern w:val="0"/>
          <w:sz w:val="24"/>
        </w:rPr>
        <w:t>合格部位必须及时修复或更换，符合规定后，方准许继续使用。</w:t>
      </w:r>
    </w:p>
    <w:p w:rsidR="005F7985">
      <w:pPr>
        <w:pStyle w:val="Heading4"/>
      </w:pPr>
      <w:r>
        <w:rPr>
          <w:rFonts w:hint="eastAsia"/>
        </w:rPr>
        <w:t>脚手架必须验收检查合格后办妥脚手架验收手续，在脚手架醒目处挂上脚手架验收合格牌后，方可投入使用。</w:t>
      </w:r>
    </w:p>
    <w:p w:rsidR="005F7985">
      <w:pPr>
        <w:pStyle w:val="Heading4"/>
      </w:pPr>
      <w:r>
        <w:rPr>
          <w:rFonts w:hint="eastAsia"/>
        </w:rPr>
        <w:t>架体内必须做到每层封闭（即进行隔离），且不能大于</w:t>
      </w:r>
      <w:r>
        <w:t>4</w:t>
      </w:r>
      <w:r>
        <w:rPr>
          <w:rFonts w:hint="eastAsia"/>
        </w:rPr>
        <w:t>步。</w:t>
      </w:r>
    </w:p>
    <w:p w:rsidR="005F7985">
      <w:pPr>
        <w:pStyle w:val="Heading4"/>
      </w:pPr>
      <w:r>
        <w:rPr>
          <w:rFonts w:hint="eastAsia"/>
        </w:rPr>
        <w:t>施工人员必须严格执行《建设工程施工安全技术操作规程》。</w:t>
      </w:r>
    </w:p>
    <w:p w:rsidR="005F7985">
      <w:pPr>
        <w:pStyle w:val="Heading2"/>
        <w:ind w:left="0"/>
      </w:pPr>
      <w:bookmarkStart w:id="88" w:name="_Toc454430409"/>
      <w:bookmarkStart w:id="89" w:name="_Toc2986"/>
      <w:bookmarkStart w:id="90" w:name="_Toc18953"/>
      <w:bookmarkStart w:id="91" w:name="_Toc30243"/>
      <w:bookmarkStart w:id="92" w:name="_Toc27055"/>
      <w:r>
        <w:rPr>
          <w:rFonts w:hint="eastAsia"/>
        </w:rPr>
        <w:t>施工安全保证措施</w:t>
      </w:r>
      <w:bookmarkStart w:id="93" w:name="_Toc454430410"/>
      <w:bookmarkStart w:id="94" w:name="_Toc18884"/>
      <w:bookmarkStart w:id="95" w:name="_Toc31147"/>
      <w:bookmarkEnd w:id="88"/>
      <w:bookmarkEnd w:id="89"/>
      <w:bookmarkEnd w:id="90"/>
      <w:bookmarkEnd w:id="91"/>
      <w:bookmarkEnd w:id="92"/>
    </w:p>
    <w:p w:rsidR="005F7985">
      <w:pPr>
        <w:pStyle w:val="Heading3"/>
      </w:pPr>
      <w:bookmarkStart w:id="96" w:name="_Toc22863"/>
      <w:bookmarkStart w:id="97" w:name="_Toc8975"/>
      <w:r>
        <w:rPr>
          <w:rFonts w:hint="eastAsia"/>
        </w:rPr>
        <w:t>组织保障</w:t>
      </w:r>
      <w:bookmarkEnd w:id="93"/>
      <w:bookmarkEnd w:id="94"/>
      <w:bookmarkEnd w:id="95"/>
      <w:bookmarkEnd w:id="96"/>
      <w:bookmarkEnd w:id="97"/>
    </w:p>
    <w:p w:rsidR="005F7985">
      <w:pPr>
        <w:pStyle w:val="Heading7"/>
        <w:ind w:left="420" w:firstLine="0" w:leftChars="200" w:firstLineChars="0"/>
        <w:rPr>
          <w:color w:val="FF0000"/>
        </w:rPr>
        <w:sectPr>
          <w:type w:val="nextPage"/>
          <w:pgSz w:w="11906" w:h="16838"/>
          <w:pgMar w:top="1287" w:right="1152" w:bottom="1271" w:left="1094" w:header="851" w:footer="312" w:gutter="0"/>
          <w:pgNumType w:fmt="numberInDash" w:start="13"/>
          <w:cols w:space="708"/>
          <w:titlePg w:val="0"/>
          <w:docGrid w:type="lines" w:linePitch="312"/>
        </w:sectPr>
      </w:pPr>
      <w:bookmarkStart w:id="98" w:name="_Toc454430411"/>
      <w:bookmarkStart w:id="99" w:name="_Toc4146"/>
      <w:bookmarkStart w:id="100" w:name="_Toc27011"/>
      <w:bookmarkStart w:id="101" w:name="_Toc32338"/>
      <w:bookmarkStart w:id="102" w:name="_Toc12036"/>
      <w:r>
        <w:rPr>
          <w:rFonts w:hint="eastAsia"/>
          <w:color w:val="FF0000"/>
        </w:rPr>
        <w:t>1.1</w:t>
      </w:r>
      <w:r>
        <w:rPr>
          <w:rFonts w:hint="eastAsia"/>
          <w:color w:val="FF0000"/>
        </w:rPr>
        <w:t>、</w:t>
      </w:r>
      <w:r>
        <w:rPr>
          <w:rFonts w:hint="eastAsia"/>
          <w:color w:val="FF0000"/>
        </w:rPr>
        <w:t>安全施工管理机构图</w:t>
      </w:r>
    </w:p>
    <w:p w:rsidR="005F7985">
      <w:pPr>
        <w:pStyle w:val="Heading7"/>
        <w:ind w:left="420" w:firstLine="0" w:leftChars="200" w:firstLineChars="0"/>
        <w:rPr>
          <w:color w:val="FF0000"/>
        </w:rPr>
      </w:pPr>
      <w:r>
        <w:rPr>
          <w:rFonts w:ascii="宋体" w:cs="宋体"/>
        </w:rPr>
        <w:pict>
          <v:shape id="图片 25" o:spid="_x0000_i1035" type="#_x0000_t75" style="width:416.25pt;height:591.75pt;mso-position-horizontal-relative:page;mso-position-vertical-relative:page;mso-wrap-style:square">
            <v:imagedata r:id="rId15" o:title=""/>
          </v:shape>
        </w:pict>
      </w:r>
    </w:p>
    <w:p w:rsidR="005F7985">
      <w:pPr>
        <w:pStyle w:val="Normal0"/>
        <w:widowControl/>
        <w:spacing w:line="360" w:lineRule="auto"/>
        <w:ind w:firstLine="560" w:firstLineChars="200"/>
        <w:rPr>
          <w:rFonts w:ascii="宋体" w:hAnsi="宋体"/>
          <w:color w:val="FF0000"/>
          <w:kern w:val="0"/>
          <w:sz w:val="28"/>
          <w:szCs w:val="28"/>
        </w:rPr>
        <w:sectPr>
          <w:type w:val="nextPage"/>
          <w:pgSz w:w="11906" w:h="16838"/>
          <w:pgMar w:top="1287" w:right="1152" w:bottom="1271" w:left="1094" w:header="851" w:footer="312" w:gutter="0"/>
          <w:pgNumType w:fmt="numberInDash" w:start="14"/>
          <w:cols w:space="708"/>
          <w:titlePg w:val="0"/>
          <w:docGrid w:type="lines" w:linePitch="312"/>
        </w:sectPr>
      </w:pPr>
      <w:r>
        <w:rPr>
          <w:rFonts w:ascii="宋体" w:hAnsi="宋体" w:hint="eastAsia"/>
          <w:color w:val="FF0000"/>
          <w:kern w:val="0"/>
          <w:sz w:val="28"/>
          <w:szCs w:val="28"/>
        </w:rPr>
        <w:t>1.2</w:t>
      </w:r>
      <w:r>
        <w:rPr>
          <w:rFonts w:ascii="宋体" w:hAnsi="宋体" w:hint="eastAsia"/>
          <w:color w:val="FF0000"/>
          <w:kern w:val="0"/>
          <w:sz w:val="28"/>
          <w:szCs w:val="28"/>
        </w:rPr>
        <w:t>、</w:t>
      </w:r>
      <w:r>
        <w:rPr>
          <w:rFonts w:ascii="宋体" w:hAnsi="宋体" w:hint="eastAsia"/>
          <w:color w:val="FF0000"/>
          <w:kern w:val="0"/>
          <w:sz w:val="28"/>
          <w:szCs w:val="28"/>
        </w:rPr>
        <w:t>环境保护体系</w:t>
      </w:r>
    </w:p>
    <w:p w:rsidR="005F7985">
      <w:pPr>
        <w:pStyle w:val="PlainText"/>
        <w:ind w:firstLine="480"/>
      </w:pPr>
      <w:r>
        <w:rPr>
          <w:rFonts w:cs="宋体"/>
          <w:kern w:val="0"/>
        </w:rPr>
        <w:pict>
          <v:shape id="图片 26" o:spid="_x0000_i1036" type="#_x0000_t75" style="width:427.5pt;height:626.25pt;mso-position-horizontal-relative:page;mso-position-vertical-relative:page;mso-wrap-style:square">
            <v:imagedata r:id="rId16" o:title=""/>
          </v:shape>
        </w:pict>
      </w:r>
    </w:p>
    <w:p w:rsidR="005F7985">
      <w:pPr>
        <w:pStyle w:val="Heading3"/>
      </w:pPr>
      <w:r>
        <w:rPr>
          <w:rFonts w:hint="eastAsia"/>
        </w:rPr>
        <w:t>技术措施</w:t>
      </w:r>
      <w:bookmarkEnd w:id="98"/>
      <w:bookmarkEnd w:id="99"/>
      <w:bookmarkEnd w:id="100"/>
      <w:bookmarkEnd w:id="101"/>
      <w:bookmarkEnd w:id="102"/>
    </w:p>
    <w:p w:rsidR="005F7985">
      <w:pPr>
        <w:pStyle w:val="Normal0"/>
        <w:autoSpaceDE w:val="0"/>
        <w:autoSpaceDN w:val="0"/>
        <w:adjustRightInd w:val="0"/>
        <w:spacing w:line="360" w:lineRule="auto"/>
        <w:ind w:firstLine="480" w:firstLineChars="200"/>
        <w:jc w:val="left"/>
        <w:rPr>
          <w:color w:val="000000"/>
          <w:kern w:val="0"/>
          <w:sz w:val="24"/>
        </w:rPr>
      </w:pPr>
      <w:r>
        <w:rPr>
          <w:color w:val="000000"/>
          <w:kern w:val="0"/>
          <w:sz w:val="24"/>
        </w:rPr>
        <w:t>脚手架搭设技术措施</w:t>
      </w:r>
    </w:p>
    <w:p w:rsidR="005F7985">
      <w:pPr>
        <w:pStyle w:val="Normal0"/>
        <w:autoSpaceDE w:val="0"/>
        <w:autoSpaceDN w:val="0"/>
        <w:adjustRightInd w:val="0"/>
        <w:spacing w:line="360" w:lineRule="auto"/>
        <w:ind w:firstLine="480" w:firstLineChars="200"/>
        <w:jc w:val="left"/>
        <w:rPr>
          <w:color w:val="000000"/>
          <w:kern w:val="0"/>
          <w:sz w:val="24"/>
        </w:rPr>
        <w:sectPr>
          <w:type w:val="nextPage"/>
          <w:pgSz w:w="11906" w:h="16838"/>
          <w:pgMar w:top="1287" w:right="1152" w:bottom="1271" w:left="1094" w:header="851" w:footer="312" w:gutter="0"/>
          <w:pgNumType w:fmt="numberInDash" w:start="15"/>
          <w:cols w:space="708"/>
          <w:titlePg w:val="0"/>
          <w:docGrid w:type="lines" w:linePitch="312"/>
        </w:sectPr>
      </w:pPr>
      <w:r>
        <w:rPr>
          <w:color w:val="000000"/>
          <w:kern w:val="0"/>
          <w:sz w:val="24"/>
        </w:rPr>
        <w:t>扣件式脚手架</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kern w:val="0"/>
          <w:sz w:val="24"/>
        </w:rPr>
        <w:t>1</w:t>
      </w:r>
      <w:r>
        <w:rPr>
          <w:rFonts w:ascii="宋体" w:cs="宋体" w:hint="eastAsia"/>
          <w:kern w:val="0"/>
          <w:sz w:val="24"/>
        </w:rPr>
        <w:t>、脚手架必须配合施工进度搭设，一次搭设高度不应超过相邻连墙件以上二步；如果超过相邻连墙件以上两步，无法设置连墙件时，应采取撑拉固定措施与建筑结构拉结。</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kern w:val="0"/>
          <w:sz w:val="24"/>
        </w:rPr>
        <w:t>2</w:t>
      </w:r>
      <w:r>
        <w:rPr>
          <w:rFonts w:ascii="宋体" w:cs="宋体" w:hint="eastAsia"/>
          <w:kern w:val="0"/>
          <w:sz w:val="24"/>
        </w:rPr>
        <w:t>、每搭完一步脚手架后，应按《建筑施工扣件式钢管脚手架安全技术规范》</w:t>
      </w:r>
      <w:r>
        <w:rPr>
          <w:rFonts w:ascii="宋体" w:cs="宋体"/>
          <w:kern w:val="0"/>
          <w:sz w:val="24"/>
        </w:rPr>
        <w:t>JGJ130-2011</w:t>
      </w:r>
      <w:r>
        <w:rPr>
          <w:rFonts w:ascii="宋体" w:cs="宋体" w:hint="eastAsia"/>
          <w:kern w:val="0"/>
          <w:sz w:val="24"/>
        </w:rPr>
        <w:t>表</w:t>
      </w:r>
      <w:r>
        <w:rPr>
          <w:rFonts w:ascii="宋体" w:cs="宋体"/>
          <w:kern w:val="0"/>
          <w:sz w:val="24"/>
        </w:rPr>
        <w:t>8.2.4</w:t>
      </w:r>
      <w:r>
        <w:rPr>
          <w:rFonts w:ascii="宋体" w:cs="宋体" w:hint="eastAsia"/>
          <w:kern w:val="0"/>
          <w:sz w:val="24"/>
        </w:rPr>
        <w:t>的规定校正步距、纵距、横距及立杆的垂直度。</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kern w:val="0"/>
          <w:sz w:val="24"/>
        </w:rPr>
        <w:t>3</w:t>
      </w:r>
      <w:r>
        <w:rPr>
          <w:rFonts w:ascii="宋体" w:cs="宋体" w:hint="eastAsia"/>
          <w:kern w:val="0"/>
          <w:sz w:val="24"/>
        </w:rPr>
        <w:t>、立杆搭设应符合下列规定：</w:t>
      </w:r>
    </w:p>
    <w:p w:rsidR="005F7985">
      <w:pPr>
        <w:pStyle w:val="Normal0"/>
        <w:numPr>
          <w:ilvl w:val="1"/>
          <w:numId w:val="8"/>
        </w:numPr>
        <w:tabs>
          <w:tab w:val="left" w:pos="360"/>
        </w:tabs>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相邻立杆的对接连接应符合《建筑施工扣件式钢管脚手架安全技术规范》</w:t>
      </w:r>
      <w:r>
        <w:rPr>
          <w:rFonts w:ascii="宋体" w:cs="宋体"/>
          <w:kern w:val="0"/>
          <w:sz w:val="24"/>
        </w:rPr>
        <w:t>JGJ130-2011</w:t>
      </w:r>
      <w:r>
        <w:rPr>
          <w:rFonts w:ascii="宋体" w:cs="宋体" w:hint="eastAsia"/>
          <w:kern w:val="0"/>
          <w:sz w:val="24"/>
        </w:rPr>
        <w:t>第</w:t>
      </w:r>
      <w:r>
        <w:rPr>
          <w:rFonts w:ascii="宋体" w:cs="宋体"/>
          <w:kern w:val="0"/>
          <w:sz w:val="24"/>
        </w:rPr>
        <w:t>6.3.6</w:t>
      </w:r>
      <w:r>
        <w:rPr>
          <w:rFonts w:ascii="宋体" w:cs="宋体" w:hint="eastAsia"/>
          <w:kern w:val="0"/>
          <w:sz w:val="24"/>
        </w:rPr>
        <w:t>条的规定；</w:t>
      </w:r>
    </w:p>
    <w:p w:rsidR="005F7985">
      <w:pPr>
        <w:pStyle w:val="Normal0"/>
        <w:numPr>
          <w:ilvl w:val="1"/>
          <w:numId w:val="8"/>
        </w:numPr>
        <w:tabs>
          <w:tab w:val="left" w:pos="360"/>
        </w:tabs>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脚手架开始搭设立杆时，应每隔不大于</w:t>
      </w:r>
      <w:r>
        <w:rPr>
          <w:rFonts w:ascii="宋体" w:cs="宋体" w:hint="eastAsia"/>
          <w:kern w:val="0"/>
          <w:sz w:val="24"/>
        </w:rPr>
        <w:t>4</w:t>
      </w:r>
      <w:r>
        <w:rPr>
          <w:rFonts w:ascii="宋体" w:cs="宋体" w:hint="eastAsia"/>
          <w:kern w:val="0"/>
          <w:sz w:val="24"/>
        </w:rPr>
        <w:t>跨设置一根抛撑，直至连墙件安装稳定后，</w:t>
      </w:r>
      <w:r>
        <w:rPr>
          <w:rFonts w:ascii="宋体" w:cs="宋体" w:hint="eastAsia"/>
          <w:kern w:val="0"/>
          <w:sz w:val="24"/>
        </w:rPr>
        <w:t>方可根据情况拆除；</w:t>
      </w:r>
    </w:p>
    <w:p w:rsidR="005F7985">
      <w:pPr>
        <w:pStyle w:val="Normal0"/>
        <w:numPr>
          <w:ilvl w:val="1"/>
          <w:numId w:val="8"/>
        </w:numPr>
        <w:tabs>
          <w:tab w:val="left" w:pos="360"/>
        </w:tabs>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当架体搭设至有连墙件的主节点时，在搭设完该处的立杆、纵向水平杆、横向水平杆后，应立即设置连墙件。</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kern w:val="0"/>
          <w:sz w:val="24"/>
        </w:rPr>
        <w:t>4</w:t>
      </w:r>
      <w:r>
        <w:rPr>
          <w:rFonts w:ascii="宋体" w:cs="宋体" w:hint="eastAsia"/>
          <w:kern w:val="0"/>
          <w:sz w:val="24"/>
        </w:rPr>
        <w:t>、脚手架纵向水平杆的搭设应符合下列规定：</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1</w:t>
      </w:r>
      <w:r>
        <w:rPr>
          <w:rFonts w:ascii="宋体" w:cs="宋体" w:hint="eastAsia"/>
          <w:kern w:val="0"/>
          <w:sz w:val="24"/>
        </w:rPr>
        <w:t>）、脚手架纵向水平杆应随立杆按步搭设，并应采用直角扣件与立杆固定；</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2</w:t>
      </w:r>
      <w:r>
        <w:rPr>
          <w:rFonts w:ascii="宋体" w:cs="宋体" w:hint="eastAsia"/>
          <w:kern w:val="0"/>
          <w:sz w:val="24"/>
        </w:rPr>
        <w:t>）、纵向水平杆的搭设应符合《建筑施工扣件式钢管脚手架安全技术规范》</w:t>
      </w:r>
      <w:r>
        <w:rPr>
          <w:rFonts w:ascii="宋体" w:cs="宋体"/>
          <w:kern w:val="0"/>
          <w:sz w:val="24"/>
        </w:rPr>
        <w:t>JGJ130-2011</w:t>
      </w:r>
      <w:r>
        <w:rPr>
          <w:rFonts w:ascii="宋体" w:cs="宋体" w:hint="eastAsia"/>
          <w:kern w:val="0"/>
          <w:sz w:val="24"/>
        </w:rPr>
        <w:t>第</w:t>
      </w:r>
      <w:r>
        <w:rPr>
          <w:rFonts w:ascii="宋体" w:cs="宋体"/>
          <w:kern w:val="0"/>
          <w:sz w:val="24"/>
        </w:rPr>
        <w:t>6.2.1</w:t>
      </w:r>
      <w:r>
        <w:rPr>
          <w:rFonts w:ascii="宋体" w:cs="宋体" w:hint="eastAsia"/>
          <w:kern w:val="0"/>
          <w:sz w:val="24"/>
        </w:rPr>
        <w:t>条的规定；</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3</w:t>
      </w:r>
      <w:r>
        <w:rPr>
          <w:rFonts w:ascii="宋体" w:cs="宋体" w:hint="eastAsia"/>
          <w:kern w:val="0"/>
          <w:sz w:val="24"/>
        </w:rPr>
        <w:t>）、在封闭型脚手架的同一步中，纵向水平杆应四周交圈设置，并应用直角扣件与内外角部立杆固定。</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kern w:val="0"/>
          <w:sz w:val="24"/>
        </w:rPr>
        <w:t>5</w:t>
      </w:r>
      <w:r>
        <w:rPr>
          <w:rFonts w:ascii="宋体" w:cs="宋体" w:hint="eastAsia"/>
          <w:kern w:val="0"/>
          <w:sz w:val="24"/>
        </w:rPr>
        <w:t>、脚手架横向水平杆搭设应符合下列规定：</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1</w:t>
      </w:r>
      <w:r>
        <w:rPr>
          <w:rFonts w:ascii="宋体" w:cs="宋体" w:hint="eastAsia"/>
          <w:kern w:val="0"/>
          <w:sz w:val="24"/>
        </w:rPr>
        <w:t>）、搭设横向水平杆应符合《建筑施工扣件式钢管脚手架安全技术规范》</w:t>
      </w:r>
      <w:r>
        <w:rPr>
          <w:rFonts w:ascii="宋体" w:cs="宋体"/>
          <w:kern w:val="0"/>
          <w:sz w:val="24"/>
        </w:rPr>
        <w:t>JGJ130-2011</w:t>
      </w:r>
      <w:r>
        <w:rPr>
          <w:rFonts w:ascii="宋体" w:cs="宋体" w:hint="eastAsia"/>
          <w:kern w:val="0"/>
          <w:sz w:val="24"/>
        </w:rPr>
        <w:t>第</w:t>
      </w:r>
      <w:r>
        <w:rPr>
          <w:rFonts w:ascii="宋体" w:cs="宋体"/>
          <w:kern w:val="0"/>
          <w:sz w:val="24"/>
        </w:rPr>
        <w:t>6.2.2</w:t>
      </w:r>
      <w:r>
        <w:rPr>
          <w:rFonts w:ascii="宋体" w:cs="宋体" w:hint="eastAsia"/>
          <w:kern w:val="0"/>
          <w:sz w:val="24"/>
        </w:rPr>
        <w:t>条的构造规定；</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2</w:t>
      </w:r>
      <w:r>
        <w:rPr>
          <w:rFonts w:ascii="宋体" w:cs="宋体" w:hint="eastAsia"/>
          <w:kern w:val="0"/>
          <w:sz w:val="24"/>
        </w:rPr>
        <w:t>）、双排脚手架横向水平杆的靠墙一端至墙装饰面的距离不应大于</w:t>
      </w:r>
      <w:r>
        <w:rPr>
          <w:rFonts w:ascii="宋体" w:cs="宋体"/>
          <w:kern w:val="0"/>
          <w:sz w:val="24"/>
        </w:rPr>
        <w:t>100mm</w:t>
      </w:r>
      <w:r>
        <w:rPr>
          <w:rFonts w:ascii="宋体" w:cs="宋体" w:hint="eastAsia"/>
          <w:kern w:val="0"/>
          <w:sz w:val="24"/>
        </w:rPr>
        <w:t>；</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kern w:val="0"/>
          <w:sz w:val="24"/>
        </w:rPr>
        <w:t>6</w:t>
      </w:r>
      <w:r>
        <w:rPr>
          <w:rFonts w:ascii="宋体" w:cs="宋体" w:hint="eastAsia"/>
          <w:kern w:val="0"/>
          <w:sz w:val="24"/>
        </w:rPr>
        <w:t>、脚手架纵向、横向扫地杆搭设应符合《建筑施工扣件式钢管脚手架安全技术规范》</w:t>
      </w:r>
      <w:r>
        <w:rPr>
          <w:rFonts w:ascii="宋体" w:cs="宋体"/>
          <w:kern w:val="0"/>
          <w:sz w:val="24"/>
        </w:rPr>
        <w:t>JGJ130-2011</w:t>
      </w:r>
      <w:r>
        <w:rPr>
          <w:rFonts w:ascii="宋体" w:cs="宋体" w:hint="eastAsia"/>
          <w:kern w:val="0"/>
          <w:sz w:val="24"/>
        </w:rPr>
        <w:t>第</w:t>
      </w:r>
      <w:r>
        <w:rPr>
          <w:rFonts w:ascii="宋体" w:cs="宋体"/>
          <w:kern w:val="0"/>
          <w:sz w:val="24"/>
        </w:rPr>
        <w:t>6.3.2</w:t>
      </w:r>
      <w:r>
        <w:rPr>
          <w:rFonts w:ascii="宋体" w:cs="宋体" w:hint="eastAsia"/>
          <w:kern w:val="0"/>
          <w:sz w:val="24"/>
        </w:rPr>
        <w:t>条、第</w:t>
      </w:r>
      <w:r>
        <w:rPr>
          <w:rFonts w:ascii="宋体" w:cs="宋体"/>
          <w:kern w:val="0"/>
          <w:sz w:val="24"/>
        </w:rPr>
        <w:t>6.3.3</w:t>
      </w:r>
      <w:r>
        <w:rPr>
          <w:rFonts w:ascii="宋体" w:cs="宋体" w:hint="eastAsia"/>
          <w:kern w:val="0"/>
          <w:sz w:val="24"/>
        </w:rPr>
        <w:t>条的规定。</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kern w:val="0"/>
          <w:sz w:val="24"/>
        </w:rPr>
        <w:t>7</w:t>
      </w:r>
      <w:r>
        <w:rPr>
          <w:rFonts w:ascii="宋体" w:cs="宋体" w:hint="eastAsia"/>
          <w:kern w:val="0"/>
          <w:sz w:val="24"/>
        </w:rPr>
        <w:t>、脚手架连墙件安装应符合下列规定：</w:t>
      </w:r>
    </w:p>
    <w:p w:rsidR="005F7985">
      <w:pPr>
        <w:pStyle w:val="Normal0"/>
        <w:autoSpaceDE w:val="0"/>
        <w:autoSpaceDN w:val="0"/>
        <w:adjustRightInd w:val="0"/>
        <w:spacing w:line="360" w:lineRule="auto"/>
        <w:ind w:firstLine="480" w:firstLineChars="200"/>
        <w:jc w:val="left"/>
        <w:rPr>
          <w:rFonts w:ascii="宋体" w:cs="宋体"/>
          <w:color w:val="000000"/>
          <w:kern w:val="0"/>
          <w:sz w:val="24"/>
        </w:rPr>
      </w:pPr>
      <w:r>
        <w:rPr>
          <w:rFonts w:ascii="宋体" w:cs="宋体" w:hint="eastAsia"/>
          <w:color w:val="000000"/>
          <w:kern w:val="0"/>
          <w:sz w:val="24"/>
        </w:rPr>
        <w:t>（</w:t>
      </w:r>
      <w:r>
        <w:rPr>
          <w:rFonts w:ascii="宋体" w:cs="宋体" w:hint="eastAsia"/>
          <w:color w:val="000000"/>
          <w:kern w:val="0"/>
          <w:sz w:val="24"/>
        </w:rPr>
        <w:t>1</w:t>
      </w:r>
      <w:r>
        <w:rPr>
          <w:rFonts w:ascii="宋体" w:cs="宋体" w:hint="eastAsia"/>
          <w:color w:val="000000"/>
          <w:kern w:val="0"/>
          <w:sz w:val="24"/>
        </w:rPr>
        <w:t>）、连墙件的安装应随脚手架搭设同步进行，不得滞后安装；</w:t>
      </w:r>
      <w:r>
        <w:rPr>
          <w:rFonts w:ascii="宋体" w:hAnsi="宋体" w:cs="宋体" w:hint="eastAsia"/>
          <w:kern w:val="0"/>
          <w:sz w:val="24"/>
        </w:rPr>
        <w:t>用两条</w:t>
      </w:r>
      <w:r>
        <w:rPr>
          <w:rFonts w:ascii="宋体" w:hAnsi="宋体" w:cs="宋体" w:hint="eastAsia"/>
          <w:kern w:val="0"/>
          <w:sz w:val="24"/>
        </w:rPr>
        <w:t>24M</w:t>
      </w:r>
      <w:r>
        <w:rPr>
          <w:rFonts w:ascii="宋体" w:hAnsi="宋体" w:cs="宋体" w:hint="eastAsia"/>
          <w:kern w:val="0"/>
          <w:sz w:val="24"/>
        </w:rPr>
        <w:t>膨胀螺栓固定钢板上焊架管与架体拉结。</w:t>
      </w:r>
    </w:p>
    <w:p w:rsidR="005F7985">
      <w:pPr>
        <w:pStyle w:val="Normal0"/>
        <w:autoSpaceDE w:val="0"/>
        <w:autoSpaceDN w:val="0"/>
        <w:adjustRightInd w:val="0"/>
        <w:spacing w:line="360" w:lineRule="auto"/>
        <w:ind w:firstLine="480" w:firstLineChars="200"/>
        <w:jc w:val="left"/>
        <w:rPr>
          <w:rFonts w:ascii="宋体" w:cs="宋体"/>
          <w:color w:val="FF0000"/>
          <w:kern w:val="0"/>
          <w:sz w:val="24"/>
        </w:rPr>
        <w:sectPr>
          <w:type w:val="nextPage"/>
          <w:pgSz w:w="11906" w:h="16838"/>
          <w:pgMar w:top="1287" w:right="1152" w:bottom="1271" w:left="1094" w:header="851" w:footer="312" w:gutter="0"/>
          <w:pgNumType w:fmt="numberInDash" w:start="16"/>
          <w:cols w:space="708"/>
          <w:titlePg w:val="0"/>
          <w:docGrid w:type="lines" w:linePitch="312"/>
        </w:sectPr>
      </w:pPr>
      <w:r>
        <w:rPr>
          <w:rFonts w:ascii="宋体" w:cs="宋体" w:hint="eastAsia"/>
          <w:kern w:val="0"/>
          <w:sz w:val="24"/>
        </w:rPr>
        <w:t>（</w:t>
      </w:r>
      <w:r>
        <w:rPr>
          <w:rFonts w:ascii="宋体" w:cs="宋体" w:hint="eastAsia"/>
          <w:kern w:val="0"/>
          <w:sz w:val="24"/>
        </w:rPr>
        <w:t>2</w:t>
      </w:r>
      <w:r>
        <w:rPr>
          <w:rFonts w:ascii="宋体" w:cs="宋体" w:hint="eastAsia"/>
          <w:kern w:val="0"/>
          <w:sz w:val="24"/>
        </w:rPr>
        <w:t>）、当单、双排脚手架施工操作层高出相邻连墙件以上两步时，应采取确保脚手架稳定的临时拉结措施，</w:t>
      </w:r>
      <w:r>
        <w:rPr>
          <w:rFonts w:ascii="宋体" w:cs="宋体" w:hint="eastAsia"/>
          <w:color w:val="FF0000"/>
          <w:kern w:val="0"/>
          <w:sz w:val="24"/>
        </w:rPr>
        <w:t>采取连墙件进行加固</w:t>
      </w:r>
      <w:r>
        <w:rPr>
          <w:rFonts w:ascii="宋体" w:cs="宋体" w:hint="eastAsia"/>
          <w:color w:val="FF0000"/>
          <w:kern w:val="0"/>
          <w:sz w:val="24"/>
        </w:rPr>
        <w:t>(</w:t>
      </w:r>
      <w:r>
        <w:rPr>
          <w:rFonts w:ascii="宋体" w:cs="宋体" w:hint="eastAsia"/>
          <w:color w:val="FF0000"/>
          <w:kern w:val="0"/>
          <w:sz w:val="24"/>
        </w:rPr>
        <w:t>锁扣装饰柱）</w:t>
      </w:r>
      <w:r>
        <w:rPr>
          <w:rFonts w:ascii="宋体" w:cs="宋体" w:hint="eastAsia"/>
          <w:color w:val="FF0000"/>
          <w:kern w:val="0"/>
          <w:sz w:val="24"/>
        </w:rPr>
        <w:t>和</w:t>
      </w:r>
      <w:r>
        <w:rPr>
          <w:rFonts w:ascii="宋体" w:cs="宋体" w:hint="eastAsia"/>
          <w:color w:val="FF0000"/>
          <w:kern w:val="0"/>
          <w:sz w:val="24"/>
        </w:rPr>
        <w:t>14#</w:t>
      </w:r>
      <w:r>
        <w:rPr>
          <w:rFonts w:ascii="宋体" w:cs="宋体" w:hint="eastAsia"/>
          <w:color w:val="FF0000"/>
          <w:kern w:val="0"/>
          <w:sz w:val="24"/>
        </w:rPr>
        <w:t>钢丝绳拉结外墙增设</w:t>
      </w:r>
      <w:r>
        <w:rPr>
          <w:rFonts w:ascii="宋体" w:cs="宋体" w:hint="eastAsia"/>
          <w:color w:val="FF0000"/>
          <w:kern w:val="0"/>
          <w:sz w:val="24"/>
        </w:rPr>
        <w:t>16#</w:t>
      </w:r>
      <w:r>
        <w:rPr>
          <w:rFonts w:ascii="宋体" w:cs="宋体" w:hint="eastAsia"/>
          <w:color w:val="FF0000"/>
          <w:kern w:val="0"/>
          <w:sz w:val="24"/>
        </w:rPr>
        <w:t>膨胀螺栓进行固定拉结形式，每间隔</w:t>
      </w:r>
      <w:r>
        <w:rPr>
          <w:rFonts w:ascii="宋体" w:cs="宋体" w:hint="eastAsia"/>
          <w:color w:val="FF0000"/>
          <w:kern w:val="0"/>
          <w:sz w:val="24"/>
        </w:rPr>
        <w:t>4m</w:t>
      </w:r>
      <w:r>
        <w:rPr>
          <w:rFonts w:ascii="宋体" w:cs="宋体" w:hint="eastAsia"/>
          <w:color w:val="FF0000"/>
          <w:kern w:val="0"/>
          <w:sz w:val="24"/>
        </w:rPr>
        <w:t>增设斜撑，脚手架高宽比满足施工规范要求；</w:t>
      </w:r>
      <w:r>
        <w:rPr>
          <w:rFonts w:ascii="宋体" w:cs="宋体" w:hint="eastAsia"/>
          <w:color w:val="FF0000"/>
          <w:kern w:val="0"/>
          <w:sz w:val="24"/>
        </w:rPr>
        <w:t>若临时施工需要拆除部分脚手架，必须根据实际情况进行加固处理，符合</w:t>
      </w:r>
      <w:r>
        <w:rPr>
          <w:rFonts w:ascii="宋体" w:cs="宋体" w:hint="eastAsia"/>
          <w:color w:val="FF0000"/>
          <w:kern w:val="0"/>
          <w:sz w:val="24"/>
        </w:rPr>
        <w:t>《建筑施工扣件式钢管脚手架安</w:t>
      </w:r>
    </w:p>
    <w:p w:rsidR="005F7985">
      <w:pPr>
        <w:pStyle w:val="Normal0"/>
        <w:autoSpaceDE w:val="0"/>
        <w:autoSpaceDN w:val="0"/>
        <w:adjustRightInd w:val="0"/>
        <w:spacing w:line="360" w:lineRule="auto"/>
        <w:ind w:firstLine="480" w:firstLineChars="200"/>
        <w:jc w:val="left"/>
        <w:rPr>
          <w:rFonts w:ascii="宋体" w:cs="宋体"/>
          <w:color w:val="FF0000"/>
          <w:kern w:val="0"/>
          <w:sz w:val="24"/>
        </w:rPr>
      </w:pPr>
      <w:r>
        <w:rPr>
          <w:rFonts w:ascii="宋体" w:cs="宋体" w:hint="eastAsia"/>
          <w:color w:val="FF0000"/>
          <w:kern w:val="0"/>
          <w:sz w:val="24"/>
        </w:rPr>
        <w:t>全技术规范》</w:t>
      </w:r>
      <w:r>
        <w:rPr>
          <w:rFonts w:ascii="宋体" w:cs="宋体" w:hint="eastAsia"/>
          <w:color w:val="FF0000"/>
          <w:kern w:val="0"/>
          <w:sz w:val="24"/>
        </w:rPr>
        <w:t>；马上拆除立即恢复处理，使脚手架到达安全使用状态。</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kern w:val="0"/>
          <w:sz w:val="24"/>
        </w:rPr>
        <w:t>8</w:t>
      </w:r>
      <w:r>
        <w:rPr>
          <w:rFonts w:ascii="宋体" w:cs="宋体" w:hint="eastAsia"/>
          <w:kern w:val="0"/>
          <w:sz w:val="24"/>
        </w:rPr>
        <w:t>、脚手架剪刀撑与双排脚手架横向斜撑应随立杆、纵向和横向水平杆等同步搭设，不得滞后安装。</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kern w:val="0"/>
          <w:sz w:val="24"/>
        </w:rPr>
        <w:t>9</w:t>
      </w:r>
      <w:r>
        <w:rPr>
          <w:rFonts w:ascii="宋体" w:cs="宋体" w:hint="eastAsia"/>
          <w:kern w:val="0"/>
          <w:sz w:val="24"/>
        </w:rPr>
        <w:t>、脚手架门洞搭设应符合《建筑施工扣件式钢管脚手架安全技术规范》</w:t>
      </w:r>
      <w:r>
        <w:rPr>
          <w:rFonts w:ascii="宋体" w:cs="宋体"/>
          <w:kern w:val="0"/>
          <w:sz w:val="24"/>
        </w:rPr>
        <w:t>JGJ130-2011</w:t>
      </w:r>
      <w:r>
        <w:rPr>
          <w:rFonts w:ascii="宋体" w:cs="宋体" w:hint="eastAsia"/>
          <w:kern w:val="0"/>
          <w:sz w:val="24"/>
        </w:rPr>
        <w:t>第</w:t>
      </w:r>
      <w:r>
        <w:rPr>
          <w:rFonts w:ascii="宋体" w:cs="宋体"/>
          <w:kern w:val="0"/>
          <w:sz w:val="24"/>
        </w:rPr>
        <w:t>6.5</w:t>
      </w:r>
      <w:r>
        <w:rPr>
          <w:rFonts w:ascii="宋体" w:cs="宋体" w:hint="eastAsia"/>
          <w:kern w:val="0"/>
          <w:sz w:val="24"/>
        </w:rPr>
        <w:t>节的造规定。</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kern w:val="0"/>
          <w:sz w:val="24"/>
        </w:rPr>
        <w:t>10</w:t>
      </w:r>
      <w:r>
        <w:rPr>
          <w:rFonts w:ascii="宋体" w:cs="宋体" w:hint="eastAsia"/>
          <w:kern w:val="0"/>
          <w:sz w:val="24"/>
        </w:rPr>
        <w:t>、扣件安装应符合下列规定：</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1</w:t>
      </w:r>
      <w:r>
        <w:rPr>
          <w:rFonts w:ascii="宋体" w:cs="宋体" w:hint="eastAsia"/>
          <w:kern w:val="0"/>
          <w:sz w:val="24"/>
        </w:rPr>
        <w:t>）、扣件规格必须与钢管外径相同；</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2</w:t>
      </w:r>
      <w:r>
        <w:rPr>
          <w:rFonts w:ascii="宋体" w:cs="宋体" w:hint="eastAsia"/>
          <w:kern w:val="0"/>
          <w:sz w:val="24"/>
        </w:rPr>
        <w:t>）、螺栓拧紧扭力矩不应小于</w:t>
      </w:r>
      <w:r>
        <w:rPr>
          <w:rFonts w:ascii="宋体" w:cs="宋体"/>
          <w:kern w:val="0"/>
          <w:sz w:val="24"/>
        </w:rPr>
        <w:t>40N</w:t>
      </w:r>
      <w:r>
        <w:rPr>
          <w:rFonts w:ascii="宋体" w:cs="宋体" w:hint="eastAsia"/>
          <w:kern w:val="0"/>
          <w:sz w:val="24"/>
        </w:rPr>
        <w:t>·</w:t>
      </w:r>
      <w:r>
        <w:rPr>
          <w:rFonts w:ascii="宋体" w:cs="宋体"/>
          <w:kern w:val="0"/>
          <w:sz w:val="24"/>
        </w:rPr>
        <w:t>m</w:t>
      </w:r>
      <w:r>
        <w:rPr>
          <w:rFonts w:ascii="宋体" w:cs="宋体" w:hint="eastAsia"/>
          <w:kern w:val="0"/>
          <w:sz w:val="24"/>
        </w:rPr>
        <w:t>，且不应大于</w:t>
      </w:r>
      <w:r>
        <w:rPr>
          <w:rFonts w:ascii="宋体" w:cs="宋体"/>
          <w:kern w:val="0"/>
          <w:sz w:val="24"/>
        </w:rPr>
        <w:t>65N</w:t>
      </w:r>
      <w:r>
        <w:rPr>
          <w:rFonts w:ascii="宋体" w:cs="宋体" w:hint="eastAsia"/>
          <w:kern w:val="0"/>
          <w:sz w:val="24"/>
        </w:rPr>
        <w:t>·</w:t>
      </w:r>
      <w:r>
        <w:rPr>
          <w:rFonts w:ascii="宋体" w:cs="宋体"/>
          <w:kern w:val="0"/>
          <w:sz w:val="24"/>
        </w:rPr>
        <w:t>m</w:t>
      </w:r>
      <w:r>
        <w:rPr>
          <w:rFonts w:ascii="宋体" w:cs="宋体" w:hint="eastAsia"/>
          <w:kern w:val="0"/>
          <w:sz w:val="24"/>
        </w:rPr>
        <w:t>；</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3</w:t>
      </w:r>
      <w:r>
        <w:rPr>
          <w:rFonts w:ascii="宋体" w:cs="宋体" w:hint="eastAsia"/>
          <w:kern w:val="0"/>
          <w:sz w:val="24"/>
        </w:rPr>
        <w:t>）、在主节点处固定横向水平杆、纵向水平杆、剪刀撑、横向斜撑等用的直角扣件、旋转扣件的中心点的相互距离不应大于</w:t>
      </w:r>
      <w:r>
        <w:rPr>
          <w:rFonts w:ascii="宋体" w:cs="宋体"/>
          <w:kern w:val="0"/>
          <w:sz w:val="24"/>
        </w:rPr>
        <w:t>150mm</w:t>
      </w:r>
      <w:r>
        <w:rPr>
          <w:rFonts w:ascii="宋体" w:cs="宋体" w:hint="eastAsia"/>
          <w:kern w:val="0"/>
          <w:sz w:val="24"/>
        </w:rPr>
        <w:t>；</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4</w:t>
      </w:r>
      <w:r>
        <w:rPr>
          <w:rFonts w:ascii="宋体" w:cs="宋体" w:hint="eastAsia"/>
          <w:kern w:val="0"/>
          <w:sz w:val="24"/>
        </w:rPr>
        <w:t>）、对接扣件开口应朝上或朝内；</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w:t>
      </w:r>
      <w:r>
        <w:rPr>
          <w:rFonts w:ascii="宋体" w:cs="宋体" w:hint="eastAsia"/>
          <w:kern w:val="0"/>
          <w:sz w:val="24"/>
        </w:rPr>
        <w:t>5</w:t>
      </w:r>
      <w:r>
        <w:rPr>
          <w:rFonts w:ascii="宋体" w:cs="宋体" w:hint="eastAsia"/>
          <w:kern w:val="0"/>
          <w:sz w:val="24"/>
        </w:rPr>
        <w:t>）、各杆件端头伸出扣件盖板边缘长度不应小于</w:t>
      </w:r>
      <w:r>
        <w:rPr>
          <w:rFonts w:ascii="宋体" w:cs="宋体"/>
          <w:kern w:val="0"/>
          <w:sz w:val="24"/>
        </w:rPr>
        <w:t>100mm</w:t>
      </w:r>
      <w:r>
        <w:rPr>
          <w:rFonts w:ascii="宋体" w:cs="宋体" w:hint="eastAsia"/>
          <w:kern w:val="0"/>
          <w:sz w:val="24"/>
        </w:rPr>
        <w:t>。</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kern w:val="0"/>
          <w:sz w:val="24"/>
        </w:rPr>
        <w:t>11</w:t>
      </w:r>
      <w:r>
        <w:rPr>
          <w:rFonts w:ascii="宋体" w:cs="宋体" w:hint="eastAsia"/>
          <w:kern w:val="0"/>
          <w:sz w:val="24"/>
        </w:rPr>
        <w:t>、作业层、斜道的栏杆和挡脚板的搭设应符合下列规定：</w:t>
      </w:r>
    </w:p>
    <w:p w:rsidR="005F7985">
      <w:pPr>
        <w:pStyle w:val="Normal0"/>
        <w:numPr>
          <w:ilvl w:val="0"/>
          <w:numId w:val="9"/>
        </w:numPr>
        <w:tabs>
          <w:tab w:val="left" w:pos="360"/>
        </w:tabs>
        <w:autoSpaceDE w:val="0"/>
        <w:autoSpaceDN w:val="0"/>
        <w:adjustRightInd w:val="0"/>
        <w:spacing w:line="360" w:lineRule="auto"/>
        <w:ind w:left="0" w:firstLine="480" w:firstLineChars="200"/>
        <w:jc w:val="left"/>
        <w:rPr>
          <w:rFonts w:ascii="宋体" w:cs="宋体"/>
          <w:kern w:val="0"/>
          <w:sz w:val="24"/>
        </w:rPr>
      </w:pPr>
      <w:r>
        <w:rPr>
          <w:rFonts w:ascii="宋体" w:cs="宋体" w:hint="eastAsia"/>
          <w:kern w:val="0"/>
          <w:sz w:val="24"/>
        </w:rPr>
        <w:t>栏杆和挡脚板均应搭设在外立杆的内侧；</w:t>
      </w:r>
    </w:p>
    <w:p w:rsidR="005F7985">
      <w:pPr>
        <w:pStyle w:val="Normal0"/>
        <w:numPr>
          <w:ilvl w:val="0"/>
          <w:numId w:val="9"/>
        </w:numPr>
        <w:tabs>
          <w:tab w:val="left" w:pos="360"/>
        </w:tabs>
        <w:autoSpaceDE w:val="0"/>
        <w:autoSpaceDN w:val="0"/>
        <w:adjustRightInd w:val="0"/>
        <w:spacing w:line="360" w:lineRule="auto"/>
        <w:ind w:left="0" w:firstLine="480" w:firstLineChars="200"/>
        <w:jc w:val="left"/>
        <w:rPr>
          <w:rFonts w:ascii="宋体" w:cs="宋体"/>
          <w:kern w:val="0"/>
          <w:sz w:val="24"/>
        </w:rPr>
      </w:pPr>
      <w:r>
        <w:rPr>
          <w:rFonts w:ascii="宋体" w:cs="宋体" w:hint="eastAsia"/>
          <w:kern w:val="0"/>
          <w:sz w:val="24"/>
        </w:rPr>
        <w:t>上栏杆上皮高度应为</w:t>
      </w:r>
      <w:r>
        <w:rPr>
          <w:rFonts w:ascii="宋体" w:cs="宋体"/>
          <w:kern w:val="0"/>
          <w:sz w:val="24"/>
        </w:rPr>
        <w:t>1.2m</w:t>
      </w:r>
      <w:r>
        <w:rPr>
          <w:rFonts w:ascii="宋体" w:cs="宋体" w:hint="eastAsia"/>
          <w:kern w:val="0"/>
          <w:sz w:val="24"/>
        </w:rPr>
        <w:t>；</w:t>
      </w:r>
    </w:p>
    <w:p w:rsidR="005F7985">
      <w:pPr>
        <w:pStyle w:val="Normal0"/>
        <w:numPr>
          <w:ilvl w:val="0"/>
          <w:numId w:val="9"/>
        </w:numPr>
        <w:tabs>
          <w:tab w:val="left" w:pos="360"/>
        </w:tabs>
        <w:autoSpaceDE w:val="0"/>
        <w:autoSpaceDN w:val="0"/>
        <w:adjustRightInd w:val="0"/>
        <w:spacing w:line="360" w:lineRule="auto"/>
        <w:ind w:left="0" w:firstLine="480" w:firstLineChars="200"/>
        <w:jc w:val="left"/>
        <w:rPr>
          <w:rFonts w:ascii="宋体" w:cs="宋体"/>
          <w:kern w:val="0"/>
          <w:sz w:val="24"/>
        </w:rPr>
      </w:pPr>
      <w:r>
        <w:rPr>
          <w:rFonts w:ascii="宋体" w:cs="宋体" w:hint="eastAsia"/>
          <w:kern w:val="0"/>
          <w:sz w:val="24"/>
        </w:rPr>
        <w:t>挡脚板高度不应小于</w:t>
      </w:r>
      <w:r>
        <w:rPr>
          <w:rFonts w:ascii="宋体" w:cs="宋体"/>
          <w:kern w:val="0"/>
          <w:sz w:val="24"/>
        </w:rPr>
        <w:t>180mm</w:t>
      </w:r>
      <w:r>
        <w:rPr>
          <w:rFonts w:ascii="宋体" w:cs="宋体" w:hint="eastAsia"/>
          <w:kern w:val="0"/>
          <w:sz w:val="24"/>
        </w:rPr>
        <w:t>；</w:t>
      </w:r>
    </w:p>
    <w:p w:rsidR="005F7985">
      <w:pPr>
        <w:pStyle w:val="Normal0"/>
        <w:numPr>
          <w:ilvl w:val="0"/>
          <w:numId w:val="9"/>
        </w:numPr>
        <w:tabs>
          <w:tab w:val="left" w:pos="360"/>
        </w:tabs>
        <w:autoSpaceDE w:val="0"/>
        <w:autoSpaceDN w:val="0"/>
        <w:adjustRightInd w:val="0"/>
        <w:spacing w:line="360" w:lineRule="auto"/>
        <w:ind w:left="0" w:firstLine="480" w:firstLineChars="200"/>
        <w:jc w:val="left"/>
        <w:rPr>
          <w:rFonts w:ascii="宋体" w:cs="宋体"/>
          <w:kern w:val="0"/>
          <w:sz w:val="24"/>
        </w:rPr>
      </w:pPr>
      <w:r>
        <w:rPr>
          <w:rFonts w:ascii="宋体" w:cs="宋体" w:hint="eastAsia"/>
          <w:kern w:val="0"/>
          <w:sz w:val="24"/>
        </w:rPr>
        <w:t>中栏杆应居中设置。</w:t>
      </w:r>
    </w:p>
    <w:p w:rsidR="005F7985">
      <w:pPr>
        <w:pStyle w:val="Normal0"/>
        <w:autoSpaceDE w:val="0"/>
        <w:autoSpaceDN w:val="0"/>
        <w:adjustRightInd w:val="0"/>
        <w:spacing w:line="360" w:lineRule="auto"/>
        <w:ind w:firstLine="480" w:firstLineChars="200"/>
        <w:jc w:val="left"/>
        <w:rPr>
          <w:rFonts w:ascii="宋体" w:cs="宋体"/>
          <w:kern w:val="0"/>
          <w:sz w:val="24"/>
        </w:rPr>
      </w:pPr>
      <w:r>
        <w:rPr>
          <w:rFonts w:ascii="宋体" w:cs="宋体"/>
          <w:kern w:val="0"/>
          <w:sz w:val="24"/>
        </w:rPr>
        <w:t>12</w:t>
      </w:r>
      <w:r>
        <w:rPr>
          <w:rFonts w:ascii="宋体" w:cs="宋体" w:hint="eastAsia"/>
          <w:kern w:val="0"/>
          <w:sz w:val="24"/>
        </w:rPr>
        <w:t>、脚手板的铺设应符合下列规定：</w:t>
      </w:r>
    </w:p>
    <w:p w:rsidR="005F7985">
      <w:pPr>
        <w:pStyle w:val="Normal0"/>
        <w:numPr>
          <w:ilvl w:val="0"/>
          <w:numId w:val="10"/>
        </w:numPr>
        <w:tabs>
          <w:tab w:val="left" w:pos="360"/>
        </w:tabs>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脚手架应铺满、铺稳，离墙面的距离不应大于</w:t>
      </w:r>
      <w:r>
        <w:rPr>
          <w:rFonts w:ascii="宋体" w:cs="宋体"/>
          <w:kern w:val="0"/>
          <w:sz w:val="24"/>
        </w:rPr>
        <w:t>150mm</w:t>
      </w:r>
      <w:r>
        <w:rPr>
          <w:rFonts w:ascii="宋体" w:cs="宋体" w:hint="eastAsia"/>
          <w:kern w:val="0"/>
          <w:sz w:val="24"/>
        </w:rPr>
        <w:t>；</w:t>
      </w:r>
    </w:p>
    <w:p w:rsidR="005F7985">
      <w:pPr>
        <w:pStyle w:val="Normal0"/>
        <w:numPr>
          <w:ilvl w:val="0"/>
          <w:numId w:val="10"/>
        </w:numPr>
        <w:tabs>
          <w:tab w:val="left" w:pos="360"/>
        </w:tabs>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采用对接或搭接时均应符合《建筑施工扣件式钢管脚手架安全技术规范》</w:t>
      </w:r>
      <w:r>
        <w:rPr>
          <w:rFonts w:ascii="宋体" w:cs="宋体"/>
          <w:kern w:val="0"/>
          <w:sz w:val="24"/>
        </w:rPr>
        <w:t>JGJ130-2011</w:t>
      </w:r>
      <w:r>
        <w:rPr>
          <w:rFonts w:ascii="宋体" w:cs="宋体" w:hint="eastAsia"/>
          <w:kern w:val="0"/>
          <w:sz w:val="24"/>
        </w:rPr>
        <w:t>第</w:t>
      </w:r>
      <w:r>
        <w:rPr>
          <w:rFonts w:ascii="宋体" w:cs="宋体"/>
          <w:kern w:val="0"/>
          <w:sz w:val="24"/>
        </w:rPr>
        <w:t>6.2.4</w:t>
      </w:r>
      <w:r>
        <w:rPr>
          <w:rFonts w:ascii="宋体" w:cs="宋体" w:hint="eastAsia"/>
          <w:kern w:val="0"/>
          <w:sz w:val="24"/>
        </w:rPr>
        <w:t>条的规定；脚手板探头应用直径</w:t>
      </w:r>
      <w:r>
        <w:rPr>
          <w:rFonts w:ascii="宋体" w:cs="宋体"/>
          <w:kern w:val="0"/>
          <w:sz w:val="24"/>
        </w:rPr>
        <w:t>3.</w:t>
      </w:r>
      <w:r>
        <w:rPr>
          <w:rFonts w:ascii="宋体" w:cs="宋体" w:hint="eastAsia"/>
          <w:kern w:val="0"/>
          <w:sz w:val="24"/>
        </w:rPr>
        <w:t>2</w:t>
      </w:r>
      <w:r>
        <w:rPr>
          <w:rFonts w:ascii="宋体" w:cs="宋体"/>
          <w:kern w:val="0"/>
          <w:sz w:val="24"/>
        </w:rPr>
        <w:t>mm</w:t>
      </w:r>
      <w:r>
        <w:rPr>
          <w:rFonts w:ascii="宋体" w:cs="宋体" w:hint="eastAsia"/>
          <w:kern w:val="0"/>
          <w:sz w:val="24"/>
        </w:rPr>
        <w:t>镀锌铁丝固定在</w:t>
      </w:r>
      <w:r>
        <w:rPr>
          <w:rFonts w:ascii="宋体" w:cs="宋体" w:hint="eastAsia"/>
          <w:kern w:val="0"/>
          <w:sz w:val="24"/>
        </w:rPr>
        <w:t>支承杆件上；</w:t>
      </w:r>
    </w:p>
    <w:p w:rsidR="005F7985">
      <w:pPr>
        <w:pStyle w:val="Normal0"/>
        <w:numPr>
          <w:ilvl w:val="0"/>
          <w:numId w:val="10"/>
        </w:numPr>
        <w:tabs>
          <w:tab w:val="left" w:pos="360"/>
        </w:tabs>
        <w:autoSpaceDE w:val="0"/>
        <w:autoSpaceDN w:val="0"/>
        <w:adjustRightInd w:val="0"/>
        <w:spacing w:line="360" w:lineRule="auto"/>
        <w:ind w:firstLine="480" w:firstLineChars="200"/>
        <w:jc w:val="left"/>
        <w:rPr>
          <w:rFonts w:ascii="宋体" w:cs="宋体"/>
          <w:kern w:val="0"/>
          <w:sz w:val="24"/>
        </w:rPr>
      </w:pPr>
      <w:r>
        <w:rPr>
          <w:rFonts w:ascii="宋体" w:cs="宋体" w:hint="eastAsia"/>
          <w:kern w:val="0"/>
          <w:sz w:val="24"/>
        </w:rPr>
        <w:t>在拐角、斜道平台口处的脚手板，应用镀锌铁丝固定在横向水平杆上，防止滑动。</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13</w:t>
      </w:r>
      <w:r>
        <w:rPr>
          <w:rFonts w:ascii="宋体" w:cs="宋体" w:hint="eastAsia"/>
          <w:kern w:val="0"/>
          <w:sz w:val="24"/>
        </w:rPr>
        <w:t>、钢管架应设置避雷针，分置于主楼外架四角立杆之上，并联通纵向水平杆，形成避雷网络，并检测接地电阻不大于</w:t>
      </w:r>
      <w:r>
        <w:rPr>
          <w:kern w:val="0"/>
          <w:sz w:val="24"/>
          <w:lang w:val="el-GR"/>
        </w:rPr>
        <w:t>30Ω</w:t>
      </w:r>
      <w:r>
        <w:rPr>
          <w:rFonts w:ascii="宋体" w:cs="宋体" w:hint="eastAsia"/>
          <w:kern w:val="0"/>
          <w:sz w:val="24"/>
        </w:rPr>
        <w:t>。</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14</w:t>
      </w:r>
      <w:r>
        <w:rPr>
          <w:rFonts w:ascii="宋体" w:cs="宋体" w:hint="eastAsia"/>
          <w:kern w:val="0"/>
          <w:sz w:val="24"/>
        </w:rPr>
        <w:t>、外脚手架不得搭设在距离外架空线路的安全距离内，并做好可靠的安全接地处理。</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15</w:t>
      </w:r>
      <w:r>
        <w:rPr>
          <w:rFonts w:ascii="宋体" w:cs="宋体" w:hint="eastAsia"/>
          <w:kern w:val="0"/>
          <w:sz w:val="24"/>
        </w:rPr>
        <w:t>、定期检查脚手架，发现问题和隐患，在施工作业前及时维修加固，以达到坚固稳定，确保施工安全。</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16</w:t>
      </w:r>
      <w:r>
        <w:rPr>
          <w:rFonts w:ascii="宋体" w:cs="宋体" w:hint="eastAsia"/>
          <w:kern w:val="0"/>
          <w:sz w:val="24"/>
        </w:rPr>
        <w:t>、外脚手架严禁钢竹、钢木混搭，禁止扣件、绳索、铁丝、竹篾、塑料篾混用。</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17</w:t>
      </w:r>
      <w:r>
        <w:rPr>
          <w:rFonts w:ascii="宋体" w:cs="宋体" w:hint="eastAsia"/>
          <w:kern w:val="0"/>
          <w:sz w:val="24"/>
        </w:rPr>
        <w:t>、外脚手架搭设人员必须持证上岗，并正确使用安全帽、安全带、穿防滑鞋。</w:t>
      </w:r>
    </w:p>
    <w:p w:rsidR="005F7985">
      <w:pPr>
        <w:pStyle w:val="Normal0"/>
        <w:autoSpaceDE w:val="0"/>
        <w:autoSpaceDN w:val="0"/>
        <w:adjustRightInd w:val="0"/>
        <w:spacing w:line="360" w:lineRule="auto"/>
        <w:ind w:firstLine="480" w:firstLineChars="200"/>
        <w:rPr>
          <w:rFonts w:ascii="宋体" w:cs="宋体"/>
          <w:kern w:val="0"/>
          <w:sz w:val="24"/>
        </w:rPr>
        <w:sectPr>
          <w:type w:val="nextPage"/>
          <w:pgSz w:w="11906" w:h="16838"/>
          <w:pgMar w:top="1287" w:right="1152" w:bottom="1271" w:left="1094" w:header="851" w:footer="312" w:gutter="0"/>
          <w:pgNumType w:fmt="numberInDash" w:start="17"/>
          <w:cols w:space="708"/>
          <w:titlePg w:val="0"/>
          <w:docGrid w:type="lines" w:linePitch="312"/>
        </w:sectPr>
      </w:pPr>
      <w:r>
        <w:rPr>
          <w:rFonts w:ascii="宋体" w:cs="宋体"/>
          <w:kern w:val="0"/>
          <w:sz w:val="24"/>
        </w:rPr>
        <w:t>18</w:t>
      </w:r>
      <w:r>
        <w:rPr>
          <w:rFonts w:ascii="宋体" w:cs="宋体" w:hint="eastAsia"/>
          <w:kern w:val="0"/>
          <w:sz w:val="24"/>
        </w:rPr>
        <w:t>、严禁脚手板存在探头板，铺设脚手板以及多层作业时，应尽量使施工荷载内、外传</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递平衡。</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19</w:t>
      </w:r>
      <w:r>
        <w:rPr>
          <w:rFonts w:ascii="宋体" w:cs="宋体" w:hint="eastAsia"/>
          <w:kern w:val="0"/>
          <w:sz w:val="24"/>
        </w:rPr>
        <w:t>、保证脚手架体的整体性，不得与井架、升降机一并拉结，不得截断架体。</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2</w:t>
      </w:r>
      <w:r>
        <w:rPr>
          <w:rFonts w:ascii="宋体" w:cs="宋体" w:hint="eastAsia"/>
          <w:kern w:val="0"/>
          <w:sz w:val="24"/>
        </w:rPr>
        <w:t>0</w:t>
      </w:r>
      <w:r>
        <w:rPr>
          <w:rFonts w:ascii="宋体" w:cs="宋体" w:hint="eastAsia"/>
          <w:kern w:val="0"/>
          <w:sz w:val="24"/>
        </w:rPr>
        <w:t>、严格控制施工荷载，脚手板上不得集中堆料施荷，施工荷载不得大于</w:t>
      </w:r>
      <w:r>
        <w:rPr>
          <w:rFonts w:ascii="宋体" w:cs="宋体" w:hint="eastAsia"/>
          <w:kern w:val="0"/>
          <w:sz w:val="24"/>
        </w:rPr>
        <w:t>2.0</w:t>
      </w:r>
      <w:r>
        <w:rPr>
          <w:kern w:val="0"/>
          <w:sz w:val="24"/>
        </w:rPr>
        <w:t>kN/m</w:t>
      </w:r>
      <w:r>
        <w:rPr>
          <w:kern w:val="0"/>
          <w:sz w:val="24"/>
          <w:vertAlign w:val="superscript"/>
        </w:rPr>
        <w:t>2</w:t>
      </w:r>
      <w:r>
        <w:rPr>
          <w:rFonts w:ascii="宋体" w:cs="宋体" w:hint="eastAsia"/>
          <w:kern w:val="0"/>
          <w:sz w:val="24"/>
        </w:rPr>
        <w:t>，确保较大安全储备。</w:t>
      </w:r>
    </w:p>
    <w:p w:rsidR="005F7985">
      <w:pPr>
        <w:pStyle w:val="Normal0"/>
        <w:autoSpaceDE w:val="0"/>
        <w:autoSpaceDN w:val="0"/>
        <w:adjustRightInd w:val="0"/>
        <w:spacing w:line="360" w:lineRule="auto"/>
        <w:ind w:firstLine="480" w:firstLineChars="200"/>
        <w:rPr>
          <w:color w:val="000000"/>
          <w:kern w:val="0"/>
          <w:sz w:val="24"/>
        </w:rPr>
      </w:pPr>
      <w:r>
        <w:rPr>
          <w:rFonts w:ascii="宋体" w:cs="宋体"/>
          <w:kern w:val="0"/>
          <w:sz w:val="24"/>
        </w:rPr>
        <w:t>22</w:t>
      </w:r>
      <w:r>
        <w:rPr>
          <w:rFonts w:ascii="宋体" w:cs="宋体" w:hint="eastAsia"/>
          <w:kern w:val="0"/>
          <w:sz w:val="24"/>
        </w:rPr>
        <w:t>、各作业层之间设置可靠的防护栅栏，防止坠落物体伤人。</w:t>
      </w:r>
    </w:p>
    <w:p w:rsidR="005F7985">
      <w:pPr>
        <w:pStyle w:val="Normal0"/>
        <w:autoSpaceDE w:val="0"/>
        <w:autoSpaceDN w:val="0"/>
        <w:adjustRightInd w:val="0"/>
        <w:spacing w:line="360" w:lineRule="auto"/>
        <w:ind w:firstLine="480" w:firstLineChars="200"/>
        <w:jc w:val="left"/>
        <w:rPr>
          <w:color w:val="000000"/>
          <w:kern w:val="0"/>
          <w:sz w:val="24"/>
        </w:rPr>
      </w:pPr>
      <w:r>
        <w:rPr>
          <w:color w:val="000000"/>
          <w:kern w:val="0"/>
          <w:sz w:val="24"/>
        </w:rPr>
        <w:t>脚手架拆除技术措施</w:t>
      </w:r>
    </w:p>
    <w:p w:rsidR="005F7985">
      <w:pPr>
        <w:pStyle w:val="Normal0"/>
        <w:autoSpaceDE w:val="0"/>
        <w:autoSpaceDN w:val="0"/>
        <w:adjustRightInd w:val="0"/>
        <w:spacing w:line="360" w:lineRule="auto"/>
        <w:ind w:firstLine="480" w:firstLineChars="200"/>
        <w:jc w:val="left"/>
        <w:rPr>
          <w:color w:val="000000"/>
          <w:kern w:val="0"/>
          <w:sz w:val="24"/>
        </w:rPr>
      </w:pPr>
      <w:r>
        <w:rPr>
          <w:color w:val="000000"/>
          <w:kern w:val="0"/>
          <w:sz w:val="24"/>
        </w:rPr>
        <w:t>扣件式脚手架</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1</w:t>
      </w:r>
      <w:r>
        <w:rPr>
          <w:rFonts w:ascii="宋体" w:cs="宋体" w:hint="eastAsia"/>
          <w:kern w:val="0"/>
          <w:sz w:val="24"/>
        </w:rPr>
        <w:t>、拆架前</w:t>
      </w:r>
      <w:r>
        <w:rPr>
          <w:rFonts w:ascii="宋体" w:cs="宋体"/>
          <w:kern w:val="0"/>
          <w:sz w:val="24"/>
        </w:rPr>
        <w:t>:</w:t>
      </w:r>
    </w:p>
    <w:p w:rsidR="005F7985">
      <w:pPr>
        <w:pStyle w:val="Normal0"/>
        <w:numPr>
          <w:ilvl w:val="0"/>
          <w:numId w:val="11"/>
        </w:numPr>
        <w:autoSpaceDE w:val="0"/>
        <w:autoSpaceDN w:val="0"/>
        <w:adjustRightInd w:val="0"/>
        <w:spacing w:line="360" w:lineRule="auto"/>
        <w:ind w:left="420" w:leftChars="200"/>
        <w:rPr>
          <w:rFonts w:ascii="宋体" w:cs="宋体"/>
          <w:color w:val="FF0000"/>
          <w:kern w:val="0"/>
          <w:sz w:val="24"/>
        </w:rPr>
      </w:pPr>
      <w:r>
        <w:rPr>
          <w:rFonts w:ascii="宋体" w:cs="宋体" w:hint="eastAsia"/>
          <w:color w:val="FF0000"/>
          <w:kern w:val="0"/>
          <w:sz w:val="24"/>
        </w:rPr>
        <w:t>对架子工进行安全技术交底，进行安全拆除相关培训，必须持证上岗；</w:t>
      </w:r>
    </w:p>
    <w:p w:rsidR="005F7985">
      <w:pPr>
        <w:pStyle w:val="Normal0"/>
        <w:numPr>
          <w:ilvl w:val="0"/>
          <w:numId w:val="11"/>
        </w:numPr>
        <w:autoSpaceDE w:val="0"/>
        <w:autoSpaceDN w:val="0"/>
        <w:adjustRightInd w:val="0"/>
        <w:spacing w:line="360" w:lineRule="auto"/>
        <w:ind w:left="420" w:leftChars="200"/>
        <w:rPr>
          <w:rFonts w:ascii="宋体" w:cs="宋体"/>
          <w:color w:val="FF0000"/>
          <w:kern w:val="0"/>
          <w:sz w:val="24"/>
        </w:rPr>
      </w:pPr>
      <w:r>
        <w:rPr>
          <w:rFonts w:ascii="宋体" w:cs="宋体" w:hint="eastAsia"/>
          <w:color w:val="FF0000"/>
          <w:kern w:val="0"/>
          <w:sz w:val="24"/>
        </w:rPr>
        <w:t>高空作业必须佩戴安全带作业；</w:t>
      </w:r>
    </w:p>
    <w:p w:rsidR="005F7985">
      <w:pPr>
        <w:pStyle w:val="Normal0"/>
        <w:autoSpaceDE w:val="0"/>
        <w:autoSpaceDN w:val="0"/>
        <w:adjustRightInd w:val="0"/>
        <w:spacing w:line="360" w:lineRule="auto"/>
        <w:ind w:left="420" w:leftChars="200"/>
        <w:jc w:val="left"/>
        <w:rPr>
          <w:rFonts w:ascii="宋体" w:cs="宋体"/>
          <w:color w:val="FF0000"/>
          <w:kern w:val="0"/>
          <w:sz w:val="24"/>
        </w:rPr>
      </w:pPr>
      <w:r>
        <w:rPr>
          <w:rFonts w:ascii="宋体" w:cs="宋体" w:hint="eastAsia"/>
          <w:color w:val="FF0000"/>
          <w:kern w:val="0"/>
          <w:sz w:val="24"/>
        </w:rPr>
        <w:t>（</w:t>
      </w:r>
      <w:r>
        <w:rPr>
          <w:rFonts w:ascii="宋体" w:cs="宋体" w:hint="eastAsia"/>
          <w:color w:val="FF0000"/>
          <w:kern w:val="0"/>
          <w:sz w:val="24"/>
        </w:rPr>
        <w:t>3</w:t>
      </w:r>
      <w:r>
        <w:rPr>
          <w:rFonts w:ascii="宋体" w:cs="宋体" w:hint="eastAsia"/>
          <w:color w:val="FF0000"/>
          <w:kern w:val="0"/>
          <w:sz w:val="24"/>
        </w:rPr>
        <w:t>）</w:t>
      </w:r>
      <w:r>
        <w:rPr>
          <w:rFonts w:ascii="宋体" w:cs="宋体" w:hint="eastAsia"/>
          <w:color w:val="FF0000"/>
          <w:kern w:val="0"/>
          <w:sz w:val="24"/>
        </w:rPr>
        <w:t>应全面检查脚手架的扣件连接、连墙件、支撑体系等是否符合构造要求；</w:t>
      </w:r>
    </w:p>
    <w:p w:rsidR="005F7985">
      <w:pPr>
        <w:pStyle w:val="Normal0"/>
        <w:autoSpaceDE w:val="0"/>
        <w:autoSpaceDN w:val="0"/>
        <w:adjustRightInd w:val="0"/>
        <w:spacing w:line="360" w:lineRule="auto"/>
        <w:ind w:left="420" w:leftChars="200"/>
        <w:jc w:val="left"/>
        <w:rPr>
          <w:rFonts w:ascii="宋体" w:cs="宋体"/>
          <w:color w:val="FF0000"/>
          <w:kern w:val="0"/>
          <w:sz w:val="24"/>
        </w:rPr>
      </w:pPr>
      <w:r>
        <w:rPr>
          <w:rFonts w:ascii="宋体" w:cs="宋体" w:hint="eastAsia"/>
          <w:color w:val="FF0000"/>
          <w:kern w:val="0"/>
          <w:sz w:val="24"/>
        </w:rPr>
        <w:t>（</w:t>
      </w:r>
      <w:r>
        <w:rPr>
          <w:rFonts w:ascii="宋体" w:cs="宋体" w:hint="eastAsia"/>
          <w:color w:val="FF0000"/>
          <w:kern w:val="0"/>
          <w:sz w:val="24"/>
        </w:rPr>
        <w:t>4</w:t>
      </w:r>
      <w:r>
        <w:rPr>
          <w:rFonts w:ascii="宋体" w:cs="宋体" w:hint="eastAsia"/>
          <w:color w:val="FF0000"/>
          <w:kern w:val="0"/>
          <w:sz w:val="24"/>
        </w:rPr>
        <w:t>）</w:t>
      </w:r>
      <w:r>
        <w:rPr>
          <w:rFonts w:ascii="宋体" w:cs="宋体" w:hint="eastAsia"/>
          <w:color w:val="FF0000"/>
          <w:kern w:val="0"/>
          <w:sz w:val="24"/>
        </w:rPr>
        <w:t>应根据检查结果补充完善施工组织设计中的拆除顺序和措施，经主管部门批准后方</w:t>
      </w:r>
      <w:r>
        <w:rPr>
          <w:rFonts w:ascii="宋体" w:cs="宋体" w:hint="eastAsia"/>
          <w:color w:val="FF0000"/>
          <w:kern w:val="0"/>
          <w:sz w:val="24"/>
        </w:rPr>
        <w:t>（</w:t>
      </w:r>
      <w:r>
        <w:rPr>
          <w:rFonts w:ascii="宋体" w:cs="宋体" w:hint="eastAsia"/>
          <w:color w:val="FF0000"/>
          <w:kern w:val="0"/>
          <w:sz w:val="24"/>
        </w:rPr>
        <w:t>5</w:t>
      </w:r>
      <w:r>
        <w:rPr>
          <w:rFonts w:ascii="宋体" w:cs="宋体" w:hint="eastAsia"/>
          <w:color w:val="FF0000"/>
          <w:kern w:val="0"/>
          <w:sz w:val="24"/>
        </w:rPr>
        <w:t>）</w:t>
      </w:r>
      <w:r>
        <w:rPr>
          <w:rFonts w:ascii="宋体" w:cs="宋体" w:hint="eastAsia"/>
          <w:color w:val="FF0000"/>
          <w:kern w:val="0"/>
          <w:sz w:val="24"/>
        </w:rPr>
        <w:t>可实施；</w:t>
      </w:r>
    </w:p>
    <w:p w:rsidR="005F7985">
      <w:pPr>
        <w:pStyle w:val="Normal0"/>
        <w:autoSpaceDE w:val="0"/>
        <w:autoSpaceDN w:val="0"/>
        <w:adjustRightInd w:val="0"/>
        <w:spacing w:line="360" w:lineRule="auto"/>
        <w:ind w:left="420" w:leftChars="200"/>
        <w:jc w:val="left"/>
        <w:rPr>
          <w:rFonts w:ascii="宋体" w:cs="宋体"/>
          <w:color w:val="FF0000"/>
          <w:kern w:val="0"/>
          <w:sz w:val="24"/>
        </w:rPr>
      </w:pPr>
      <w:r>
        <w:rPr>
          <w:rFonts w:ascii="宋体" w:cs="宋体" w:hint="eastAsia"/>
          <w:color w:val="FF0000"/>
          <w:kern w:val="0"/>
          <w:sz w:val="24"/>
        </w:rPr>
        <w:t>（</w:t>
      </w:r>
      <w:r>
        <w:rPr>
          <w:rFonts w:ascii="宋体" w:cs="宋体" w:hint="eastAsia"/>
          <w:color w:val="FF0000"/>
          <w:kern w:val="0"/>
          <w:sz w:val="24"/>
        </w:rPr>
        <w:t>6</w:t>
      </w:r>
      <w:r>
        <w:rPr>
          <w:rFonts w:ascii="宋体" w:cs="宋体" w:hint="eastAsia"/>
          <w:color w:val="FF0000"/>
          <w:kern w:val="0"/>
          <w:sz w:val="24"/>
        </w:rPr>
        <w:t>）</w:t>
      </w:r>
      <w:r>
        <w:rPr>
          <w:rFonts w:ascii="宋体" w:cs="宋体" w:hint="eastAsia"/>
          <w:color w:val="FF0000"/>
          <w:kern w:val="0"/>
          <w:sz w:val="24"/>
        </w:rPr>
        <w:t>应由单位工程负责人进行拆除安全技术交底；</w:t>
      </w:r>
    </w:p>
    <w:p w:rsidR="005F7985">
      <w:pPr>
        <w:pStyle w:val="Normal0"/>
        <w:autoSpaceDE w:val="0"/>
        <w:autoSpaceDN w:val="0"/>
        <w:adjustRightInd w:val="0"/>
        <w:spacing w:line="360" w:lineRule="auto"/>
        <w:ind w:left="420" w:leftChars="200"/>
        <w:jc w:val="left"/>
        <w:rPr>
          <w:rFonts w:ascii="宋体" w:cs="宋体"/>
          <w:color w:val="FF0000"/>
          <w:kern w:val="0"/>
          <w:sz w:val="24"/>
        </w:rPr>
      </w:pPr>
      <w:r>
        <w:rPr>
          <w:rFonts w:ascii="宋体" w:cs="宋体" w:hint="eastAsia"/>
          <w:color w:val="FF0000"/>
          <w:kern w:val="0"/>
          <w:sz w:val="24"/>
        </w:rPr>
        <w:t>（</w:t>
      </w:r>
      <w:r>
        <w:rPr>
          <w:rFonts w:ascii="宋体" w:cs="宋体" w:hint="eastAsia"/>
          <w:color w:val="FF0000"/>
          <w:kern w:val="0"/>
          <w:sz w:val="24"/>
        </w:rPr>
        <w:t>7</w:t>
      </w:r>
      <w:r>
        <w:rPr>
          <w:rFonts w:ascii="宋体" w:cs="宋体" w:hint="eastAsia"/>
          <w:color w:val="FF0000"/>
          <w:kern w:val="0"/>
          <w:sz w:val="24"/>
        </w:rPr>
        <w:t>）</w:t>
      </w:r>
      <w:r>
        <w:rPr>
          <w:rFonts w:ascii="宋体" w:cs="宋体" w:hint="eastAsia"/>
          <w:color w:val="FF0000"/>
          <w:kern w:val="0"/>
          <w:sz w:val="24"/>
        </w:rPr>
        <w:t>应清除脚手架上杂物及地面障碍物。</w:t>
      </w:r>
    </w:p>
    <w:p w:rsidR="005F7985">
      <w:pPr>
        <w:pStyle w:val="Normal0"/>
        <w:autoSpaceDE w:val="0"/>
        <w:autoSpaceDN w:val="0"/>
        <w:adjustRightInd w:val="0"/>
        <w:spacing w:line="360" w:lineRule="auto"/>
        <w:ind w:firstLine="480" w:firstLineChars="200"/>
        <w:rPr>
          <w:rFonts w:ascii="宋体" w:cs="宋体"/>
          <w:color w:val="000000"/>
          <w:kern w:val="0"/>
          <w:sz w:val="24"/>
        </w:rPr>
      </w:pPr>
      <w:r>
        <w:rPr>
          <w:rFonts w:ascii="宋体" w:cs="宋体"/>
          <w:kern w:val="0"/>
          <w:sz w:val="24"/>
        </w:rPr>
        <w:t>2</w:t>
      </w:r>
      <w:r>
        <w:rPr>
          <w:rFonts w:ascii="宋体" w:cs="宋体" w:hint="eastAsia"/>
          <w:kern w:val="0"/>
          <w:sz w:val="24"/>
        </w:rPr>
        <w:t>、拆架时应划分作业区，周围设绳绑围栏或竖立警戒标志，地面应设专人指挥，禁止非作业人员进入。当脚手架采取分段、分立面拆除时，对不拆除的脚手架两端，应先按《建筑施工扣件式钢管脚手架安全技术规范》</w:t>
      </w:r>
      <w:r>
        <w:rPr>
          <w:rFonts w:ascii="宋体" w:cs="宋体"/>
          <w:kern w:val="0"/>
          <w:sz w:val="24"/>
        </w:rPr>
        <w:t>JGJ130-2011</w:t>
      </w:r>
      <w:r>
        <w:rPr>
          <w:rFonts w:ascii="宋体" w:cs="宋体" w:hint="eastAsia"/>
          <w:color w:val="000000"/>
          <w:kern w:val="0"/>
          <w:sz w:val="24"/>
        </w:rPr>
        <w:t>第</w:t>
      </w:r>
      <w:r>
        <w:rPr>
          <w:rFonts w:ascii="宋体" w:cs="宋体"/>
          <w:color w:val="000000"/>
          <w:kern w:val="0"/>
          <w:sz w:val="24"/>
        </w:rPr>
        <w:t>6.4.4</w:t>
      </w:r>
      <w:r>
        <w:rPr>
          <w:rFonts w:ascii="宋体" w:cs="宋体" w:hint="eastAsia"/>
          <w:color w:val="000000"/>
          <w:kern w:val="0"/>
          <w:sz w:val="24"/>
        </w:rPr>
        <w:t>条、第</w:t>
      </w:r>
      <w:r>
        <w:rPr>
          <w:rFonts w:ascii="宋体" w:cs="宋体"/>
          <w:color w:val="000000"/>
          <w:kern w:val="0"/>
          <w:sz w:val="24"/>
        </w:rPr>
        <w:t>6.6.4</w:t>
      </w:r>
      <w:r>
        <w:rPr>
          <w:rFonts w:ascii="宋体" w:cs="宋体" w:hint="eastAsia"/>
          <w:color w:val="000000"/>
          <w:kern w:val="0"/>
          <w:sz w:val="24"/>
        </w:rPr>
        <w:t>条、第</w:t>
      </w:r>
      <w:r>
        <w:rPr>
          <w:rFonts w:ascii="宋体" w:cs="宋体"/>
          <w:color w:val="000000"/>
          <w:kern w:val="0"/>
          <w:sz w:val="24"/>
        </w:rPr>
        <w:t>6.6.5</w:t>
      </w:r>
      <w:r>
        <w:rPr>
          <w:rFonts w:ascii="宋体" w:cs="宋体" w:hint="eastAsia"/>
          <w:color w:val="000000"/>
          <w:kern w:val="0"/>
          <w:sz w:val="24"/>
        </w:rPr>
        <w:t>条设置连墙件和横向斜撑加固。</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3</w:t>
      </w:r>
      <w:r>
        <w:rPr>
          <w:rFonts w:ascii="宋体" w:cs="宋体" w:hint="eastAsia"/>
          <w:kern w:val="0"/>
          <w:sz w:val="24"/>
        </w:rPr>
        <w:t>、拆架的高处作业人员应戴安全帽、系安全带、扎裹腿、穿软底防滑鞋。</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4</w:t>
      </w:r>
      <w:r>
        <w:rPr>
          <w:rFonts w:ascii="宋体" w:cs="宋体" w:hint="eastAsia"/>
          <w:kern w:val="0"/>
          <w:sz w:val="24"/>
        </w:rPr>
        <w:t>、拆架程序应遵守</w:t>
      </w:r>
      <w:r>
        <w:rPr>
          <w:kern w:val="0"/>
          <w:sz w:val="24"/>
        </w:rPr>
        <w:t>“</w:t>
      </w:r>
      <w:r>
        <w:rPr>
          <w:rFonts w:ascii="宋体" w:cs="宋体" w:hint="eastAsia"/>
          <w:kern w:val="0"/>
          <w:sz w:val="24"/>
        </w:rPr>
        <w:t>由上而下，先搭后拆</w:t>
      </w:r>
      <w:r>
        <w:rPr>
          <w:kern w:val="0"/>
          <w:sz w:val="24"/>
        </w:rPr>
        <w:t>”</w:t>
      </w:r>
      <w:r>
        <w:rPr>
          <w:rFonts w:ascii="宋体" w:cs="宋体" w:hint="eastAsia"/>
          <w:kern w:val="0"/>
          <w:sz w:val="24"/>
        </w:rPr>
        <w:t>的原则，即先拆拉杆、脚手板、剪刀撑、斜撑，而后拆横向水平杆、纵向水平杆、立杆等，并按</w:t>
      </w:r>
      <w:r>
        <w:rPr>
          <w:kern w:val="0"/>
          <w:sz w:val="24"/>
        </w:rPr>
        <w:t>“</w:t>
      </w:r>
      <w:r>
        <w:rPr>
          <w:rFonts w:ascii="宋体" w:cs="宋体" w:hint="eastAsia"/>
          <w:kern w:val="0"/>
          <w:sz w:val="24"/>
        </w:rPr>
        <w:t>一步一清</w:t>
      </w:r>
      <w:r>
        <w:rPr>
          <w:kern w:val="0"/>
          <w:sz w:val="24"/>
        </w:rPr>
        <w:t>”</w:t>
      </w:r>
      <w:r>
        <w:rPr>
          <w:rFonts w:ascii="宋体" w:cs="宋体" w:hint="eastAsia"/>
          <w:kern w:val="0"/>
          <w:sz w:val="24"/>
        </w:rPr>
        <w:t>原则依次进行。严禁上下同时进行拆架作业。</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5</w:t>
      </w:r>
      <w:r>
        <w:rPr>
          <w:rFonts w:ascii="宋体" w:cs="宋体" w:hint="eastAsia"/>
          <w:kern w:val="0"/>
          <w:sz w:val="24"/>
        </w:rPr>
        <w:t>、拆立杆时，要先抱住立杆再拆开最后两个扣件，拆除纵向水平杆、斜撑、剪刀撑时，应先拆除中间扣件，然后托住中间，再解端头扣件。</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6</w:t>
      </w:r>
      <w:r>
        <w:rPr>
          <w:rFonts w:ascii="宋体" w:cs="宋体" w:hint="eastAsia"/>
          <w:kern w:val="0"/>
          <w:sz w:val="24"/>
        </w:rPr>
        <w:t>、连墙件必须随脚手架逐层拆除，严禁先将连墙件整层或数层拆除后再拆脚手架；分段拆除高差不应大于</w:t>
      </w:r>
      <w:r>
        <w:rPr>
          <w:rFonts w:ascii="宋体" w:cs="宋体"/>
          <w:kern w:val="0"/>
          <w:sz w:val="24"/>
        </w:rPr>
        <w:t>2</w:t>
      </w:r>
      <w:r>
        <w:rPr>
          <w:rFonts w:ascii="宋体" w:cs="宋体" w:hint="eastAsia"/>
          <w:kern w:val="0"/>
          <w:sz w:val="24"/>
        </w:rPr>
        <w:t>步，如高差大于</w:t>
      </w:r>
      <w:r>
        <w:rPr>
          <w:rFonts w:ascii="宋体" w:cs="宋体"/>
          <w:kern w:val="0"/>
          <w:sz w:val="24"/>
        </w:rPr>
        <w:t>2</w:t>
      </w:r>
      <w:r>
        <w:rPr>
          <w:rFonts w:ascii="宋体" w:cs="宋体" w:hint="eastAsia"/>
          <w:kern w:val="0"/>
          <w:sz w:val="24"/>
        </w:rPr>
        <w:t>步，应增设连墙件加固；当脚手架拆至下部最后一根长立杆的高度（约</w:t>
      </w:r>
      <w:r>
        <w:rPr>
          <w:rFonts w:ascii="宋体" w:cs="宋体"/>
          <w:kern w:val="0"/>
          <w:sz w:val="24"/>
        </w:rPr>
        <w:t>6.m</w:t>
      </w:r>
      <w:r>
        <w:rPr>
          <w:rFonts w:ascii="宋体" w:cs="宋体" w:hint="eastAsia"/>
          <w:kern w:val="0"/>
          <w:sz w:val="24"/>
        </w:rPr>
        <w:t>）时，应先在适当位置搭设临时抛撑加固后，再拆除连墙件。</w:t>
      </w:r>
    </w:p>
    <w:p w:rsidR="005F7985">
      <w:pPr>
        <w:pStyle w:val="Normal0"/>
        <w:autoSpaceDE w:val="0"/>
        <w:autoSpaceDN w:val="0"/>
        <w:adjustRightInd w:val="0"/>
        <w:spacing w:line="360" w:lineRule="auto"/>
        <w:ind w:firstLine="480" w:firstLineChars="200"/>
        <w:rPr>
          <w:rFonts w:ascii="宋体" w:cs="宋体"/>
          <w:kern w:val="0"/>
          <w:sz w:val="24"/>
        </w:rPr>
        <w:sectPr>
          <w:type w:val="nextPage"/>
          <w:pgSz w:w="11906" w:h="16838"/>
          <w:pgMar w:top="1287" w:right="1152" w:bottom="1271" w:left="1094" w:header="851" w:footer="312" w:gutter="0"/>
          <w:pgNumType w:fmt="numberInDash" w:start="18"/>
          <w:cols w:space="708"/>
          <w:titlePg w:val="0"/>
          <w:docGrid w:type="lines" w:linePitch="312"/>
        </w:sectPr>
      </w:pPr>
      <w:r>
        <w:rPr>
          <w:rFonts w:ascii="宋体" w:cs="宋体"/>
          <w:kern w:val="0"/>
          <w:sz w:val="24"/>
        </w:rPr>
        <w:t>7</w:t>
      </w:r>
      <w:r>
        <w:rPr>
          <w:rFonts w:ascii="宋体" w:cs="宋体" w:hint="eastAsia"/>
          <w:kern w:val="0"/>
          <w:sz w:val="24"/>
        </w:rPr>
        <w:t>、拆除时要统一指挥，上下呼应，动作协调，当解开与另一人有关的结扣时，应先通知对方，以防坠落。</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8</w:t>
      </w:r>
      <w:r>
        <w:rPr>
          <w:rFonts w:ascii="宋体" w:cs="宋体" w:hint="eastAsia"/>
          <w:kern w:val="0"/>
          <w:sz w:val="24"/>
        </w:rPr>
        <w:t>、拆架时严禁碰撞脚手架附近电源线，以防触电事故。</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9</w:t>
      </w:r>
      <w:r>
        <w:rPr>
          <w:rFonts w:ascii="宋体" w:cs="宋体" w:hint="eastAsia"/>
          <w:kern w:val="0"/>
          <w:sz w:val="24"/>
        </w:rPr>
        <w:t>、在拆架时，不得中途换人，如必须换人时，应将拆除情况交代清楚后方可离开。</w:t>
      </w:r>
    </w:p>
    <w:p w:rsidR="005F7985">
      <w:pPr>
        <w:pStyle w:val="Normal0"/>
        <w:autoSpaceDE w:val="0"/>
        <w:autoSpaceDN w:val="0"/>
        <w:adjustRightInd w:val="0"/>
        <w:spacing w:line="360" w:lineRule="auto"/>
        <w:ind w:firstLine="480" w:firstLineChars="200"/>
        <w:rPr>
          <w:rFonts w:ascii="宋体" w:cs="宋体"/>
          <w:kern w:val="0"/>
          <w:sz w:val="20"/>
          <w:szCs w:val="20"/>
        </w:rPr>
      </w:pPr>
      <w:r>
        <w:rPr>
          <w:rFonts w:ascii="宋体" w:cs="宋体"/>
          <w:kern w:val="0"/>
          <w:sz w:val="24"/>
        </w:rPr>
        <w:t>10</w:t>
      </w:r>
      <w:r>
        <w:rPr>
          <w:rFonts w:ascii="宋体" w:cs="宋体" w:hint="eastAsia"/>
          <w:kern w:val="0"/>
          <w:sz w:val="24"/>
        </w:rPr>
        <w:t>、拆下的材料要徐徐下运，严禁抛掷。运至地面的材料应按指定地点随拆随运，分类堆放，</w:t>
      </w:r>
      <w:r>
        <w:rPr>
          <w:kern w:val="0"/>
          <w:sz w:val="24"/>
        </w:rPr>
        <w:t>“</w:t>
      </w:r>
      <w:r>
        <w:rPr>
          <w:rFonts w:ascii="宋体" w:cs="宋体" w:hint="eastAsia"/>
          <w:kern w:val="0"/>
          <w:sz w:val="24"/>
        </w:rPr>
        <w:t>当天拆当天清</w:t>
      </w:r>
      <w:r>
        <w:rPr>
          <w:kern w:val="0"/>
          <w:sz w:val="24"/>
        </w:rPr>
        <w:t>”</w:t>
      </w:r>
      <w:r>
        <w:rPr>
          <w:rFonts w:ascii="宋体" w:cs="宋体" w:hint="eastAsia"/>
          <w:kern w:val="0"/>
          <w:sz w:val="24"/>
        </w:rPr>
        <w:t>，拆下的构配件应按《建筑施工扣件式钢管脚手架安全技术规范》</w:t>
      </w:r>
      <w:r>
        <w:rPr>
          <w:rFonts w:ascii="宋体" w:cs="宋体"/>
          <w:kern w:val="0"/>
          <w:sz w:val="24"/>
        </w:rPr>
        <w:t>JGJ130-2011</w:t>
      </w:r>
      <w:r>
        <w:rPr>
          <w:rFonts w:ascii="宋体" w:cs="宋体" w:hint="eastAsia"/>
          <w:kern w:val="0"/>
          <w:sz w:val="24"/>
        </w:rPr>
        <w:t>的规定及时检查、整修与保养，并应按品种、规格分别存放</w:t>
      </w:r>
      <w:r>
        <w:rPr>
          <w:rFonts w:ascii="宋体" w:cs="宋体" w:hint="eastAsia"/>
          <w:kern w:val="0"/>
          <w:sz w:val="20"/>
          <w:szCs w:val="20"/>
        </w:rPr>
        <w:t>。</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color w:val="000000"/>
          <w:kern w:val="0"/>
          <w:sz w:val="24"/>
        </w:rPr>
        <w:t>11</w:t>
      </w:r>
      <w:r>
        <w:rPr>
          <w:rFonts w:ascii="宋体" w:cs="宋体" w:hint="eastAsia"/>
          <w:color w:val="000000"/>
          <w:kern w:val="0"/>
          <w:sz w:val="24"/>
        </w:rPr>
        <w:t>、</w:t>
      </w:r>
      <w:r>
        <w:rPr>
          <w:rFonts w:ascii="宋体" w:cs="宋体" w:hint="eastAsia"/>
          <w:kern w:val="0"/>
          <w:sz w:val="24"/>
        </w:rPr>
        <w:t>高层建筑脚手架拆除，应配备良好的通讯装置。</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12</w:t>
      </w:r>
      <w:r>
        <w:rPr>
          <w:rFonts w:ascii="宋体" w:cs="宋体" w:hint="eastAsia"/>
          <w:kern w:val="0"/>
          <w:sz w:val="24"/>
        </w:rPr>
        <w:t>、当天离岗时，应及时加固尚未拆除部分，防止存留隐患造成复岗后的人为事故。</w:t>
      </w:r>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kern w:val="0"/>
          <w:sz w:val="24"/>
        </w:rPr>
        <w:t>13</w:t>
      </w:r>
      <w:r>
        <w:rPr>
          <w:rFonts w:ascii="宋体" w:cs="宋体" w:hint="eastAsia"/>
          <w:kern w:val="0"/>
          <w:sz w:val="24"/>
        </w:rPr>
        <w:t>、如遇强风、大雨等特殊气候，不应进行脚手架的拆除，严禁夜间拆除。</w:t>
      </w:r>
    </w:p>
    <w:p w:rsidR="005F7985">
      <w:pPr>
        <w:pStyle w:val="Normal0"/>
        <w:autoSpaceDE w:val="0"/>
        <w:autoSpaceDN w:val="0"/>
        <w:adjustRightInd w:val="0"/>
        <w:spacing w:line="360" w:lineRule="auto"/>
        <w:ind w:firstLine="480" w:firstLineChars="200"/>
        <w:rPr>
          <w:color w:val="000000"/>
          <w:kern w:val="0"/>
          <w:sz w:val="24"/>
        </w:rPr>
      </w:pPr>
      <w:r>
        <w:rPr>
          <w:rFonts w:ascii="宋体" w:cs="宋体"/>
          <w:kern w:val="0"/>
          <w:sz w:val="24"/>
        </w:rPr>
        <w:t>14</w:t>
      </w:r>
      <w:r>
        <w:rPr>
          <w:rFonts w:ascii="宋体" w:cs="宋体" w:hint="eastAsia"/>
          <w:kern w:val="0"/>
          <w:sz w:val="24"/>
        </w:rPr>
        <w:t>、翻掀脚手板应注意站立位置，并应自外向里翻起竖立，防止外翻将脚手板上未清除的残留物从高处坠落伤人。</w:t>
      </w:r>
    </w:p>
    <w:p w:rsidR="005F7985">
      <w:pPr>
        <w:pStyle w:val="Normal0"/>
        <w:autoSpaceDE w:val="0"/>
        <w:autoSpaceDN w:val="0"/>
        <w:adjustRightInd w:val="0"/>
        <w:spacing w:line="360" w:lineRule="auto"/>
        <w:ind w:firstLine="480" w:firstLineChars="200"/>
        <w:jc w:val="left"/>
        <w:rPr>
          <w:color w:val="000000"/>
          <w:kern w:val="0"/>
          <w:sz w:val="24"/>
        </w:rPr>
      </w:pPr>
      <w:r>
        <w:rPr>
          <w:color w:val="000000"/>
          <w:kern w:val="0"/>
          <w:sz w:val="24"/>
        </w:rPr>
        <w:t>安全管理</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1</w:t>
      </w:r>
      <w:r>
        <w:rPr>
          <w:color w:val="000000"/>
          <w:kern w:val="0"/>
          <w:sz w:val="24"/>
        </w:rPr>
        <w:t>、</w:t>
      </w:r>
      <w:r>
        <w:rPr>
          <w:rFonts w:ascii="宋体" w:cs="宋体" w:hint="eastAsia"/>
          <w:kern w:val="0"/>
          <w:sz w:val="24"/>
        </w:rPr>
        <w:t>搭设人员必须是经过按现行国家标准《特种作业人员安全技术考核管理规则》</w:t>
      </w:r>
      <w:r>
        <w:rPr>
          <w:kern w:val="0"/>
          <w:sz w:val="24"/>
        </w:rPr>
        <w:t>GB5036</w:t>
      </w:r>
      <w:r>
        <w:rPr>
          <w:rFonts w:ascii="宋体" w:cs="宋体" w:hint="eastAsia"/>
          <w:kern w:val="0"/>
          <w:sz w:val="24"/>
        </w:rPr>
        <w:t>考核合格的专业架子工。上岗人员定期体检，合格者方可持证上岗；</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2</w:t>
      </w:r>
      <w:r>
        <w:rPr>
          <w:color w:val="000000"/>
          <w:kern w:val="0"/>
          <w:sz w:val="24"/>
        </w:rPr>
        <w:t>、</w:t>
      </w:r>
      <w:r>
        <w:rPr>
          <w:rFonts w:ascii="宋体" w:cs="宋体" w:hint="eastAsia"/>
          <w:kern w:val="0"/>
          <w:sz w:val="24"/>
        </w:rPr>
        <w:t>搭设人员必须戴安全帽、系安全带，穿防滑鞋；</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3</w:t>
      </w:r>
      <w:r>
        <w:rPr>
          <w:color w:val="000000"/>
          <w:kern w:val="0"/>
          <w:sz w:val="24"/>
        </w:rPr>
        <w:t>、</w:t>
      </w:r>
      <w:r>
        <w:rPr>
          <w:rFonts w:ascii="宋体" w:cs="宋体" w:hint="eastAsia"/>
          <w:kern w:val="0"/>
          <w:sz w:val="24"/>
        </w:rPr>
        <w:t>脚手架的构配件质量与搭设质量，应按安全技术规范规定进行检查验收，合格后方准许使用；</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4</w:t>
      </w:r>
      <w:r>
        <w:rPr>
          <w:color w:val="000000"/>
          <w:kern w:val="0"/>
          <w:sz w:val="24"/>
        </w:rPr>
        <w:t>、</w:t>
      </w:r>
      <w:r>
        <w:rPr>
          <w:rFonts w:ascii="宋体" w:cs="宋体" w:hint="eastAsia"/>
          <w:kern w:val="0"/>
          <w:sz w:val="24"/>
        </w:rPr>
        <w:t>作业层上的施工荷载应符合设计要求，不得超载。严禁悬挂起重设备，严禁拆除或移动架体上安全防护措施；</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5</w:t>
      </w:r>
      <w:r>
        <w:rPr>
          <w:color w:val="000000"/>
          <w:kern w:val="0"/>
          <w:sz w:val="24"/>
        </w:rPr>
        <w:t>、</w:t>
      </w:r>
      <w:r>
        <w:rPr>
          <w:rFonts w:ascii="宋体" w:cs="宋体" w:hint="eastAsia"/>
          <w:kern w:val="0"/>
          <w:sz w:val="24"/>
        </w:rPr>
        <w:t>当有六级以及六级以上大风和雾、雨天天气，应停止脚手架的搭设与拆除作业。</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6</w:t>
      </w:r>
      <w:r>
        <w:rPr>
          <w:color w:val="000000"/>
          <w:kern w:val="0"/>
          <w:sz w:val="24"/>
        </w:rPr>
        <w:t>、</w:t>
      </w:r>
      <w:r>
        <w:rPr>
          <w:rFonts w:ascii="宋体" w:cs="宋体" w:hint="eastAsia"/>
          <w:kern w:val="0"/>
          <w:sz w:val="24"/>
        </w:rPr>
        <w:t>夜间不宜进行脚手架搭设与拆除作业；</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7</w:t>
      </w:r>
      <w:r>
        <w:rPr>
          <w:color w:val="000000"/>
          <w:kern w:val="0"/>
          <w:sz w:val="24"/>
        </w:rPr>
        <w:t>、</w:t>
      </w:r>
      <w:r>
        <w:rPr>
          <w:rFonts w:ascii="宋体" w:cs="宋体" w:hint="eastAsia"/>
          <w:kern w:val="0"/>
          <w:sz w:val="24"/>
        </w:rPr>
        <w:t>脚手架的安全检查与维护，应按相应安全技术规范进行；</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8</w:t>
      </w:r>
      <w:r>
        <w:rPr>
          <w:color w:val="000000"/>
          <w:kern w:val="0"/>
          <w:sz w:val="24"/>
        </w:rPr>
        <w:t>、</w:t>
      </w:r>
      <w:r>
        <w:rPr>
          <w:rFonts w:ascii="宋体" w:cs="宋体" w:hint="eastAsia"/>
          <w:kern w:val="0"/>
          <w:sz w:val="24"/>
        </w:rPr>
        <w:t>脚手板应铺设牢靠、严实，并应用安全网双层兜底，施工层以下每隔</w:t>
      </w:r>
      <w:r>
        <w:rPr>
          <w:rFonts w:ascii="宋体" w:cs="宋体"/>
          <w:kern w:val="0"/>
          <w:sz w:val="24"/>
        </w:rPr>
        <w:t>10m</w:t>
      </w:r>
      <w:r>
        <w:rPr>
          <w:rFonts w:ascii="宋体" w:cs="宋体" w:hint="eastAsia"/>
          <w:kern w:val="0"/>
          <w:sz w:val="24"/>
        </w:rPr>
        <w:t>应用安全网封闭；单、双排脚手架、悬挑式脚手架沿架体外围应用密目式安全网全封闭，密目式</w:t>
      </w:r>
      <w:r>
        <w:rPr>
          <w:rFonts w:ascii="宋体" w:cs="宋体" w:hint="eastAsia"/>
          <w:kern w:val="0"/>
          <w:sz w:val="24"/>
        </w:rPr>
        <w:t>安全网宜设置在脚手架外立杆的内侧，并应与架体绑扎牢固。</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9</w:t>
      </w:r>
      <w:r>
        <w:rPr>
          <w:color w:val="000000"/>
          <w:kern w:val="0"/>
          <w:sz w:val="24"/>
        </w:rPr>
        <w:t>、</w:t>
      </w:r>
      <w:r>
        <w:rPr>
          <w:rFonts w:ascii="宋体" w:cs="宋体" w:hint="eastAsia"/>
          <w:kern w:val="0"/>
          <w:sz w:val="24"/>
        </w:rPr>
        <w:t>在脚手架使用期间，严禁拆除主节点处纵、横向水平杆、连墙件、交叉支撑、水平架、加固栏杆和栏杆；</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10</w:t>
      </w:r>
      <w:r>
        <w:rPr>
          <w:color w:val="000000"/>
          <w:kern w:val="0"/>
          <w:sz w:val="24"/>
        </w:rPr>
        <w:t>、</w:t>
      </w:r>
      <w:r>
        <w:rPr>
          <w:rFonts w:ascii="宋体" w:cs="宋体" w:hint="eastAsia"/>
          <w:kern w:val="0"/>
          <w:sz w:val="24"/>
        </w:rPr>
        <w:t>当在脚手架使用过程中开挖脚手架基础下的设备基础或管沟时，必须对脚手架采取加固措施；</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11</w:t>
      </w:r>
      <w:r>
        <w:rPr>
          <w:color w:val="000000"/>
          <w:kern w:val="0"/>
          <w:sz w:val="24"/>
        </w:rPr>
        <w:t>、</w:t>
      </w:r>
      <w:r>
        <w:rPr>
          <w:rFonts w:ascii="宋体" w:cs="宋体" w:hint="eastAsia"/>
          <w:kern w:val="0"/>
          <w:sz w:val="24"/>
        </w:rPr>
        <w:t>临街搭设脚手架时，外侧应有防止坠物伤人的防护措施；</w:t>
      </w:r>
    </w:p>
    <w:p w:rsidR="005F7985">
      <w:pPr>
        <w:pStyle w:val="Normal0"/>
        <w:autoSpaceDE w:val="0"/>
        <w:autoSpaceDN w:val="0"/>
        <w:adjustRightInd w:val="0"/>
        <w:spacing w:line="360" w:lineRule="auto"/>
        <w:ind w:firstLine="480" w:firstLineChars="200"/>
        <w:jc w:val="left"/>
        <w:rPr>
          <w:rFonts w:ascii="宋体" w:cs="宋体"/>
          <w:kern w:val="0"/>
          <w:sz w:val="24"/>
        </w:rPr>
        <w:sectPr>
          <w:type w:val="nextPage"/>
          <w:pgSz w:w="11906" w:h="16838"/>
          <w:pgMar w:top="1287" w:right="1152" w:bottom="1271" w:left="1094" w:header="851" w:footer="312" w:gutter="0"/>
          <w:pgNumType w:fmt="numberInDash" w:start="19"/>
          <w:cols w:space="708"/>
          <w:titlePg w:val="0"/>
          <w:docGrid w:type="lines" w:linePitch="312"/>
        </w:sectPr>
      </w:pPr>
      <w:r>
        <w:rPr>
          <w:color w:val="000000"/>
          <w:kern w:val="0"/>
          <w:sz w:val="24"/>
        </w:rPr>
        <w:t>12</w:t>
      </w:r>
      <w:r>
        <w:rPr>
          <w:color w:val="000000"/>
          <w:kern w:val="0"/>
          <w:sz w:val="24"/>
        </w:rPr>
        <w:t>、</w:t>
      </w:r>
      <w:r>
        <w:rPr>
          <w:rFonts w:ascii="宋体" w:cs="宋体" w:hint="eastAsia"/>
          <w:kern w:val="0"/>
          <w:sz w:val="24"/>
        </w:rPr>
        <w:t>在脚手架上进行电、气焊作业时，必须有防火措施和专人看守；</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13</w:t>
      </w:r>
      <w:r>
        <w:rPr>
          <w:color w:val="000000"/>
          <w:kern w:val="0"/>
          <w:sz w:val="24"/>
        </w:rPr>
        <w:t>、</w:t>
      </w:r>
      <w:r>
        <w:rPr>
          <w:rFonts w:ascii="宋体" w:cs="宋体" w:hint="eastAsia"/>
          <w:kern w:val="0"/>
          <w:sz w:val="24"/>
        </w:rPr>
        <w:t>工地临时用电线路的架设及脚手架接地、避雷措施等。应按现行行业标准《施工现场临时用电安全技术规范》</w:t>
      </w:r>
      <w:r>
        <w:rPr>
          <w:rFonts w:ascii="宋体" w:cs="宋体"/>
          <w:kern w:val="0"/>
          <w:sz w:val="24"/>
        </w:rPr>
        <w:t>JGJ46-2005</w:t>
      </w:r>
      <w:r>
        <w:rPr>
          <w:rFonts w:ascii="宋体" w:cs="宋体" w:hint="eastAsia"/>
          <w:kern w:val="0"/>
          <w:sz w:val="24"/>
        </w:rPr>
        <w:t>的有关规定执行；</w:t>
      </w:r>
    </w:p>
    <w:p w:rsidR="005F7985">
      <w:pPr>
        <w:pStyle w:val="Normal0"/>
        <w:autoSpaceDE w:val="0"/>
        <w:autoSpaceDN w:val="0"/>
        <w:adjustRightInd w:val="0"/>
        <w:spacing w:line="360" w:lineRule="auto"/>
        <w:ind w:firstLine="480" w:firstLineChars="200"/>
        <w:jc w:val="left"/>
        <w:rPr>
          <w:color w:val="000000"/>
          <w:kern w:val="0"/>
          <w:sz w:val="24"/>
        </w:rPr>
      </w:pPr>
      <w:r>
        <w:rPr>
          <w:color w:val="000000"/>
          <w:kern w:val="0"/>
          <w:sz w:val="24"/>
        </w:rPr>
        <w:t>14</w:t>
      </w:r>
      <w:r>
        <w:rPr>
          <w:color w:val="000000"/>
          <w:kern w:val="0"/>
          <w:sz w:val="24"/>
        </w:rPr>
        <w:t>、</w:t>
      </w:r>
      <w:r>
        <w:rPr>
          <w:rFonts w:ascii="宋体" w:cs="宋体" w:hint="eastAsia"/>
          <w:kern w:val="0"/>
          <w:sz w:val="24"/>
        </w:rPr>
        <w:t>搭拆脚手架时，地面应设围栏和警戒标志，并派专人看守，严禁非操作人员入内。</w:t>
      </w:r>
    </w:p>
    <w:p w:rsidR="005F7985">
      <w:pPr>
        <w:pStyle w:val="Normal0"/>
        <w:autoSpaceDE w:val="0"/>
        <w:autoSpaceDN w:val="0"/>
        <w:adjustRightInd w:val="0"/>
        <w:spacing w:line="360" w:lineRule="auto"/>
        <w:ind w:firstLine="480" w:firstLineChars="200"/>
        <w:jc w:val="left"/>
        <w:rPr>
          <w:color w:val="000000"/>
          <w:kern w:val="0"/>
          <w:sz w:val="24"/>
        </w:rPr>
      </w:pPr>
      <w:r>
        <w:rPr>
          <w:color w:val="000000"/>
          <w:kern w:val="0"/>
          <w:sz w:val="24"/>
        </w:rPr>
        <w:t>日常维护管理要求</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1</w:t>
      </w:r>
      <w:r>
        <w:rPr>
          <w:color w:val="000000"/>
          <w:kern w:val="0"/>
          <w:sz w:val="24"/>
        </w:rPr>
        <w:t>、</w:t>
      </w:r>
      <w:r>
        <w:rPr>
          <w:rFonts w:ascii="宋体" w:cs="宋体" w:hint="eastAsia"/>
          <w:kern w:val="0"/>
          <w:sz w:val="24"/>
        </w:rPr>
        <w:t>使用完毕的脚手架架料和构件、零件要及时回收、分类整理，分类存放。堆放地点要场地平坦，排水良好，下设支垫，钢管、角钢、钢桁架和其他钢构件最好放在室内，如果放在露天，应用毡、席加盖、扣件、螺栓及其他小零件，应用木箱。钢筋笼或麻袋、草包等容器分类贮存，放在室内；</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2</w:t>
      </w:r>
      <w:r>
        <w:rPr>
          <w:color w:val="000000"/>
          <w:kern w:val="0"/>
          <w:sz w:val="24"/>
        </w:rPr>
        <w:t>、</w:t>
      </w:r>
      <w:r>
        <w:rPr>
          <w:rFonts w:ascii="宋体" w:cs="宋体" w:hint="eastAsia"/>
          <w:kern w:val="0"/>
          <w:sz w:val="24"/>
        </w:rPr>
        <w:t>弯曲的钢管杆件要调直，损坏的构件要修复，损坏的扣件、零件要更换；</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3</w:t>
      </w:r>
      <w:r>
        <w:rPr>
          <w:color w:val="000000"/>
          <w:kern w:val="0"/>
          <w:sz w:val="24"/>
        </w:rPr>
        <w:t>、</w:t>
      </w:r>
      <w:r>
        <w:rPr>
          <w:rFonts w:ascii="宋体" w:cs="宋体" w:hint="eastAsia"/>
          <w:kern w:val="0"/>
          <w:sz w:val="24"/>
        </w:rPr>
        <w:t>做好钢铁件的防锈和木制件的防腐处理，钢管外壁在湿度较大地区（相对湿度大于</w:t>
      </w:r>
      <w:r>
        <w:rPr>
          <w:kern w:val="0"/>
          <w:sz w:val="24"/>
        </w:rPr>
        <w:t>75%</w:t>
      </w:r>
      <w:r>
        <w:rPr>
          <w:rFonts w:ascii="宋体" w:cs="宋体" w:hint="eastAsia"/>
          <w:kern w:val="0"/>
          <w:sz w:val="24"/>
        </w:rPr>
        <w:t>），应每年涂刷防锈漆一次；其他地区可两年涂刷一次。涂刷时涂层不宜过厚。经彻底除锈后，涂一度红丹即可。钢</w:t>
      </w:r>
      <w:r>
        <w:rPr>
          <w:rFonts w:ascii="宋体" w:cs="宋体" w:hint="eastAsia"/>
          <w:kern w:val="0"/>
          <w:sz w:val="24"/>
        </w:rPr>
        <w:t>管内壁可根据地区情况，每</w:t>
      </w:r>
      <w:r>
        <w:rPr>
          <w:kern w:val="0"/>
          <w:sz w:val="24"/>
        </w:rPr>
        <w:t>2~4</w:t>
      </w:r>
      <w:r>
        <w:rPr>
          <w:rFonts w:ascii="宋体" w:cs="宋体" w:hint="eastAsia"/>
          <w:kern w:val="0"/>
          <w:sz w:val="24"/>
        </w:rPr>
        <w:t>年涂刷一次，每次涂刷两遍。角钢、桁架和其他铁件可每年涂刷一次。扣件要涂油，螺栓宜镀锌防锈，使用</w:t>
      </w:r>
      <w:r>
        <w:rPr>
          <w:kern w:val="0"/>
          <w:sz w:val="24"/>
        </w:rPr>
        <w:t>3~5</w:t>
      </w:r>
      <w:r>
        <w:rPr>
          <w:rFonts w:ascii="宋体" w:cs="宋体" w:hint="eastAsia"/>
          <w:kern w:val="0"/>
          <w:sz w:val="24"/>
        </w:rPr>
        <w:t>年保护层剥落后再次镀锌。没有镀锌条件的，应在每次使用后用煤油洗涤并涂机油防锈。木制件应做好防腐处理，钢制件应涂红丹及防锈涂料；</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4</w:t>
      </w:r>
      <w:r>
        <w:rPr>
          <w:color w:val="000000"/>
          <w:kern w:val="0"/>
          <w:sz w:val="24"/>
        </w:rPr>
        <w:t>、</w:t>
      </w:r>
      <w:r>
        <w:rPr>
          <w:rFonts w:ascii="宋体" w:cs="宋体" w:hint="eastAsia"/>
          <w:kern w:val="0"/>
          <w:sz w:val="24"/>
        </w:rPr>
        <w:t>搬运长钢管、长角钢时，应采取措施防止弯曲。拆架应拆成单片装运，装卸时不得抛丢，防止损坏；</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5</w:t>
      </w:r>
      <w:r>
        <w:rPr>
          <w:color w:val="000000"/>
          <w:kern w:val="0"/>
          <w:sz w:val="24"/>
        </w:rPr>
        <w:t>、</w:t>
      </w:r>
      <w:r>
        <w:rPr>
          <w:rFonts w:ascii="宋体" w:cs="宋体" w:hint="eastAsia"/>
          <w:kern w:val="0"/>
          <w:sz w:val="24"/>
        </w:rPr>
        <w:t>脚手架使用的扣件、螺栓、螺母、垫板等小配件极易丢失。在安装脚手架时，多余的小配件应及时收回存放，在拆卸脚手架时，散落在地面上的小配件要及时收捡起来；</w:t>
      </w:r>
    </w:p>
    <w:p w:rsidR="005F7985">
      <w:pPr>
        <w:pStyle w:val="Normal0"/>
        <w:autoSpaceDE w:val="0"/>
        <w:autoSpaceDN w:val="0"/>
        <w:adjustRightInd w:val="0"/>
        <w:spacing w:line="360" w:lineRule="auto"/>
        <w:ind w:firstLine="480" w:firstLineChars="200"/>
        <w:jc w:val="left"/>
        <w:rPr>
          <w:rFonts w:ascii="宋体" w:cs="宋体"/>
          <w:kern w:val="0"/>
          <w:sz w:val="24"/>
        </w:rPr>
      </w:pPr>
      <w:r>
        <w:rPr>
          <w:color w:val="000000"/>
          <w:kern w:val="0"/>
          <w:sz w:val="24"/>
        </w:rPr>
        <w:t>6</w:t>
      </w:r>
      <w:r>
        <w:rPr>
          <w:color w:val="000000"/>
          <w:kern w:val="0"/>
          <w:sz w:val="24"/>
        </w:rPr>
        <w:t>、</w:t>
      </w:r>
      <w:r>
        <w:rPr>
          <w:rFonts w:ascii="宋体" w:cs="宋体" w:hint="eastAsia"/>
          <w:kern w:val="0"/>
          <w:sz w:val="24"/>
        </w:rPr>
        <w:t>健</w:t>
      </w:r>
      <w:r>
        <w:rPr>
          <w:rFonts w:ascii="宋体" w:cs="宋体" w:hint="eastAsia"/>
          <w:kern w:val="0"/>
          <w:sz w:val="24"/>
        </w:rPr>
        <w:t>全制度，加强管理，减少损耗和提高效益是脚手架管理的中心环节。比较普遍采用的管理办法有两种</w:t>
      </w:r>
    </w:p>
    <w:p w:rsidR="005F7985">
      <w:pPr>
        <w:pStyle w:val="Normal0"/>
        <w:numPr>
          <w:ilvl w:val="1"/>
          <w:numId w:val="12"/>
        </w:numPr>
        <w:tabs>
          <w:tab w:val="left" w:pos="360"/>
        </w:tabs>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由架子工班（组）管理，采用谁使用、谁维护、谁管理的原则，并建立积极地奖罚制度、做到确保施工需要，用毕及时归库、及时清理和及时维修保养，减少丢失和损耗；</w:t>
      </w:r>
    </w:p>
    <w:p w:rsidR="005F7985">
      <w:pPr>
        <w:pStyle w:val="Normal0"/>
        <w:numPr>
          <w:ilvl w:val="1"/>
          <w:numId w:val="12"/>
        </w:numPr>
        <w:tabs>
          <w:tab w:val="left" w:pos="360"/>
        </w:tabs>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由材料部门集中管理，实行租赁制。施工队根据施工的需要向公司材料部门租赁脚手架材料，实行按天计费和损坏赔偿制度。</w:t>
      </w:r>
    </w:p>
    <w:p w:rsidR="005F7985">
      <w:pPr>
        <w:pStyle w:val="Heading2"/>
        <w:ind w:left="0"/>
      </w:pPr>
      <w:bookmarkStart w:id="103" w:name="_Toc18507"/>
      <w:bookmarkStart w:id="104" w:name="_Toc12454"/>
      <w:bookmarkStart w:id="105" w:name="_Toc15941"/>
      <w:bookmarkStart w:id="106" w:name="_Toc24163"/>
      <w:r>
        <w:rPr>
          <w:rFonts w:hint="eastAsia"/>
        </w:rPr>
        <w:t>现场管理</w:t>
      </w:r>
      <w:bookmarkEnd w:id="103"/>
      <w:bookmarkEnd w:id="104"/>
      <w:bookmarkEnd w:id="105"/>
      <w:bookmarkEnd w:id="106"/>
    </w:p>
    <w:p w:rsidR="005F7985">
      <w:pPr>
        <w:pStyle w:val="Heading3"/>
      </w:pPr>
      <w:bookmarkStart w:id="107" w:name="_Toc454430415"/>
      <w:bookmarkStart w:id="108" w:name="_Toc16044"/>
      <w:bookmarkStart w:id="109" w:name="_Toc850"/>
      <w:bookmarkStart w:id="110" w:name="_Toc13965"/>
      <w:bookmarkStart w:id="111" w:name="_Toc16275"/>
      <w:r>
        <w:rPr>
          <w:rFonts w:hint="eastAsia"/>
        </w:rPr>
        <w:t>安全生产管理人员</w:t>
      </w:r>
      <w:bookmarkEnd w:id="107"/>
      <w:bookmarkEnd w:id="108"/>
      <w:bookmarkEnd w:id="109"/>
      <w:bookmarkEnd w:id="110"/>
      <w:bookmarkEnd w:id="111"/>
    </w:p>
    <w:p w:rsidR="005F7985">
      <w:pPr>
        <w:pStyle w:val="Normal0"/>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搭设过程中，因处在施工高峰期，各施工班组在交叉作业中，故应加强安全监控力度，现场设定若干名安全监控员。水平和垂直材料运输必须设置临</w:t>
      </w:r>
      <w:r>
        <w:rPr>
          <w:rFonts w:ascii="宋体" w:cs="宋体" w:hint="eastAsia"/>
          <w:kern w:val="0"/>
          <w:sz w:val="24"/>
        </w:rPr>
        <w:t>时警戒区域，用红白三角小旗围栏。谨防非施工人员进入。同时成立以项目经理为组长的安全领导小组以加强现场安全防</w:t>
      </w:r>
      <w:r>
        <w:rPr>
          <w:rFonts w:ascii="宋体" w:cs="宋体"/>
          <w:kern w:val="0"/>
          <w:sz w:val="24"/>
        </w:rPr>
        <w:br/>
      </w:r>
      <w:r>
        <w:rPr>
          <w:rFonts w:ascii="宋体" w:cs="宋体"/>
          <w:kern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https://d.book118.com/596224003145010055</w:t>
        </w:r>
      </w:hyperlink>
    </w:p>
    <w:p w:rsidR="005F7985">
      <w:pPr>
        <w:pStyle w:val="Normal0"/>
        <w:autoSpaceDE w:val="0"/>
        <w:autoSpaceDN w:val="0"/>
        <w:adjustRightInd w:val="0"/>
        <w:spacing w:line="360" w:lineRule="auto"/>
        <w:ind w:firstLine="480" w:firstLineChars="200"/>
        <w:rPr>
          <w:rFonts w:ascii="宋体" w:cs="宋体"/>
          <w:kern w:val="0"/>
          <w:sz w:val="24"/>
        </w:rPr>
      </w:pPr>
    </w:p>
    <w:sectPr>
      <w:type w:val="nextPage"/>
      <w:pgSz w:w="11906" w:h="16838"/>
      <w:pgMar w:top="1287" w:right="1152" w:bottom="1271" w:left="1094" w:header="851" w:footer="312" w:gutter="0"/>
      <w:pgNumType w:fmt="numberInDash" w:start="20"/>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B"/>
    <w:multiLevelType w:val="multilevel"/>
    <w:tmpl w:val="0000000B"/>
    <w:lvl w:ilvl="0">
      <w:start w:val="1"/>
      <w:numFmt w:val="chineseCountingThousand"/>
      <w:suff w:val="space"/>
      <w:lvlText w:val="第%1章 "/>
      <w:lvlJc w:val="center"/>
      <w:pPr>
        <w:ind w:left="3344" w:firstLine="0"/>
      </w:pPr>
      <w:rPr>
        <w:rFonts w:hint="eastAsia"/>
        <w:sz w:val="30"/>
        <w:szCs w:val="30"/>
      </w:rPr>
    </w:lvl>
    <w:lvl w:ilvl="1">
      <w:start w:val="1"/>
      <w:numFmt w:val="chineseCountingThousand"/>
      <w:pStyle w:val="Heading2"/>
      <w:suff w:val="space"/>
      <w:lvlText w:val="第%2节"/>
      <w:lvlJc w:val="left"/>
      <w:pPr>
        <w:ind w:left="3544" w:firstLine="0"/>
      </w:pPr>
      <w:rPr>
        <w:rFonts w:hint="eastAsia"/>
      </w:rPr>
    </w:lvl>
    <w:lvl w:ilvl="2">
      <w:start w:val="1"/>
      <w:numFmt w:val="decimal"/>
      <w:pStyle w:val="Heading3"/>
      <w:isLgl/>
      <w:suff w:val="space"/>
      <w:lvlText w:val="%3."/>
      <w:lvlJc w:val="left"/>
      <w:pPr>
        <w:ind w:left="115" w:firstLine="0"/>
      </w:pPr>
      <w:rPr>
        <w:rFonts w:hint="eastAsia"/>
      </w:rPr>
    </w:lvl>
    <w:lvl w:ilvl="3">
      <w:start w:val="1"/>
      <w:numFmt w:val="decimal"/>
      <w:pStyle w:val="Heading4"/>
      <w:suff w:val="space"/>
      <w:lvlText w:val="%3.%4."/>
      <w:lvlJc w:val="left"/>
      <w:pPr>
        <w:ind w:left="284" w:firstLine="0"/>
      </w:pPr>
      <w:rPr>
        <w:rFonts w:cs="Times New Roman" w:hint="eastAsia"/>
        <w:b w:val="0"/>
        <w:i w:val="0"/>
        <w:iCs w:val="0"/>
        <w:caps w:val="0"/>
        <w:smallCaps w:val="0"/>
        <w:strike w:val="0"/>
        <w:dstrike w:val="0"/>
        <w:outline w:val="0"/>
        <w:shadow w:val="0"/>
        <w:emboss w:val="0"/>
        <w:imprint w:val="0"/>
        <w:vanish w:val="0"/>
        <w:spacing w:val="0"/>
        <w:position w:val="0"/>
        <w:u w:val="none"/>
        <w:vertAlign w:val="baseline"/>
      </w:rPr>
    </w:lvl>
    <w:lvl w:ilvl="4">
      <w:start w:val="1"/>
      <w:numFmt w:val="decimal"/>
      <w:suff w:val="nothing"/>
      <w:lvlText w:val="%3.%4.%5. "/>
      <w:lvlJc w:val="left"/>
      <w:pPr>
        <w:ind w:left="-256" w:firstLine="567"/>
      </w:pPr>
      <w:rPr>
        <w:rFonts w:hint="eastAsia"/>
      </w:rPr>
    </w:lvl>
    <w:lvl w:ilvl="5">
      <w:start w:val="1"/>
      <w:numFmt w:val="decimal"/>
      <w:suff w:val="nothing"/>
      <w:lvlText w:val="%3.%4.%5.%6."/>
      <w:lvlJc w:val="left"/>
      <w:pPr>
        <w:ind w:left="311" w:firstLine="284"/>
      </w:pPr>
      <w:rPr>
        <w:rFonts w:ascii="宋体" w:eastAsia="宋体" w:hAnsi="宋体" w:hint="eastAsia"/>
      </w:rPr>
    </w:lvl>
    <w:lvl w:ilvl="6">
      <w:start w:val="1"/>
      <w:numFmt w:val="decimal"/>
      <w:suff w:val="nothing"/>
      <w:lvlText w:val="%7）"/>
      <w:lvlJc w:val="left"/>
      <w:pPr>
        <w:ind w:left="-118" w:firstLine="0"/>
      </w:pPr>
      <w:rPr>
        <w:rFonts w:hint="eastAsia"/>
      </w:rPr>
    </w:lvl>
    <w:lvl w:ilvl="7">
      <w:start w:val="1"/>
      <w:numFmt w:val="none"/>
      <w:suff w:val="nothing"/>
      <w:lvlJc w:val="left"/>
      <w:pPr>
        <w:ind w:left="-118" w:firstLine="0"/>
      </w:pPr>
      <w:rPr>
        <w:rFonts w:hint="eastAsia"/>
      </w:rPr>
    </w:lvl>
    <w:lvl w:ilvl="8">
      <w:start w:val="1"/>
      <w:numFmt w:val="none"/>
      <w:suff w:val="nothing"/>
      <w:lvlJc w:val="left"/>
      <w:pPr>
        <w:ind w:left="-118" w:firstLine="0"/>
      </w:pPr>
      <w:rPr>
        <w:rFonts w:hint="eastAsia"/>
      </w:rPr>
    </w:lvl>
  </w:abstractNum>
  <w:abstractNum w:abstractNumId="1">
    <w:nsid w:val="05E2C58D"/>
    <w:multiLevelType w:val="singleLevel"/>
    <w:tmpl w:val="591FA264"/>
    <w:lvl w:ilvl="0">
      <w:start w:val="1"/>
      <w:numFmt w:val="decimal"/>
      <w:suff w:val="nothing"/>
      <w:lvlText w:val="（%1）"/>
      <w:lvlJc w:val="left"/>
    </w:lvl>
  </w:abstractNum>
  <w:abstractNum w:abstractNumId="2">
    <w:nsid w:val="0F22E9CA"/>
    <w:multiLevelType w:val="multilevel"/>
    <w:tmpl w:val="46921756"/>
    <w:lvl w:ilvl="0">
      <w:start w:val="1"/>
      <w:numFmt w:val="decimal"/>
      <w:lvlText w:val="(%1)"/>
      <w:lvlJc w:val="left"/>
      <w:pPr>
        <w:tabs>
          <w:tab w:val="num" w:pos="360"/>
        </w:tabs>
      </w:pPr>
      <w:rPr>
        <w:rFonts w:ascii="Times New Roman" w:hAnsi="Times New Roman" w:cs="Times New Roman"/>
        <w:sz w:val="24"/>
        <w:szCs w:val="24"/>
      </w:rPr>
    </w:lvl>
    <w:lvl w:ilvl="1">
      <w:start w:val="1"/>
      <w:numFmt w:val="lowerLetter"/>
      <w:lvlText w:val="%2)"/>
      <w:lvlJc w:val="left"/>
      <w:pPr>
        <w:tabs>
          <w:tab w:val="num" w:pos="840"/>
        </w:tabs>
        <w:ind w:left="840" w:hanging="420"/>
      </w:pPr>
      <w:rPr>
        <w:rFonts w:ascii="Times New Roman" w:hAnsi="Times New Roman" w:cs="Times New Roman"/>
        <w:sz w:val="24"/>
        <w:szCs w:val="24"/>
      </w:rPr>
    </w:lvl>
    <w:lvl w:ilvl="2">
      <w:start w:val="1"/>
      <w:numFmt w:val="lowerRoman"/>
      <w:lvlText w:val="%3."/>
      <w:lvlJc w:val="right"/>
      <w:pPr>
        <w:tabs>
          <w:tab w:val="num" w:pos="1260"/>
        </w:tabs>
        <w:ind w:left="1260" w:hanging="420"/>
      </w:pPr>
      <w:rPr>
        <w:rFonts w:ascii="Times New Roman" w:hAnsi="Times New Roman" w:cs="Times New Roman"/>
        <w:sz w:val="24"/>
        <w:szCs w:val="24"/>
      </w:rPr>
    </w:lvl>
    <w:lvl w:ilvl="3">
      <w:start w:val="1"/>
      <w:numFmt w:val="decimal"/>
      <w:lvlText w:val="%4."/>
      <w:lvlJc w:val="left"/>
      <w:pPr>
        <w:tabs>
          <w:tab w:val="num" w:pos="1680"/>
        </w:tabs>
        <w:ind w:left="1680" w:hanging="420"/>
      </w:pPr>
      <w:rPr>
        <w:rFonts w:ascii="Times New Roman" w:hAnsi="Times New Roman" w:cs="Times New Roman"/>
        <w:sz w:val="24"/>
        <w:szCs w:val="24"/>
      </w:rPr>
    </w:lvl>
    <w:lvl w:ilvl="4">
      <w:start w:val="1"/>
      <w:numFmt w:val="lowerLetter"/>
      <w:lvlText w:val="%5)"/>
      <w:lvlJc w:val="left"/>
      <w:pPr>
        <w:tabs>
          <w:tab w:val="num" w:pos="2100"/>
        </w:tabs>
        <w:ind w:left="2100" w:hanging="420"/>
      </w:pPr>
      <w:rPr>
        <w:rFonts w:ascii="Times New Roman" w:hAnsi="Times New Roman" w:cs="Times New Roman"/>
        <w:sz w:val="24"/>
        <w:szCs w:val="24"/>
      </w:rPr>
    </w:lvl>
    <w:lvl w:ilvl="5">
      <w:start w:val="1"/>
      <w:numFmt w:val="lowerRoman"/>
      <w:lvlText w:val="%6."/>
      <w:lvlJc w:val="right"/>
      <w:pPr>
        <w:tabs>
          <w:tab w:val="num" w:pos="2520"/>
        </w:tabs>
        <w:ind w:left="2520" w:hanging="420"/>
      </w:pPr>
      <w:rPr>
        <w:rFonts w:ascii="Times New Roman" w:hAnsi="Times New Roman" w:cs="Times New Roman"/>
        <w:sz w:val="24"/>
        <w:szCs w:val="24"/>
      </w:rPr>
    </w:lvl>
    <w:lvl w:ilvl="6">
      <w:start w:val="1"/>
      <w:numFmt w:val="decimal"/>
      <w:lvlText w:val="%7."/>
      <w:lvlJc w:val="left"/>
      <w:pPr>
        <w:tabs>
          <w:tab w:val="num" w:pos="2940"/>
        </w:tabs>
        <w:ind w:left="2940" w:hanging="420"/>
      </w:pPr>
      <w:rPr>
        <w:rFonts w:ascii="Times New Roman" w:hAnsi="Times New Roman" w:cs="Times New Roman"/>
        <w:sz w:val="24"/>
        <w:szCs w:val="24"/>
      </w:rPr>
    </w:lvl>
    <w:lvl w:ilvl="7">
      <w:start w:val="1"/>
      <w:numFmt w:val="lowerLetter"/>
      <w:lvlText w:val="%8)"/>
      <w:lvlJc w:val="left"/>
      <w:pPr>
        <w:tabs>
          <w:tab w:val="num" w:pos="3360"/>
        </w:tabs>
        <w:ind w:left="3360" w:hanging="420"/>
      </w:pPr>
      <w:rPr>
        <w:rFonts w:ascii="Times New Roman" w:hAnsi="Times New Roman" w:cs="Times New Roman"/>
        <w:sz w:val="24"/>
        <w:szCs w:val="24"/>
      </w:rPr>
    </w:lvl>
    <w:lvl w:ilvl="8">
      <w:start w:val="1"/>
      <w:numFmt w:val="lowerRoman"/>
      <w:lvlText w:val="%9."/>
      <w:lvlJc w:val="right"/>
      <w:pPr>
        <w:tabs>
          <w:tab w:val="num" w:pos="3780"/>
        </w:tabs>
        <w:ind w:left="3780" w:hanging="420"/>
      </w:pPr>
      <w:rPr>
        <w:rFonts w:ascii="Times New Roman" w:hAnsi="Times New Roman" w:cs="Times New Roman"/>
        <w:sz w:val="24"/>
        <w:szCs w:val="24"/>
      </w:rPr>
    </w:lvl>
  </w:abstractNum>
  <w:abstractNum w:abstractNumId="3">
    <w:nsid w:val="19B47A33"/>
    <w:multiLevelType w:val="multilevel"/>
    <w:tmpl w:val="19B47A33"/>
    <w:lvl w:ilvl="0">
      <w:start w:val="1"/>
      <w:numFmt w:val="decimal"/>
      <w:lvlText w:val="(%1)"/>
      <w:lvlJc w:val="left"/>
      <w:pPr>
        <w:tabs>
          <w:tab w:val="num" w:pos="360"/>
        </w:tabs>
      </w:pPr>
      <w:rPr>
        <w:rFonts w:ascii="Times New Roman" w:hAnsi="Times New Roman" w:cs="Times New Roman"/>
        <w:sz w:val="24"/>
        <w:szCs w:val="24"/>
      </w:rPr>
    </w:lvl>
    <w:lvl w:ilvl="1">
      <w:start w:val="1"/>
      <w:numFmt w:val="decimal"/>
      <w:lvlText w:val="(%2)"/>
      <w:lvlJc w:val="left"/>
      <w:pPr>
        <w:tabs>
          <w:tab w:val="num" w:pos="360"/>
        </w:tabs>
      </w:pPr>
      <w:rPr>
        <w:rFonts w:ascii="Times New Roman" w:hAnsi="Times New Roman" w:cs="Times New Roman"/>
        <w:sz w:val="24"/>
        <w:szCs w:val="24"/>
      </w:rPr>
    </w:lvl>
    <w:lvl w:ilvl="2">
      <w:start w:val="1"/>
      <w:numFmt w:val="decimal"/>
      <w:lvlText w:val="%3_"/>
      <w:lvlJc w:val="left"/>
      <w:pPr>
        <w:tabs>
          <w:tab w:val="num" w:pos="1200"/>
        </w:tabs>
        <w:ind w:left="1200" w:hanging="360"/>
      </w:pPr>
      <w:rPr>
        <w:rFonts w:ascii="Times New Roman" w:hAnsi="Times New Roman" w:cs="Times New Roman"/>
        <w:sz w:val="24"/>
        <w:szCs w:val="24"/>
      </w:rPr>
    </w:lvl>
    <w:lvl w:ilvl="3">
      <w:start w:val="1"/>
      <w:numFmt w:val="decimal"/>
      <w:lvlText w:val="%4."/>
      <w:lvlJc w:val="left"/>
      <w:pPr>
        <w:tabs>
          <w:tab w:val="num" w:pos="1680"/>
        </w:tabs>
        <w:ind w:left="1680" w:hanging="420"/>
      </w:pPr>
      <w:rPr>
        <w:rFonts w:ascii="Times New Roman" w:hAnsi="Times New Roman" w:cs="Times New Roman"/>
        <w:sz w:val="24"/>
        <w:szCs w:val="24"/>
      </w:rPr>
    </w:lvl>
    <w:lvl w:ilvl="4">
      <w:start w:val="1"/>
      <w:numFmt w:val="lowerLetter"/>
      <w:lvlText w:val="%5)"/>
      <w:lvlJc w:val="left"/>
      <w:pPr>
        <w:tabs>
          <w:tab w:val="num" w:pos="2100"/>
        </w:tabs>
        <w:ind w:left="2100" w:hanging="420"/>
      </w:pPr>
      <w:rPr>
        <w:rFonts w:ascii="Times New Roman" w:hAnsi="Times New Roman" w:cs="Times New Roman"/>
        <w:sz w:val="24"/>
        <w:szCs w:val="24"/>
      </w:rPr>
    </w:lvl>
    <w:lvl w:ilvl="5">
      <w:start w:val="1"/>
      <w:numFmt w:val="lowerRoman"/>
      <w:lvlText w:val="%6."/>
      <w:lvlJc w:val="right"/>
      <w:pPr>
        <w:tabs>
          <w:tab w:val="num" w:pos="2520"/>
        </w:tabs>
        <w:ind w:left="2520" w:hanging="420"/>
      </w:pPr>
      <w:rPr>
        <w:rFonts w:ascii="Times New Roman" w:hAnsi="Times New Roman" w:cs="Times New Roman"/>
        <w:sz w:val="24"/>
        <w:szCs w:val="24"/>
      </w:rPr>
    </w:lvl>
    <w:lvl w:ilvl="6">
      <w:start w:val="1"/>
      <w:numFmt w:val="decimal"/>
      <w:lvlText w:val="%7."/>
      <w:lvlJc w:val="left"/>
      <w:pPr>
        <w:tabs>
          <w:tab w:val="num" w:pos="2940"/>
        </w:tabs>
        <w:ind w:left="2940" w:hanging="420"/>
      </w:pPr>
      <w:rPr>
        <w:rFonts w:ascii="Times New Roman" w:hAnsi="Times New Roman" w:cs="Times New Roman"/>
        <w:sz w:val="24"/>
        <w:szCs w:val="24"/>
      </w:rPr>
    </w:lvl>
    <w:lvl w:ilvl="7">
      <w:start w:val="1"/>
      <w:numFmt w:val="lowerLetter"/>
      <w:lvlText w:val="%8)"/>
      <w:lvlJc w:val="left"/>
      <w:pPr>
        <w:tabs>
          <w:tab w:val="num" w:pos="3360"/>
        </w:tabs>
        <w:ind w:left="3360" w:hanging="420"/>
      </w:pPr>
      <w:rPr>
        <w:rFonts w:ascii="Times New Roman" w:hAnsi="Times New Roman" w:cs="Times New Roman"/>
        <w:sz w:val="24"/>
        <w:szCs w:val="24"/>
      </w:rPr>
    </w:lvl>
    <w:lvl w:ilvl="8">
      <w:start w:val="1"/>
      <w:numFmt w:val="lowerRoman"/>
      <w:lvlText w:val="%9."/>
      <w:lvlJc w:val="right"/>
      <w:pPr>
        <w:tabs>
          <w:tab w:val="num" w:pos="3780"/>
        </w:tabs>
        <w:ind w:left="3780" w:hanging="420"/>
      </w:pPr>
      <w:rPr>
        <w:rFonts w:ascii="Times New Roman" w:hAnsi="Times New Roman" w:cs="Times New Roman"/>
        <w:sz w:val="24"/>
        <w:szCs w:val="24"/>
      </w:rPr>
    </w:lvl>
  </w:abstractNum>
  <w:abstractNum w:abstractNumId="4">
    <w:nsid w:val="3B808F79"/>
    <w:multiLevelType w:val="singleLevel"/>
    <w:tmpl w:val="591FA2B6"/>
    <w:lvl w:ilvl="0">
      <w:start w:val="1"/>
      <w:numFmt w:val="decimal"/>
      <w:suff w:val="nothing"/>
      <w:lvlText w:val="（%1）"/>
      <w:lvlJc w:val="left"/>
    </w:lvl>
  </w:abstractNum>
  <w:abstractNum w:abstractNumId="5">
    <w:nsid w:val="3C638E20"/>
    <w:multiLevelType w:val="multilevel"/>
    <w:tmpl w:val="3C638E20"/>
    <w:lvl w:ilvl="0">
      <w:start w:val="1"/>
      <w:numFmt w:val="decimal"/>
      <w:lvlText w:val="(%1)"/>
      <w:lvlJc w:val="left"/>
      <w:pPr>
        <w:tabs>
          <w:tab w:val="num" w:pos="360"/>
        </w:tabs>
      </w:pPr>
      <w:rPr>
        <w:rFonts w:ascii="Times New Roman" w:hAnsi="Times New Roman" w:cs="Times New Roman"/>
        <w:sz w:val="24"/>
        <w:szCs w:val="24"/>
      </w:rPr>
    </w:lvl>
    <w:lvl w:ilvl="1">
      <w:start w:val="1"/>
      <w:numFmt w:val="lowerLetter"/>
      <w:lvlText w:val="%2)"/>
      <w:lvlJc w:val="left"/>
      <w:pPr>
        <w:tabs>
          <w:tab w:val="num" w:pos="840"/>
        </w:tabs>
        <w:ind w:left="840" w:hanging="420"/>
      </w:pPr>
      <w:rPr>
        <w:rFonts w:ascii="Times New Roman" w:hAnsi="Times New Roman" w:cs="Times New Roman"/>
        <w:sz w:val="24"/>
        <w:szCs w:val="24"/>
      </w:rPr>
    </w:lvl>
    <w:lvl w:ilvl="2">
      <w:start w:val="1"/>
      <w:numFmt w:val="lowerRoman"/>
      <w:lvlText w:val="%3."/>
      <w:lvlJc w:val="right"/>
      <w:pPr>
        <w:tabs>
          <w:tab w:val="num" w:pos="1260"/>
        </w:tabs>
        <w:ind w:left="1260" w:hanging="420"/>
      </w:pPr>
      <w:rPr>
        <w:rFonts w:ascii="Times New Roman" w:hAnsi="Times New Roman" w:cs="Times New Roman"/>
        <w:sz w:val="24"/>
        <w:szCs w:val="24"/>
      </w:rPr>
    </w:lvl>
    <w:lvl w:ilvl="3">
      <w:start w:val="1"/>
      <w:numFmt w:val="decimal"/>
      <w:lvlText w:val="%4."/>
      <w:lvlJc w:val="left"/>
      <w:pPr>
        <w:tabs>
          <w:tab w:val="num" w:pos="1680"/>
        </w:tabs>
        <w:ind w:left="1680" w:hanging="420"/>
      </w:pPr>
      <w:rPr>
        <w:rFonts w:ascii="Times New Roman" w:hAnsi="Times New Roman" w:cs="Times New Roman"/>
        <w:sz w:val="24"/>
        <w:szCs w:val="24"/>
      </w:rPr>
    </w:lvl>
    <w:lvl w:ilvl="4">
      <w:start w:val="1"/>
      <w:numFmt w:val="lowerLetter"/>
      <w:lvlText w:val="%5)"/>
      <w:lvlJc w:val="left"/>
      <w:pPr>
        <w:tabs>
          <w:tab w:val="num" w:pos="2100"/>
        </w:tabs>
        <w:ind w:left="2100" w:hanging="420"/>
      </w:pPr>
      <w:rPr>
        <w:rFonts w:ascii="Times New Roman" w:hAnsi="Times New Roman" w:cs="Times New Roman"/>
        <w:sz w:val="24"/>
        <w:szCs w:val="24"/>
      </w:rPr>
    </w:lvl>
    <w:lvl w:ilvl="5">
      <w:start w:val="1"/>
      <w:numFmt w:val="lowerRoman"/>
      <w:lvlText w:val="%6."/>
      <w:lvlJc w:val="right"/>
      <w:pPr>
        <w:tabs>
          <w:tab w:val="num" w:pos="2520"/>
        </w:tabs>
        <w:ind w:left="2520" w:hanging="420"/>
      </w:pPr>
      <w:rPr>
        <w:rFonts w:ascii="Times New Roman" w:hAnsi="Times New Roman" w:cs="Times New Roman"/>
        <w:sz w:val="24"/>
        <w:szCs w:val="24"/>
      </w:rPr>
    </w:lvl>
    <w:lvl w:ilvl="6">
      <w:start w:val="1"/>
      <w:numFmt w:val="decimal"/>
      <w:lvlText w:val="%7."/>
      <w:lvlJc w:val="left"/>
      <w:pPr>
        <w:tabs>
          <w:tab w:val="num" w:pos="2940"/>
        </w:tabs>
        <w:ind w:left="2940" w:hanging="420"/>
      </w:pPr>
      <w:rPr>
        <w:rFonts w:ascii="Times New Roman" w:hAnsi="Times New Roman" w:cs="Times New Roman"/>
        <w:sz w:val="24"/>
        <w:szCs w:val="24"/>
      </w:rPr>
    </w:lvl>
    <w:lvl w:ilvl="7">
      <w:start w:val="1"/>
      <w:numFmt w:val="lowerLetter"/>
      <w:lvlText w:val="%8)"/>
      <w:lvlJc w:val="left"/>
      <w:pPr>
        <w:tabs>
          <w:tab w:val="num" w:pos="3360"/>
        </w:tabs>
        <w:ind w:left="3360" w:hanging="420"/>
      </w:pPr>
      <w:rPr>
        <w:rFonts w:ascii="Times New Roman" w:hAnsi="Times New Roman" w:cs="Times New Roman"/>
        <w:sz w:val="24"/>
        <w:szCs w:val="24"/>
      </w:rPr>
    </w:lvl>
    <w:lvl w:ilvl="8">
      <w:start w:val="1"/>
      <w:numFmt w:val="lowerRoman"/>
      <w:lvlText w:val="%9."/>
      <w:lvlJc w:val="right"/>
      <w:pPr>
        <w:tabs>
          <w:tab w:val="num" w:pos="3780"/>
        </w:tabs>
        <w:ind w:left="3780" w:hanging="420"/>
      </w:pPr>
      <w:rPr>
        <w:rFonts w:ascii="Times New Roman" w:hAnsi="Times New Roman" w:cs="Times New Roman"/>
        <w:sz w:val="24"/>
        <w:szCs w:val="24"/>
      </w:rPr>
    </w:lvl>
  </w:abstractNum>
  <w:abstractNum w:abstractNumId="6">
    <w:nsid w:val="46921756"/>
    <w:multiLevelType w:val="multilevel"/>
    <w:tmpl w:val="46921756"/>
    <w:lvl w:ilvl="0">
      <w:start w:val="1"/>
      <w:numFmt w:val="decimal"/>
      <w:lvlText w:val="(%1)"/>
      <w:lvlJc w:val="left"/>
      <w:pPr>
        <w:tabs>
          <w:tab w:val="num" w:pos="360"/>
        </w:tabs>
      </w:pPr>
      <w:rPr>
        <w:rFonts w:ascii="Times New Roman" w:hAnsi="Times New Roman" w:cs="Times New Roman"/>
        <w:sz w:val="24"/>
        <w:szCs w:val="24"/>
      </w:rPr>
    </w:lvl>
    <w:lvl w:ilvl="1">
      <w:start w:val="1"/>
      <w:numFmt w:val="lowerLetter"/>
      <w:lvlText w:val="%2)"/>
      <w:lvlJc w:val="left"/>
      <w:pPr>
        <w:tabs>
          <w:tab w:val="num" w:pos="840"/>
        </w:tabs>
        <w:ind w:left="840" w:hanging="420"/>
      </w:pPr>
      <w:rPr>
        <w:rFonts w:ascii="Times New Roman" w:hAnsi="Times New Roman" w:cs="Times New Roman"/>
        <w:sz w:val="24"/>
        <w:szCs w:val="24"/>
      </w:rPr>
    </w:lvl>
    <w:lvl w:ilvl="2">
      <w:start w:val="1"/>
      <w:numFmt w:val="lowerRoman"/>
      <w:lvlText w:val="%3."/>
      <w:lvlJc w:val="right"/>
      <w:pPr>
        <w:tabs>
          <w:tab w:val="num" w:pos="1260"/>
        </w:tabs>
        <w:ind w:left="1260" w:hanging="420"/>
      </w:pPr>
      <w:rPr>
        <w:rFonts w:ascii="Times New Roman" w:hAnsi="Times New Roman" w:cs="Times New Roman"/>
        <w:sz w:val="24"/>
        <w:szCs w:val="24"/>
      </w:rPr>
    </w:lvl>
    <w:lvl w:ilvl="3">
      <w:start w:val="1"/>
      <w:numFmt w:val="decimal"/>
      <w:lvlText w:val="%4."/>
      <w:lvlJc w:val="left"/>
      <w:pPr>
        <w:tabs>
          <w:tab w:val="num" w:pos="1680"/>
        </w:tabs>
        <w:ind w:left="1680" w:hanging="420"/>
      </w:pPr>
      <w:rPr>
        <w:rFonts w:ascii="Times New Roman" w:hAnsi="Times New Roman" w:cs="Times New Roman"/>
        <w:sz w:val="24"/>
        <w:szCs w:val="24"/>
      </w:rPr>
    </w:lvl>
    <w:lvl w:ilvl="4">
      <w:start w:val="1"/>
      <w:numFmt w:val="lowerLetter"/>
      <w:lvlText w:val="%5)"/>
      <w:lvlJc w:val="left"/>
      <w:pPr>
        <w:tabs>
          <w:tab w:val="num" w:pos="2100"/>
        </w:tabs>
        <w:ind w:left="2100" w:hanging="420"/>
      </w:pPr>
      <w:rPr>
        <w:rFonts w:ascii="Times New Roman" w:hAnsi="Times New Roman" w:cs="Times New Roman"/>
        <w:sz w:val="24"/>
        <w:szCs w:val="24"/>
      </w:rPr>
    </w:lvl>
    <w:lvl w:ilvl="5">
      <w:start w:val="1"/>
      <w:numFmt w:val="lowerRoman"/>
      <w:lvlText w:val="%6."/>
      <w:lvlJc w:val="right"/>
      <w:pPr>
        <w:tabs>
          <w:tab w:val="num" w:pos="2520"/>
        </w:tabs>
        <w:ind w:left="2520" w:hanging="420"/>
      </w:pPr>
      <w:rPr>
        <w:rFonts w:ascii="Times New Roman" w:hAnsi="Times New Roman" w:cs="Times New Roman"/>
        <w:sz w:val="24"/>
        <w:szCs w:val="24"/>
      </w:rPr>
    </w:lvl>
    <w:lvl w:ilvl="6">
      <w:start w:val="1"/>
      <w:numFmt w:val="decimal"/>
      <w:lvlText w:val="%7."/>
      <w:lvlJc w:val="left"/>
      <w:pPr>
        <w:tabs>
          <w:tab w:val="num" w:pos="2940"/>
        </w:tabs>
        <w:ind w:left="2940" w:hanging="420"/>
      </w:pPr>
      <w:rPr>
        <w:rFonts w:ascii="Times New Roman" w:hAnsi="Times New Roman" w:cs="Times New Roman"/>
        <w:sz w:val="24"/>
        <w:szCs w:val="24"/>
      </w:rPr>
    </w:lvl>
    <w:lvl w:ilvl="7">
      <w:start w:val="1"/>
      <w:numFmt w:val="lowerLetter"/>
      <w:lvlText w:val="%8)"/>
      <w:lvlJc w:val="left"/>
      <w:pPr>
        <w:tabs>
          <w:tab w:val="num" w:pos="3360"/>
        </w:tabs>
        <w:ind w:left="3360" w:hanging="420"/>
      </w:pPr>
      <w:rPr>
        <w:rFonts w:ascii="Times New Roman" w:hAnsi="Times New Roman" w:cs="Times New Roman"/>
        <w:sz w:val="24"/>
        <w:szCs w:val="24"/>
      </w:rPr>
    </w:lvl>
    <w:lvl w:ilvl="8">
      <w:start w:val="1"/>
      <w:numFmt w:val="lowerRoman"/>
      <w:lvlText w:val="%9."/>
      <w:lvlJc w:val="right"/>
      <w:pPr>
        <w:tabs>
          <w:tab w:val="num" w:pos="3780"/>
        </w:tabs>
        <w:ind w:left="3780" w:hanging="420"/>
      </w:pPr>
      <w:rPr>
        <w:rFonts w:ascii="Times New Roman" w:hAnsi="Times New Roman" w:cs="Times New Roman"/>
        <w:sz w:val="24"/>
        <w:szCs w:val="24"/>
      </w:rPr>
    </w:lvl>
  </w:abstractNum>
  <w:abstractNum w:abstractNumId="7">
    <w:nsid w:val="4C97FADE"/>
    <w:multiLevelType w:val="multilevel"/>
    <w:tmpl w:val="4C97FADE"/>
    <w:lvl w:ilvl="0">
      <w:start w:val="1"/>
      <w:numFmt w:val="decimal"/>
      <w:lvlText w:val="%1_"/>
      <w:lvlJc w:val="left"/>
      <w:pPr>
        <w:tabs>
          <w:tab w:val="num" w:pos="360"/>
        </w:tabs>
      </w:pPr>
      <w:rPr>
        <w:rFonts w:ascii="Times New Roman" w:hAnsi="Times New Roman" w:cs="Times New Roman"/>
        <w:sz w:val="24"/>
        <w:szCs w:val="24"/>
      </w:rPr>
    </w:lvl>
    <w:lvl w:ilvl="1">
      <w:start w:val="1"/>
      <w:numFmt w:val="decimal"/>
      <w:lvlText w:val="(%2)"/>
      <w:lvlJc w:val="left"/>
      <w:pPr>
        <w:tabs>
          <w:tab w:val="num" w:pos="360"/>
        </w:tabs>
      </w:pPr>
      <w:rPr>
        <w:rFonts w:ascii="Times New Roman" w:hAnsi="Times New Roman" w:cs="Times New Roman"/>
        <w:sz w:val="24"/>
        <w:szCs w:val="24"/>
      </w:rPr>
    </w:lvl>
    <w:lvl w:ilvl="2">
      <w:start w:val="1"/>
      <w:numFmt w:val="decimal"/>
      <w:lvlText w:val="%3_"/>
      <w:lvlJc w:val="left"/>
      <w:pPr>
        <w:tabs>
          <w:tab w:val="num" w:pos="1200"/>
        </w:tabs>
        <w:ind w:left="1200" w:hanging="360"/>
      </w:pPr>
      <w:rPr>
        <w:rFonts w:ascii="Times New Roman" w:hAnsi="Times New Roman" w:cs="Times New Roman"/>
        <w:sz w:val="24"/>
        <w:szCs w:val="24"/>
      </w:rPr>
    </w:lvl>
    <w:lvl w:ilvl="3">
      <w:start w:val="1"/>
      <w:numFmt w:val="decimal"/>
      <w:lvlText w:val="%4."/>
      <w:lvlJc w:val="left"/>
      <w:pPr>
        <w:tabs>
          <w:tab w:val="num" w:pos="1680"/>
        </w:tabs>
        <w:ind w:left="1680" w:hanging="420"/>
      </w:pPr>
      <w:rPr>
        <w:rFonts w:ascii="Times New Roman" w:hAnsi="Times New Roman" w:cs="Times New Roman"/>
        <w:sz w:val="24"/>
        <w:szCs w:val="24"/>
      </w:rPr>
    </w:lvl>
    <w:lvl w:ilvl="4">
      <w:start w:val="1"/>
      <w:numFmt w:val="lowerLetter"/>
      <w:lvlText w:val="%5)"/>
      <w:lvlJc w:val="left"/>
      <w:pPr>
        <w:tabs>
          <w:tab w:val="num" w:pos="2100"/>
        </w:tabs>
        <w:ind w:left="2100" w:hanging="420"/>
      </w:pPr>
      <w:rPr>
        <w:rFonts w:ascii="Times New Roman" w:hAnsi="Times New Roman" w:cs="Times New Roman"/>
        <w:sz w:val="24"/>
        <w:szCs w:val="24"/>
      </w:rPr>
    </w:lvl>
    <w:lvl w:ilvl="5">
      <w:start w:val="1"/>
      <w:numFmt w:val="lowerRoman"/>
      <w:lvlText w:val="%6."/>
      <w:lvlJc w:val="right"/>
      <w:pPr>
        <w:tabs>
          <w:tab w:val="num" w:pos="2520"/>
        </w:tabs>
        <w:ind w:left="2520" w:hanging="420"/>
      </w:pPr>
      <w:rPr>
        <w:rFonts w:ascii="Times New Roman" w:hAnsi="Times New Roman" w:cs="Times New Roman"/>
        <w:sz w:val="24"/>
        <w:szCs w:val="24"/>
      </w:rPr>
    </w:lvl>
    <w:lvl w:ilvl="6">
      <w:start w:val="1"/>
      <w:numFmt w:val="decimal"/>
      <w:lvlText w:val="%7."/>
      <w:lvlJc w:val="left"/>
      <w:pPr>
        <w:tabs>
          <w:tab w:val="num" w:pos="2940"/>
        </w:tabs>
        <w:ind w:left="2940" w:hanging="420"/>
      </w:pPr>
      <w:rPr>
        <w:rFonts w:ascii="Times New Roman" w:hAnsi="Times New Roman" w:cs="Times New Roman"/>
        <w:sz w:val="24"/>
        <w:szCs w:val="24"/>
      </w:rPr>
    </w:lvl>
    <w:lvl w:ilvl="7">
      <w:start w:val="1"/>
      <w:numFmt w:val="lowerLetter"/>
      <w:lvlText w:val="%8)"/>
      <w:lvlJc w:val="left"/>
      <w:pPr>
        <w:tabs>
          <w:tab w:val="num" w:pos="3360"/>
        </w:tabs>
        <w:ind w:left="3360" w:hanging="420"/>
      </w:pPr>
      <w:rPr>
        <w:rFonts w:ascii="Times New Roman" w:hAnsi="Times New Roman" w:cs="Times New Roman"/>
        <w:sz w:val="24"/>
        <w:szCs w:val="24"/>
      </w:rPr>
    </w:lvl>
    <w:lvl w:ilvl="8">
      <w:start w:val="1"/>
      <w:numFmt w:val="lowerRoman"/>
      <w:lvlText w:val="%9."/>
      <w:lvlJc w:val="right"/>
      <w:pPr>
        <w:tabs>
          <w:tab w:val="num" w:pos="3780"/>
        </w:tabs>
        <w:ind w:left="3780" w:hanging="420"/>
      </w:pPr>
      <w:rPr>
        <w:rFonts w:ascii="Times New Roman" w:hAnsi="Times New Roman" w:cs="Times New Roman"/>
        <w:sz w:val="24"/>
        <w:szCs w:val="24"/>
      </w:rPr>
    </w:lvl>
  </w:abstractNum>
  <w:abstractNum w:abstractNumId="8">
    <w:nsid w:val="4CE6D7B4"/>
    <w:multiLevelType w:val="multilevel"/>
    <w:tmpl w:val="4CE6D7B4"/>
    <w:lvl w:ilvl="0">
      <w:start w:val="1"/>
      <w:numFmt w:val="decimal"/>
      <w:lvlText w:val="(%1)"/>
      <w:lvlJc w:val="left"/>
      <w:pPr>
        <w:tabs>
          <w:tab w:val="num" w:pos="360"/>
        </w:tabs>
      </w:pPr>
      <w:rPr>
        <w:rFonts w:ascii="Times New Roman" w:hAnsi="Times New Roman" w:cs="Times New Roman"/>
        <w:sz w:val="24"/>
        <w:szCs w:val="24"/>
      </w:rPr>
    </w:lvl>
    <w:lvl w:ilvl="1">
      <w:start w:val="1"/>
      <w:numFmt w:val="decimal"/>
      <w:lvlText w:val="%2_"/>
      <w:lvlJc w:val="left"/>
      <w:pPr>
        <w:tabs>
          <w:tab w:val="num" w:pos="780"/>
        </w:tabs>
        <w:ind w:left="420"/>
      </w:pPr>
      <w:rPr>
        <w:rFonts w:ascii="Times New Roman" w:hAnsi="Times New Roman" w:cs="Times New Roman"/>
        <w:sz w:val="24"/>
        <w:szCs w:val="24"/>
      </w:rPr>
    </w:lvl>
    <w:lvl w:ilvl="2">
      <w:start w:val="1"/>
      <w:numFmt w:val="lowerRoman"/>
      <w:lvlText w:val="%3."/>
      <w:lvlJc w:val="right"/>
      <w:pPr>
        <w:tabs>
          <w:tab w:val="num" w:pos="1260"/>
        </w:tabs>
        <w:ind w:left="1260" w:hanging="420"/>
      </w:pPr>
      <w:rPr>
        <w:rFonts w:ascii="Times New Roman" w:hAnsi="Times New Roman" w:cs="Times New Roman"/>
        <w:sz w:val="24"/>
        <w:szCs w:val="24"/>
      </w:rPr>
    </w:lvl>
    <w:lvl w:ilvl="3">
      <w:start w:val="1"/>
      <w:numFmt w:val="decimal"/>
      <w:lvlText w:val="%4."/>
      <w:lvlJc w:val="left"/>
      <w:pPr>
        <w:tabs>
          <w:tab w:val="num" w:pos="1680"/>
        </w:tabs>
        <w:ind w:left="1680" w:hanging="420"/>
      </w:pPr>
      <w:rPr>
        <w:rFonts w:ascii="Times New Roman" w:hAnsi="Times New Roman" w:cs="Times New Roman"/>
        <w:sz w:val="24"/>
        <w:szCs w:val="24"/>
      </w:rPr>
    </w:lvl>
    <w:lvl w:ilvl="4">
      <w:start w:val="1"/>
      <w:numFmt w:val="lowerLetter"/>
      <w:lvlText w:val="%5)"/>
      <w:lvlJc w:val="left"/>
      <w:pPr>
        <w:tabs>
          <w:tab w:val="num" w:pos="2100"/>
        </w:tabs>
        <w:ind w:left="2100" w:hanging="420"/>
      </w:pPr>
      <w:rPr>
        <w:rFonts w:ascii="Times New Roman" w:hAnsi="Times New Roman" w:cs="Times New Roman"/>
        <w:sz w:val="24"/>
        <w:szCs w:val="24"/>
      </w:rPr>
    </w:lvl>
    <w:lvl w:ilvl="5">
      <w:start w:val="1"/>
      <w:numFmt w:val="lowerRoman"/>
      <w:lvlText w:val="%6."/>
      <w:lvlJc w:val="right"/>
      <w:pPr>
        <w:tabs>
          <w:tab w:val="num" w:pos="2520"/>
        </w:tabs>
        <w:ind w:left="2520" w:hanging="420"/>
      </w:pPr>
      <w:rPr>
        <w:rFonts w:ascii="Times New Roman" w:hAnsi="Times New Roman" w:cs="Times New Roman"/>
        <w:sz w:val="24"/>
        <w:szCs w:val="24"/>
      </w:rPr>
    </w:lvl>
    <w:lvl w:ilvl="6">
      <w:start w:val="1"/>
      <w:numFmt w:val="decimal"/>
      <w:lvlText w:val="%7."/>
      <w:lvlJc w:val="left"/>
      <w:pPr>
        <w:tabs>
          <w:tab w:val="num" w:pos="2940"/>
        </w:tabs>
        <w:ind w:left="2940" w:hanging="420"/>
      </w:pPr>
      <w:rPr>
        <w:rFonts w:ascii="Times New Roman" w:hAnsi="Times New Roman" w:cs="Times New Roman"/>
        <w:sz w:val="24"/>
        <w:szCs w:val="24"/>
      </w:rPr>
    </w:lvl>
    <w:lvl w:ilvl="7">
      <w:start w:val="1"/>
      <w:numFmt w:val="lowerLetter"/>
      <w:lvlText w:val="%8)"/>
      <w:lvlJc w:val="left"/>
      <w:pPr>
        <w:tabs>
          <w:tab w:val="num" w:pos="3360"/>
        </w:tabs>
        <w:ind w:left="3360" w:hanging="420"/>
      </w:pPr>
      <w:rPr>
        <w:rFonts w:ascii="Times New Roman" w:hAnsi="Times New Roman" w:cs="Times New Roman"/>
        <w:sz w:val="24"/>
        <w:szCs w:val="24"/>
      </w:rPr>
    </w:lvl>
    <w:lvl w:ilvl="8">
      <w:start w:val="1"/>
      <w:numFmt w:val="lowerRoman"/>
      <w:lvlText w:val="%9."/>
      <w:lvlJc w:val="right"/>
      <w:pPr>
        <w:tabs>
          <w:tab w:val="num" w:pos="3780"/>
        </w:tabs>
        <w:ind w:left="3780" w:hanging="420"/>
      </w:pPr>
      <w:rPr>
        <w:rFonts w:ascii="Times New Roman" w:hAnsi="Times New Roman" w:cs="Times New Roman"/>
        <w:sz w:val="24"/>
        <w:szCs w:val="24"/>
      </w:rPr>
    </w:lvl>
  </w:abstractNum>
  <w:abstractNum w:abstractNumId="9">
    <w:nsid w:val="591FA264"/>
    <w:multiLevelType w:val="singleLevel"/>
    <w:tmpl w:val="591FA264"/>
    <w:lvl w:ilvl="0">
      <w:start w:val="1"/>
      <w:numFmt w:val="decimal"/>
      <w:suff w:val="nothing"/>
      <w:lvlText w:val="（%1）"/>
      <w:lvlJc w:val="left"/>
    </w:lvl>
  </w:abstractNum>
  <w:abstractNum w:abstractNumId="10">
    <w:nsid w:val="591FA2B6"/>
    <w:multiLevelType w:val="singleLevel"/>
    <w:tmpl w:val="591FA2B6"/>
    <w:lvl w:ilvl="0">
      <w:start w:val="1"/>
      <w:numFmt w:val="decimal"/>
      <w:suff w:val="nothing"/>
      <w:lvlText w:val="（%1）"/>
      <w:lvlJc w:val="left"/>
    </w:lvl>
  </w:abstractNum>
  <w:abstractNum w:abstractNumId="11">
    <w:nsid w:val="591FA6AE"/>
    <w:multiLevelType w:val="singleLevel"/>
    <w:tmpl w:val="591FA6AE"/>
    <w:lvl w:ilvl="0">
      <w:start w:val="1"/>
      <w:numFmt w:val="decimal"/>
      <w:suff w:val="nothing"/>
      <w:lvlText w:val="（%1）"/>
      <w:lvlJc w:val="left"/>
    </w:lvl>
  </w:abstractNum>
  <w:abstractNum w:abstractNumId="12">
    <w:nsid w:val="591FA899"/>
    <w:multiLevelType w:val="singleLevel"/>
    <w:tmpl w:val="591FA899"/>
    <w:lvl w:ilvl="0">
      <w:start w:val="1"/>
      <w:numFmt w:val="decimal"/>
      <w:suff w:val="nothing"/>
      <w:lvlText w:val="(%1)"/>
      <w:lvlJc w:val="left"/>
    </w:lvl>
  </w:abstractNum>
  <w:abstractNum w:abstractNumId="13">
    <w:nsid w:val="59B90E81"/>
    <w:multiLevelType w:val="singleLevel"/>
    <w:tmpl w:val="59B90E81"/>
    <w:lvl w:ilvl="0">
      <w:start w:val="1"/>
      <w:numFmt w:val="decimal"/>
      <w:suff w:val="nothing"/>
      <w:lvlText w:val="（%1）"/>
      <w:lvlJc w:val="left"/>
    </w:lvl>
  </w:abstractNum>
  <w:abstractNum w:abstractNumId="14">
    <w:nsid w:val="5E0ADC36"/>
    <w:multiLevelType w:val="singleLevel"/>
    <w:tmpl w:val="591FA6AE"/>
    <w:lvl w:ilvl="0">
      <w:start w:val="1"/>
      <w:numFmt w:val="decimal"/>
      <w:suff w:val="nothing"/>
      <w:lvlText w:val="（%1）"/>
      <w:lvlJc w:val="left"/>
    </w:lvl>
  </w:abstractNum>
  <w:abstractNum w:abstractNumId="15">
    <w:nsid w:val="5EF74B3B"/>
    <w:multiLevelType w:val="multilevel"/>
    <w:tmpl w:val="5EF74B3B"/>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lowerLetter"/>
      <w:lvlText w:val="%2)"/>
      <w:lvlJc w:val="left"/>
      <w:pPr>
        <w:tabs>
          <w:tab w:val="num" w:pos="840"/>
        </w:tabs>
        <w:ind w:left="840" w:hanging="420"/>
      </w:pPr>
      <w:rPr>
        <w:rFonts w:ascii="Times New Roman" w:hAnsi="Times New Roman" w:cs="Times New Roman"/>
        <w:sz w:val="24"/>
        <w:szCs w:val="24"/>
      </w:rPr>
    </w:lvl>
    <w:lvl w:ilvl="2">
      <w:start w:val="1"/>
      <w:numFmt w:val="lowerRoman"/>
      <w:lvlText w:val="%3."/>
      <w:lvlJc w:val="right"/>
      <w:pPr>
        <w:tabs>
          <w:tab w:val="num" w:pos="1260"/>
        </w:tabs>
        <w:ind w:left="1260" w:hanging="420"/>
      </w:pPr>
      <w:rPr>
        <w:rFonts w:ascii="Times New Roman" w:hAnsi="Times New Roman" w:cs="Times New Roman"/>
        <w:sz w:val="24"/>
        <w:szCs w:val="24"/>
      </w:rPr>
    </w:lvl>
    <w:lvl w:ilvl="3">
      <w:start w:val="1"/>
      <w:numFmt w:val="decimal"/>
      <w:lvlText w:val="%4."/>
      <w:lvlJc w:val="left"/>
      <w:pPr>
        <w:tabs>
          <w:tab w:val="num" w:pos="1680"/>
        </w:tabs>
        <w:ind w:left="1680" w:hanging="420"/>
      </w:pPr>
      <w:rPr>
        <w:rFonts w:ascii="Times New Roman" w:hAnsi="Times New Roman" w:cs="Times New Roman"/>
        <w:sz w:val="24"/>
        <w:szCs w:val="24"/>
      </w:rPr>
    </w:lvl>
    <w:lvl w:ilvl="4">
      <w:start w:val="1"/>
      <w:numFmt w:val="lowerLetter"/>
      <w:lvlText w:val="%5)"/>
      <w:lvlJc w:val="left"/>
      <w:pPr>
        <w:tabs>
          <w:tab w:val="num" w:pos="2100"/>
        </w:tabs>
        <w:ind w:left="2100" w:hanging="420"/>
      </w:pPr>
      <w:rPr>
        <w:rFonts w:ascii="Times New Roman" w:hAnsi="Times New Roman" w:cs="Times New Roman"/>
        <w:sz w:val="24"/>
        <w:szCs w:val="24"/>
      </w:rPr>
    </w:lvl>
    <w:lvl w:ilvl="5">
      <w:start w:val="1"/>
      <w:numFmt w:val="lowerRoman"/>
      <w:lvlText w:val="%6."/>
      <w:lvlJc w:val="right"/>
      <w:pPr>
        <w:tabs>
          <w:tab w:val="num" w:pos="2520"/>
        </w:tabs>
        <w:ind w:left="2520" w:hanging="420"/>
      </w:pPr>
      <w:rPr>
        <w:rFonts w:ascii="Times New Roman" w:hAnsi="Times New Roman" w:cs="Times New Roman"/>
        <w:sz w:val="24"/>
        <w:szCs w:val="24"/>
      </w:rPr>
    </w:lvl>
    <w:lvl w:ilvl="6">
      <w:start w:val="1"/>
      <w:numFmt w:val="decimal"/>
      <w:lvlText w:val="%7."/>
      <w:lvlJc w:val="left"/>
      <w:pPr>
        <w:tabs>
          <w:tab w:val="num" w:pos="2940"/>
        </w:tabs>
        <w:ind w:left="2940" w:hanging="420"/>
      </w:pPr>
      <w:rPr>
        <w:rFonts w:ascii="Times New Roman" w:hAnsi="Times New Roman" w:cs="Times New Roman"/>
        <w:sz w:val="24"/>
        <w:szCs w:val="24"/>
      </w:rPr>
    </w:lvl>
    <w:lvl w:ilvl="7">
      <w:start w:val="1"/>
      <w:numFmt w:val="lowerLetter"/>
      <w:lvlText w:val="%8)"/>
      <w:lvlJc w:val="left"/>
      <w:pPr>
        <w:tabs>
          <w:tab w:val="num" w:pos="3360"/>
        </w:tabs>
        <w:ind w:left="3360" w:hanging="420"/>
      </w:pPr>
      <w:rPr>
        <w:rFonts w:ascii="Times New Roman" w:hAnsi="Times New Roman" w:cs="Times New Roman"/>
        <w:sz w:val="24"/>
        <w:szCs w:val="24"/>
      </w:rPr>
    </w:lvl>
    <w:lvl w:ilvl="8">
      <w:start w:val="1"/>
      <w:numFmt w:val="lowerRoman"/>
      <w:lvlText w:val="%9."/>
      <w:lvlJc w:val="right"/>
      <w:pPr>
        <w:tabs>
          <w:tab w:val="num" w:pos="3780"/>
        </w:tabs>
        <w:ind w:left="3780" w:hanging="420"/>
      </w:pPr>
      <w:rPr>
        <w:rFonts w:ascii="Times New Roman" w:hAnsi="Times New Roman" w:cs="Times New Roman"/>
        <w:sz w:val="24"/>
        <w:szCs w:val="24"/>
      </w:rPr>
    </w:lvl>
  </w:abstractNum>
  <w:abstractNum w:abstractNumId="16">
    <w:nsid w:val="7A7ADD32"/>
    <w:multiLevelType w:val="multilevel"/>
    <w:tmpl w:val="7A7ADD32"/>
    <w:lvl w:ilvl="0">
      <w:start w:val="1"/>
      <w:numFmt w:val="decimal"/>
      <w:lvlText w:val="(%1)"/>
      <w:lvlJc w:val="left"/>
      <w:pPr>
        <w:tabs>
          <w:tab w:val="num" w:pos="360"/>
        </w:tabs>
      </w:pPr>
      <w:rPr>
        <w:rFonts w:ascii="Times New Roman" w:hAnsi="Times New Roman" w:cs="Times New Roman"/>
        <w:sz w:val="24"/>
        <w:szCs w:val="24"/>
      </w:rPr>
    </w:lvl>
    <w:lvl w:ilvl="1">
      <w:start w:val="1"/>
      <w:numFmt w:val="lowerLetter"/>
      <w:lvlText w:val="%2)"/>
      <w:lvlJc w:val="left"/>
      <w:pPr>
        <w:tabs>
          <w:tab w:val="num" w:pos="840"/>
        </w:tabs>
        <w:ind w:left="840" w:hanging="420"/>
      </w:pPr>
      <w:rPr>
        <w:rFonts w:ascii="Times New Roman" w:hAnsi="Times New Roman" w:cs="Times New Roman"/>
        <w:sz w:val="24"/>
        <w:szCs w:val="24"/>
      </w:rPr>
    </w:lvl>
    <w:lvl w:ilvl="2">
      <w:start w:val="1"/>
      <w:numFmt w:val="lowerRoman"/>
      <w:lvlText w:val="%3."/>
      <w:lvlJc w:val="right"/>
      <w:pPr>
        <w:tabs>
          <w:tab w:val="num" w:pos="1260"/>
        </w:tabs>
        <w:ind w:left="1260" w:hanging="420"/>
      </w:pPr>
      <w:rPr>
        <w:rFonts w:ascii="Times New Roman" w:hAnsi="Times New Roman" w:cs="Times New Roman"/>
        <w:sz w:val="24"/>
        <w:szCs w:val="24"/>
      </w:rPr>
    </w:lvl>
    <w:lvl w:ilvl="3">
      <w:start w:val="1"/>
      <w:numFmt w:val="decimal"/>
      <w:lvlText w:val="%4."/>
      <w:lvlJc w:val="left"/>
      <w:pPr>
        <w:tabs>
          <w:tab w:val="num" w:pos="1680"/>
        </w:tabs>
        <w:ind w:left="1680" w:hanging="420"/>
      </w:pPr>
      <w:rPr>
        <w:rFonts w:ascii="Times New Roman" w:hAnsi="Times New Roman" w:cs="Times New Roman"/>
        <w:sz w:val="24"/>
        <w:szCs w:val="24"/>
      </w:rPr>
    </w:lvl>
    <w:lvl w:ilvl="4">
      <w:start w:val="1"/>
      <w:numFmt w:val="lowerLetter"/>
      <w:lvlText w:val="%5)"/>
      <w:lvlJc w:val="left"/>
      <w:pPr>
        <w:tabs>
          <w:tab w:val="num" w:pos="2100"/>
        </w:tabs>
        <w:ind w:left="2100" w:hanging="420"/>
      </w:pPr>
      <w:rPr>
        <w:rFonts w:ascii="Times New Roman" w:hAnsi="Times New Roman" w:cs="Times New Roman"/>
        <w:sz w:val="24"/>
        <w:szCs w:val="24"/>
      </w:rPr>
    </w:lvl>
    <w:lvl w:ilvl="5">
      <w:start w:val="1"/>
      <w:numFmt w:val="lowerRoman"/>
      <w:lvlText w:val="%6."/>
      <w:lvlJc w:val="right"/>
      <w:pPr>
        <w:tabs>
          <w:tab w:val="num" w:pos="2520"/>
        </w:tabs>
        <w:ind w:left="2520" w:hanging="420"/>
      </w:pPr>
      <w:rPr>
        <w:rFonts w:ascii="Times New Roman" w:hAnsi="Times New Roman" w:cs="Times New Roman"/>
        <w:sz w:val="24"/>
        <w:szCs w:val="24"/>
      </w:rPr>
    </w:lvl>
    <w:lvl w:ilvl="6">
      <w:start w:val="1"/>
      <w:numFmt w:val="decimal"/>
      <w:lvlText w:val="%7."/>
      <w:lvlJc w:val="left"/>
      <w:pPr>
        <w:tabs>
          <w:tab w:val="num" w:pos="2940"/>
        </w:tabs>
        <w:ind w:left="2940" w:hanging="420"/>
      </w:pPr>
      <w:rPr>
        <w:rFonts w:ascii="Times New Roman" w:hAnsi="Times New Roman" w:cs="Times New Roman"/>
        <w:sz w:val="24"/>
        <w:szCs w:val="24"/>
      </w:rPr>
    </w:lvl>
    <w:lvl w:ilvl="7">
      <w:start w:val="1"/>
      <w:numFmt w:val="lowerLetter"/>
      <w:lvlText w:val="%8)"/>
      <w:lvlJc w:val="left"/>
      <w:pPr>
        <w:tabs>
          <w:tab w:val="num" w:pos="3360"/>
        </w:tabs>
        <w:ind w:left="3360" w:hanging="420"/>
      </w:pPr>
      <w:rPr>
        <w:rFonts w:ascii="Times New Roman" w:hAnsi="Times New Roman" w:cs="Times New Roman"/>
        <w:sz w:val="24"/>
        <w:szCs w:val="24"/>
      </w:rPr>
    </w:lvl>
    <w:lvl w:ilvl="8">
      <w:start w:val="1"/>
      <w:numFmt w:val="lowerRoman"/>
      <w:lvlText w:val="%9."/>
      <w:lvlJc w:val="right"/>
      <w:pPr>
        <w:tabs>
          <w:tab w:val="num" w:pos="3780"/>
        </w:tabs>
        <w:ind w:left="3780" w:hanging="420"/>
      </w:pPr>
      <w:rPr>
        <w:rFonts w:ascii="Times New Roman" w:hAnsi="Times New Roman" w:cs="Times New Roman"/>
        <w:sz w:val="24"/>
        <w:szCs w:val="24"/>
      </w:rPr>
    </w:lvl>
  </w:abstractNum>
  <w:num w:numId="1">
    <w:abstractNumId w:val="0"/>
  </w:num>
  <w:num w:numId="2">
    <w:abstractNumId w:val="9"/>
  </w:num>
  <w:num w:numId="3">
    <w:abstractNumId w:val="10"/>
  </w:num>
  <w:num w:numId="4">
    <w:abstractNumId w:val="11"/>
  </w:num>
  <w:num w:numId="5">
    <w:abstractNumId w:val="6"/>
  </w:num>
  <w:num w:numId="6">
    <w:abstractNumId w:val="16"/>
  </w:num>
  <w:num w:numId="7">
    <w:abstractNumId w:val="8"/>
  </w:num>
  <w:num w:numId="8">
    <w:abstractNumId w:val="7"/>
  </w:num>
  <w:num w:numId="9">
    <w:abstractNumId w:val="15"/>
  </w:num>
  <w:num w:numId="10">
    <w:abstractNumId w:val="5"/>
  </w:num>
  <w:num w:numId="11">
    <w:abstractNumId w:val="13"/>
  </w:num>
  <w:num w:numId="12">
    <w:abstractNumId w:val="3"/>
  </w:num>
  <w:num w:numId="13">
    <w:abstractNumId w:val="12"/>
  </w:num>
  <w:num w:numId="14">
    <w:abstractNumId w:val="1"/>
  </w:num>
  <w:num w:numId="15">
    <w:abstractNumId w:val="4"/>
  </w:num>
  <w:num w:numId="16">
    <w:abstractNumId w:val="14"/>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113C0"/>
    <w:rsid w:val="00252B25"/>
    <w:rsid w:val="00266655"/>
    <w:rsid w:val="0046474F"/>
    <w:rsid w:val="005F7985"/>
    <w:rsid w:val="007D1BB9"/>
    <w:rsid w:val="00887050"/>
    <w:rsid w:val="00AA4D0B"/>
    <w:rsid w:val="00C1729B"/>
    <w:rsid w:val="00C3480A"/>
    <w:rsid w:val="00C84225"/>
    <w:rsid w:val="00CA6D76"/>
    <w:rsid w:val="00D16826"/>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0292770-EAF5-47DF-996A-0DB321BBE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uiPriority w:val="9"/>
    <w:qFormat/>
    <w:pPr>
      <w:spacing w:line="360" w:lineRule="auto"/>
      <w:jc w:val="center"/>
      <w:outlineLvl w:val="0"/>
    </w:pPr>
    <w:rPr>
      <w:rFonts w:ascii="仿宋_GB2312" w:eastAsia="仿宋_GB2312" w:hAnsi="Times New Roman" w:cs="Times New Roman"/>
      <w:sz w:val="28"/>
      <w:szCs w:val="20"/>
    </w:rPr>
  </w:style>
  <w:style w:type="paragraph" w:styleId="Heading2">
    <w:name w:val="heading 2"/>
    <w:basedOn w:val="Normal"/>
    <w:next w:val="Normal0"/>
    <w:link w:val="2"/>
    <w:qFormat/>
    <w:pPr>
      <w:keepLines/>
      <w:numPr>
        <w:ilvl w:val="1"/>
        <w:numId w:val="1"/>
      </w:numPr>
      <w:adjustRightInd w:val="0"/>
      <w:jc w:val="center"/>
      <w:outlineLvl w:val="1"/>
    </w:pPr>
    <w:rPr>
      <w:rFonts w:ascii="宋体" w:hAnsi="Arial"/>
      <w:b/>
      <w:bCs/>
      <w:sz w:val="28"/>
      <w:szCs w:val="30"/>
    </w:rPr>
  </w:style>
  <w:style w:type="paragraph" w:styleId="Heading3">
    <w:name w:val="heading 3"/>
    <w:basedOn w:val="Normal"/>
    <w:next w:val="Normal0"/>
    <w:link w:val="30"/>
    <w:qFormat/>
    <w:pPr>
      <w:keepLines/>
      <w:numPr>
        <w:ilvl w:val="2"/>
        <w:numId w:val="1"/>
      </w:numPr>
      <w:adjustRightInd w:val="0"/>
      <w:spacing w:line="480" w:lineRule="auto"/>
      <w:jc w:val="left"/>
      <w:outlineLvl w:val="2"/>
    </w:pPr>
    <w:rPr>
      <w:rFonts w:ascii="宋体" w:hAnsi="宋体"/>
      <w:b/>
      <w:bCs/>
      <w:sz w:val="24"/>
      <w:szCs w:val="24"/>
    </w:rPr>
  </w:style>
  <w:style w:type="paragraph" w:styleId="Heading4">
    <w:name w:val="heading 4"/>
    <w:basedOn w:val="Normal"/>
    <w:next w:val="Normal0"/>
    <w:link w:val="4"/>
    <w:qFormat/>
    <w:pPr>
      <w:numPr>
        <w:ilvl w:val="3"/>
        <w:numId w:val="1"/>
      </w:numPr>
      <w:adjustRightInd w:val="0"/>
      <w:spacing w:line="360" w:lineRule="auto"/>
      <w:jc w:val="left"/>
      <w:outlineLvl w:val="3"/>
    </w:pPr>
    <w:rPr>
      <w:rFonts w:ascii="宋体" w:hAnsi="宋体"/>
      <w:bCs/>
      <w:sz w:val="24"/>
      <w:szCs w:val="24"/>
    </w:rPr>
  </w:style>
  <w:style w:type="paragraph" w:styleId="Heading7">
    <w:name w:val="heading 7"/>
    <w:basedOn w:val="PlainText"/>
    <w:next w:val="PlainText"/>
    <w:link w:val="7"/>
    <w:qFormat/>
    <w:pPr>
      <w:outlineLvl w:val="6"/>
    </w:pPr>
    <w:rPr>
      <w:rFonts w:ascii="Times New Roman" w:hAnsi="Times New Roman" w:cs="Times New Roman"/>
      <w:bCs/>
      <w:kern w:val="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TOC2">
    <w:name w:val="toc 2"/>
    <w:basedOn w:val="Normal"/>
    <w:next w:val="Normal0"/>
    <w:uiPriority w:val="39"/>
    <w:qFormat/>
    <w:pPr>
      <w:spacing w:line="360" w:lineRule="auto"/>
      <w:ind w:left="420" w:leftChars="200"/>
    </w:pPr>
    <w:rPr>
      <w:rFonts w:ascii="Times New Roman" w:hAnsi="Times New Roman"/>
      <w:sz w:val="28"/>
      <w:szCs w:val="24"/>
    </w:rPr>
  </w:style>
  <w:style w:type="paragraph" w:styleId="TOC3">
    <w:name w:val="toc 3"/>
    <w:basedOn w:val="Normal"/>
    <w:next w:val="Normal0"/>
    <w:uiPriority w:val="39"/>
    <w:qFormat/>
    <w:pPr>
      <w:ind w:left="840" w:leftChars="400"/>
    </w:pPr>
    <w:rPr>
      <w:rFonts w:ascii="Times New Roman" w:hAnsi="Times New Roman"/>
      <w:szCs w:val="24"/>
    </w:rPr>
  </w:style>
  <w:style w:type="paragraph" w:styleId="BodyText3">
    <w:name w:val="Body Text 3"/>
    <w:basedOn w:val="Normal"/>
    <w:link w:val="3"/>
    <w:pPr>
      <w:spacing w:after="120"/>
    </w:pPr>
    <w:rPr>
      <w:sz w:val="16"/>
      <w:szCs w:val="16"/>
    </w:rPr>
  </w:style>
  <w:style w:type="character" w:customStyle="1" w:styleId="3">
    <w:name w:val="正文文本 3 字符"/>
    <w:link w:val="BodyText3"/>
    <w:rPr>
      <w:rFonts w:ascii="Calibri" w:hAnsi="Calibri"/>
      <w:kern w:val="2"/>
      <w:sz w:val="16"/>
      <w:szCs w:val="16"/>
    </w:rPr>
  </w:style>
  <w:style w:type="character" w:customStyle="1" w:styleId="2">
    <w:name w:val="标题 2 字符"/>
    <w:link w:val="Heading2"/>
    <w:qFormat/>
    <w:rPr>
      <w:rFonts w:ascii="宋体" w:hAnsi="Arial"/>
      <w:b/>
      <w:bCs/>
      <w:sz w:val="28"/>
      <w:szCs w:val="30"/>
    </w:rPr>
  </w:style>
  <w:style w:type="character" w:customStyle="1" w:styleId="30">
    <w:name w:val="标题 3 字符"/>
    <w:link w:val="Heading3"/>
    <w:rPr>
      <w:rFonts w:ascii="宋体" w:hAnsi="宋体"/>
      <w:b/>
      <w:bCs/>
      <w:kern w:val="2"/>
      <w:sz w:val="24"/>
      <w:szCs w:val="24"/>
    </w:rPr>
  </w:style>
  <w:style w:type="character" w:customStyle="1" w:styleId="4">
    <w:name w:val="标题 4 字符"/>
    <w:link w:val="Heading4"/>
    <w:rPr>
      <w:rFonts w:ascii="宋体" w:hAnsi="宋体"/>
      <w:bCs/>
      <w:kern w:val="2"/>
      <w:sz w:val="24"/>
      <w:szCs w:val="24"/>
    </w:rPr>
  </w:style>
  <w:style w:type="paragraph" w:styleId="PlainText">
    <w:name w:val="Plain Text"/>
    <w:basedOn w:val="Normal"/>
    <w:link w:val="a"/>
    <w:unhideWhenUsed/>
    <w:pPr>
      <w:spacing w:line="360" w:lineRule="auto"/>
      <w:ind w:firstLine="200" w:firstLineChars="200"/>
      <w:jc w:val="left"/>
    </w:pPr>
    <w:rPr>
      <w:rFonts w:ascii="宋体" w:hAnsi="Courier New" w:cs="Courier New"/>
      <w:sz w:val="24"/>
      <w:szCs w:val="21"/>
    </w:rPr>
  </w:style>
  <w:style w:type="character" w:customStyle="1" w:styleId="a">
    <w:name w:val="纯文本 字符"/>
    <w:link w:val="PlainText"/>
    <w:rPr>
      <w:rFonts w:ascii="宋体" w:hAnsi="Courier New" w:cs="Courier New"/>
      <w:kern w:val="2"/>
      <w:sz w:val="24"/>
      <w:szCs w:val="21"/>
    </w:rPr>
  </w:style>
  <w:style w:type="paragraph" w:styleId="NormalWeb">
    <w:name w:val="Normal (Web)"/>
    <w:basedOn w:val="Normal"/>
    <w:uiPriority w:val="99"/>
    <w:unhideWhenUsed/>
    <w:rPr>
      <w:rFonts w:ascii="Times New Roman" w:hAnsi="Times New Roman"/>
      <w:sz w:val="24"/>
      <w:szCs w:val="24"/>
    </w:rPr>
  </w:style>
  <w:style w:type="character" w:customStyle="1" w:styleId="7">
    <w:name w:val="标题 7 字符"/>
    <w:link w:val="Heading7"/>
    <w:rPr>
      <w:bCs/>
      <w:sz w:val="24"/>
    </w:rPr>
  </w:style>
  <w:style w:type="paragraph" w:styleId="Date">
    <w:name w:val="Date"/>
    <w:basedOn w:val="Normal"/>
    <w:rPr>
      <w:rFonts w:ascii="Times New Roman" w:hAnsi="Times New Roman" w:cs="Times New Roman"/>
      <w:sz w:val="28"/>
      <w:szCs w:val="20"/>
    </w:rPr>
  </w:style>
  <w:style w:type="paragraph" w:styleId="BodyText">
    <w:name w:val="Body Text"/>
    <w:basedOn w:val="Normal"/>
    <w:pPr>
      <w:spacing w:after="120"/>
    </w:pPr>
    <w:rPr>
      <w:rFonts w:ascii="Times New Roman" w:hAnsi="Times New Roman" w:cs="Times New Roman"/>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0">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1">
    <w:name w:val="所有表头"/>
    <w:basedOn w:val="a0"/>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wmf" /><Relationship Id="rId13" Type="http://schemas.openxmlformats.org/officeDocument/2006/relationships/image" Target="media/image9.jpeg" /><Relationship Id="rId14" Type="http://schemas.openxmlformats.org/officeDocument/2006/relationships/image" Target="media/image10.pn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hyperlink" Target="https://d.book118.com/596224003145010055" TargetMode="Externa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24</Pages>
  <Words>3605</Words>
  <Characters>20555</Characters>
  <Application>Microsoft Office Word</Application>
  <DocSecurity>0</DocSecurity>
  <Lines>171</Lines>
  <Paragraphs>48</Paragraphs>
  <ScaleCrop>false</ScaleCrop>
  <Company/>
  <LinksUpToDate>false</LinksUpToDate>
  <CharactersWithSpaces>24112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2023-10-22T06:43:00Z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