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tabs>
          <w:tab w:val="left" w:pos="10364"/>
        </w:tabs>
        <w:spacing w:before="69" w:line="226" w:lineRule="auto"/>
        <w:ind w:left="751"/>
        <w:rPr>
          <w:sz w:val="19"/>
          <w:szCs w:val="19"/>
        </w:rPr>
      </w:pPr>
      <w:r>
        <w:pict>
          <v:rect id="_x0000_s1025" style="width:26.2pt;height:841.95pt;margin-top:0;margin-left:0;mso-position-horizontal-relative:page;mso-position-vertical-relative:page;position:absolute;z-index:251658240" o:allowincell="f" filled="t" fillcolor="#8eb4e3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15.3pt;height:45.6pt;margin-top:62.84pt;margin-left:5.27pt;mso-position-horizontal-relative:page;mso-position-vertical-relative:page;position:absolute;z-index:25166131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7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color w:val="FFFFFF"/>
                      <w:spacing w:val="-2"/>
                      <w:sz w:val="22"/>
                      <w:szCs w:val="22"/>
                      <w14:textOutline w14:w="4005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行业研究</w:t>
                  </w:r>
                </w:p>
              </w:txbxContent>
            </v:textbox>
          </v:shape>
        </w:pict>
      </w:r>
      <w:r>
        <w:pict>
          <v:shape id="_x0000_s1027" type="#_x0000_t202" style="width:15pt;height:116.05pt;margin-top:423.61pt;margin-left:5.57pt;mso-position-horizontal-relative:page;mso-position-vertical-relative:page;position:absolute;z-index:251660288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2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color w:val="FFFFFF"/>
                      <w:spacing w:val="-3"/>
                      <w:sz w:val="22"/>
                      <w:szCs w:val="22"/>
                      <w14:textOutline w14:w="4005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开源证券</w:t>
                  </w:r>
                  <w:r>
                    <w:rPr>
                      <w:color w:val="FFFFFF"/>
                      <w:spacing w:val="-3"/>
                      <w:sz w:val="22"/>
                      <w:szCs w:val="22"/>
                    </w:rPr>
                    <w:t xml:space="preserve"> </w:t>
                  </w:r>
                  <w:r>
                    <w:rPr>
                      <w:color w:val="FFFFFF"/>
                      <w:spacing w:val="-3"/>
                      <w:sz w:val="22"/>
                      <w:szCs w:val="22"/>
                      <w14:textOutline w14:w="4005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证券研究报告</w:t>
                  </w:r>
                </w:p>
              </w:txbxContent>
            </v:textbox>
          </v:shape>
        </w:pict>
      </w:r>
      <w:r>
        <w:pict>
          <v:shape id="_x0000_s1028" style="width:150.9pt;height:0.5pt;margin-top:194.78pt;margin-left:35.04pt;mso-position-horizontal-relative:page;mso-position-vertical-relative:page;position:absolute;z-index:251662336" coordorigin="0,0" coordsize="3017,10" o:allowincell="f" path="m,9l3017,9l3017,l,l,9xe" filled="t" fillcolor="black" stroked="f"/>
        </w:pict>
      </w:r>
      <w:r>
        <w:pict>
          <v:shape id="_x0000_s1029" type="#_x0000_t202" style="width:26.2pt;height:175.8pt;margin-top:161.76pt;margin-left:0;mso-position-horizontal-relative:page;mso-position-vertical-relative:page;position:absolute;z-index:251659264" o:allowincell="f" filled="t" fillcolor="#c7402e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32" w:line="213" w:lineRule="auto"/>
                    <w:ind w:left="1109"/>
                    <w:rPr>
                      <w:sz w:val="22"/>
                      <w:szCs w:val="22"/>
                    </w:rPr>
                  </w:pPr>
                  <w:r>
                    <w:rPr>
                      <w:color w:val="FFFFFF"/>
                      <w:spacing w:val="-3"/>
                      <w:sz w:val="22"/>
                      <w:szCs w:val="22"/>
                      <w14:textOutline w14:w="4005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行业深度报告</w:t>
                  </w:r>
                </w:p>
              </w:txbxContent>
            </v:textbox>
          </v:shape>
        </w:pict>
      </w:r>
      <w:r>
        <w:rPr>
          <w:sz w:val="19"/>
          <w:szCs w:val="19"/>
          <w:u w:val="single" w:color="auto"/>
        </w:rPr>
        <w:tab/>
      </w:r>
      <w:r>
        <w:rPr>
          <w:spacing w:val="10"/>
          <w:sz w:val="19"/>
          <w:szCs w:val="19"/>
          <w:u w:val="single" w:color="00000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社会服务</w:t>
      </w:r>
    </w:p>
    <w:p>
      <w:pPr>
        <w:spacing w:line="217" w:lineRule="exact"/>
      </w:pPr>
    </w:p>
    <w:p>
      <w:pPr>
        <w:spacing w:line="217" w:lineRule="exact"/>
        <w:sectPr>
          <w:headerReference w:type="default" r:id="rId4"/>
          <w:footerReference w:type="default" r:id="rId5"/>
          <w:pgSz w:w="11907" w:h="16839"/>
          <w:pgMar w:top="1039" w:right="573" w:bottom="1138" w:left="0" w:header="396" w:footer="839" w:gutter="0"/>
          <w:cols w:num="1" w:space="708" w:equalWidth="0">
            <w:col w:w="11333" w:space="0"/>
          </w:cols>
        </w:sectPr>
      </w:pPr>
    </w:p>
    <w:p>
      <w:pPr>
        <w:pStyle w:val="BodyText"/>
        <w:spacing w:before="120" w:line="218" w:lineRule="auto"/>
        <w:ind w:left="742"/>
        <w:rPr>
          <w:sz w:val="28"/>
          <w:szCs w:val="28"/>
        </w:rPr>
      </w:pPr>
      <w:r>
        <w:rPr>
          <w:spacing w:val="-2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社会服务</w:t>
      </w:r>
    </w:p>
    <w:p>
      <w:pPr>
        <w:pStyle w:val="BodyText"/>
        <w:spacing w:before="124" w:line="218" w:lineRule="auto"/>
        <w:ind w:left="734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2024 </w:t>
      </w:r>
      <w:r>
        <w:rPr>
          <w:spacing w:val="-5"/>
          <w:sz w:val="22"/>
          <w:szCs w:val="22"/>
        </w:rPr>
        <w:t>年</w:t>
      </w:r>
      <w:r>
        <w:rPr>
          <w:spacing w:val="-35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>01</w:t>
      </w:r>
      <w:r>
        <w:rPr>
          <w:rFonts w:ascii="Times New Roman" w:eastAsia="Times New Roman" w:hAnsi="Times New Roman" w:cs="Times New Roman"/>
          <w:spacing w:val="20"/>
          <w:sz w:val="22"/>
          <w:szCs w:val="22"/>
        </w:rPr>
        <w:t xml:space="preserve"> </w:t>
      </w:r>
      <w:r>
        <w:rPr>
          <w:spacing w:val="-5"/>
          <w:sz w:val="22"/>
          <w:szCs w:val="22"/>
        </w:rPr>
        <w:t>月</w:t>
      </w:r>
      <w:r>
        <w:rPr>
          <w:spacing w:val="-3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2"/>
          <w:szCs w:val="22"/>
        </w:rPr>
        <w:t xml:space="preserve">10  </w:t>
      </w:r>
      <w:r>
        <w:rPr>
          <w:spacing w:val="-5"/>
          <w:sz w:val="22"/>
          <w:szCs w:val="22"/>
        </w:rPr>
        <w:t>日</w:t>
      </w:r>
    </w:p>
    <w:p>
      <w:pPr>
        <w:spacing w:line="399" w:lineRule="auto"/>
        <w:rPr>
          <w:rFonts w:ascii="Arial"/>
          <w:sz w:val="21"/>
        </w:rPr>
      </w:pPr>
    </w:p>
    <w:p>
      <w:pPr>
        <w:pStyle w:val="BodyText"/>
        <w:spacing w:before="78" w:line="624" w:lineRule="exact"/>
        <w:ind w:left="740"/>
        <w:rPr>
          <w:sz w:val="24"/>
          <w:szCs w:val="24"/>
        </w:rPr>
      </w:pPr>
      <w:r>
        <w:rPr>
          <w:spacing w:val="-9"/>
          <w:position w:val="30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投资评级：</w:t>
      </w:r>
      <w:r>
        <w:rPr>
          <w:spacing w:val="-24"/>
          <w:position w:val="30"/>
          <w:sz w:val="24"/>
          <w:szCs w:val="24"/>
        </w:rPr>
        <w:t xml:space="preserve"> </w:t>
      </w:r>
      <w:r>
        <w:rPr>
          <w:spacing w:val="-9"/>
          <w:position w:val="30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看好（维持）</w:t>
      </w:r>
    </w:p>
    <w:p>
      <w:pPr>
        <w:pStyle w:val="BodyText"/>
        <w:spacing w:line="219" w:lineRule="auto"/>
        <w:ind w:left="743"/>
        <w:rPr>
          <w:sz w:val="24"/>
          <w:szCs w:val="24"/>
        </w:rPr>
      </w:pPr>
      <w:r>
        <w:rPr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行业走势图</w:t>
      </w:r>
    </w:p>
    <w:p>
      <w:pPr>
        <w:spacing w:before="43"/>
      </w:pPr>
    </w:p>
    <w:tbl>
      <w:tblPr>
        <w:tblStyle w:val="TableNormal"/>
        <w:tblW w:w="2908" w:type="dxa"/>
        <w:tblInd w:w="66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28"/>
        <w:gridCol w:w="2580"/>
      </w:tblGrid>
      <w:tr>
        <w:tblPrEx>
          <w:tblW w:w="2908" w:type="dxa"/>
          <w:tblInd w:w="66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692"/>
        </w:trPr>
        <w:tc>
          <w:tcPr>
            <w:tcW w:w="328" w:type="dxa"/>
            <w:vAlign w:val="top"/>
          </w:tcPr>
          <w:p>
            <w:pPr>
              <w:spacing w:before="227" w:line="197" w:lineRule="auto"/>
              <w:ind w:left="5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10%</w:t>
            </w:r>
          </w:p>
          <w:p>
            <w:pPr>
              <w:spacing w:before="218" w:line="197" w:lineRule="auto"/>
              <w:ind w:left="11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3"/>
                <w:szCs w:val="13"/>
              </w:rPr>
              <w:t>0%</w:t>
            </w:r>
          </w:p>
          <w:p>
            <w:pPr>
              <w:spacing w:before="219" w:line="197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3"/>
                <w:szCs w:val="13"/>
              </w:rPr>
              <w:t>-10%</w:t>
            </w:r>
          </w:p>
          <w:p>
            <w:pPr>
              <w:spacing w:before="219" w:line="197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3"/>
                <w:szCs w:val="13"/>
              </w:rPr>
              <w:t>-19%</w:t>
            </w:r>
          </w:p>
          <w:p>
            <w:pPr>
              <w:spacing w:before="219" w:line="87" w:lineRule="exact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-2"/>
                <w:sz w:val="13"/>
                <w:szCs w:val="13"/>
              </w:rPr>
              <w:t>-29%</w:t>
            </w:r>
          </w:p>
        </w:tc>
        <w:tc>
          <w:tcPr>
            <w:tcW w:w="2580" w:type="dxa"/>
            <w:vAlign w:val="top"/>
          </w:tcPr>
          <w:p>
            <w:pPr>
              <w:tabs>
                <w:tab w:val="left" w:pos="440"/>
              </w:tabs>
              <w:spacing w:line="218" w:lineRule="auto"/>
              <w:ind w:left="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KaiTi" w:eastAsia="KaiTi" w:hAnsi="KaiTi" w:cs="KaiTi"/>
                <w:strike/>
                <w:sz w:val="16"/>
                <w:szCs w:val="16"/>
              </w:rPr>
              <w:tab/>
            </w:r>
            <w:r>
              <w:rPr>
                <w:rFonts w:ascii="KaiTi" w:eastAsia="KaiTi" w:hAnsi="KaiTi" w:cs="KaiTi"/>
                <w:spacing w:val="-43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社会服务</w:t>
            </w:r>
            <w:r>
              <w:rPr>
                <w:rFonts w:ascii="KaiTi" w:eastAsia="KaiTi" w:hAnsi="KaiTi" w:cs="KaiTi"/>
                <w:spacing w:val="11"/>
                <w:sz w:val="16"/>
                <w:szCs w:val="16"/>
              </w:rPr>
              <w:t xml:space="preserve">    </w:t>
            </w:r>
            <w:r>
              <w:rPr>
                <w:rFonts w:ascii="KaiTi" w:eastAsia="KaiTi" w:hAnsi="KaiTi" w:cs="KaiTi"/>
                <w:strike/>
                <w:spacing w:val="3"/>
                <w:sz w:val="16"/>
                <w:szCs w:val="16"/>
              </w:rPr>
              <w:t xml:space="preserve">     </w:t>
            </w:r>
            <w:r>
              <w:rPr>
                <w:rFonts w:ascii="KaiTi" w:eastAsia="KaiTi" w:hAnsi="KaiTi" w:cs="KaiTi"/>
                <w:spacing w:val="-34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沪深</w:t>
            </w: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300</w:t>
            </w:r>
          </w:p>
          <w:p>
            <w:pPr>
              <w:spacing w:before="82" w:line="1410" w:lineRule="exact"/>
              <w:ind w:firstLine="46"/>
            </w:pPr>
            <w:r>
              <w:rPr>
                <w:position w:val="-28"/>
              </w:rPr>
              <w:drawing>
                <wp:inline distT="0" distB="0" distL="0" distR="0">
                  <wp:extent cx="1608802" cy="895268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802" cy="895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67" w:line="196" w:lineRule="auto"/>
        <w:ind w:right="12"/>
        <w:jc w:val="right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4"/>
          <w:sz w:val="13"/>
          <w:szCs w:val="13"/>
        </w:rPr>
        <w:t>2023-01          2023-05</w:t>
      </w:r>
      <w:r>
        <w:rPr>
          <w:rFonts w:ascii="Times New Roman" w:eastAsia="Times New Roman" w:hAnsi="Times New Roman" w:cs="Times New Roman"/>
          <w:spacing w:val="1"/>
          <w:sz w:val="13"/>
          <w:szCs w:val="13"/>
        </w:rPr>
        <w:t xml:space="preserve">           </w:t>
      </w:r>
      <w:r>
        <w:rPr>
          <w:rFonts w:ascii="Times New Roman" w:eastAsia="Times New Roman" w:hAnsi="Times New Roman" w:cs="Times New Roman"/>
          <w:spacing w:val="4"/>
          <w:sz w:val="13"/>
          <w:szCs w:val="13"/>
        </w:rPr>
        <w:t xml:space="preserve">2023-09     </w:t>
      </w:r>
      <w:r>
        <w:rPr>
          <w:rFonts w:ascii="Times New Roman" w:eastAsia="Times New Roman" w:hAnsi="Times New Roman" w:cs="Times New Roman"/>
          <w:spacing w:val="3"/>
          <w:sz w:val="13"/>
          <w:szCs w:val="13"/>
        </w:rPr>
        <w:t xml:space="preserve">     2024-01</w:t>
      </w:r>
    </w:p>
    <w:p>
      <w:pPr>
        <w:pStyle w:val="BodyText"/>
        <w:spacing w:before="195" w:line="215" w:lineRule="auto"/>
        <w:ind w:left="733"/>
        <w:rPr>
          <w:sz w:val="16"/>
          <w:szCs w:val="16"/>
        </w:rPr>
      </w:pPr>
      <w:r>
        <w:rPr>
          <w:sz w:val="16"/>
          <w:szCs w:val="16"/>
        </w:rPr>
        <w:t>数据来源：聚源</w:t>
      </w:r>
    </w:p>
    <w:p>
      <w:pPr>
        <w:spacing w:line="233" w:lineRule="exact"/>
      </w:pPr>
    </w:p>
    <w:tbl>
      <w:tblPr>
        <w:tblStyle w:val="TableNormal"/>
        <w:tblW w:w="3023" w:type="dxa"/>
        <w:tblInd w:w="626" w:type="dxa"/>
        <w:tblBorders>
          <w:top w:val="single" w:sz="4" w:space="0" w:color="1F497D"/>
          <w:left w:val="single" w:sz="4" w:space="0" w:color="1F497D"/>
          <w:bottom w:val="single" w:sz="4" w:space="0" w:color="1F497D"/>
          <w:right w:val="single" w:sz="4" w:space="0" w:color="1F497D"/>
        </w:tblBorders>
        <w:shd w:val="clear" w:color="auto" w:fill="1F497D"/>
        <w:tblLayout w:type="fixed"/>
      </w:tblPr>
      <w:tblGrid>
        <w:gridCol w:w="3023"/>
      </w:tblGrid>
      <w:tr>
        <w:tblPrEx>
          <w:tblW w:w="3023" w:type="dxa"/>
          <w:tblInd w:w="626" w:type="dxa"/>
          <w:tblBorders>
            <w:top w:val="single" w:sz="4" w:space="0" w:color="1F497D"/>
            <w:left w:val="single" w:sz="4" w:space="0" w:color="1F497D"/>
            <w:bottom w:val="single" w:sz="4" w:space="0" w:color="1F497D"/>
            <w:right w:val="single" w:sz="4" w:space="0" w:color="1F497D"/>
          </w:tblBorders>
          <w:shd w:val="clear" w:color="auto" w:fill="1F497D"/>
          <w:tblLayout w:type="fixed"/>
        </w:tblPrEx>
        <w:trPr>
          <w:trHeight w:val="443"/>
        </w:trPr>
        <w:tc>
          <w:tcPr>
            <w:tcW w:w="3023" w:type="dxa"/>
            <w:shd w:val="clear" w:color="auto" w:fill="1F497D"/>
            <w:vAlign w:val="top"/>
          </w:tcPr>
          <w:p>
            <w:pPr>
              <w:spacing w:before="101" w:line="222" w:lineRule="auto"/>
              <w:ind w:left="792"/>
              <w:rPr>
                <w:rFonts w:ascii="KaiTi" w:eastAsia="KaiTi" w:hAnsi="KaiTi" w:cs="KaiTi"/>
                <w:sz w:val="24"/>
                <w:szCs w:val="24"/>
              </w:rPr>
            </w:pPr>
            <w:r>
              <w:rPr>
                <w:rFonts w:ascii="KaiTi" w:eastAsia="KaiTi" w:hAnsi="KaiTi" w:cs="KaiTi"/>
                <w:color w:val="FFFFFF"/>
                <w:spacing w:val="-1"/>
                <w:sz w:val="24"/>
                <w:szCs w:val="24"/>
                <w14:textOutline w14:w="4354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相关研究报告</w:t>
            </w:r>
          </w:p>
        </w:tc>
      </w:tr>
    </w:tbl>
    <w:p>
      <w:pPr>
        <w:pStyle w:val="BodyText"/>
        <w:spacing w:before="160" w:line="300" w:lineRule="auto"/>
        <w:ind w:left="736" w:right="126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spacing w:val="3"/>
          <w:sz w:val="18"/>
          <w:szCs w:val="18"/>
        </w:rPr>
        <w:t>《冰雪主题旅游热度持续，教育部作</w:t>
      </w:r>
      <w:r>
        <w:rPr>
          <w:spacing w:val="9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双减三年部署—行业周报》</w:t>
      </w:r>
      <w:r>
        <w:rPr>
          <w:spacing w:val="-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8"/>
          <w:szCs w:val="18"/>
        </w:rPr>
        <w:t>-2024.1.7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>
        <w:rPr>
          <w:spacing w:val="3"/>
          <w:sz w:val="18"/>
          <w:szCs w:val="18"/>
        </w:rPr>
        <w:t>《科技重塑文旅夜游生态，福建省公</w:t>
      </w:r>
      <w:r>
        <w:rPr>
          <w:spacing w:val="9"/>
          <w:sz w:val="18"/>
          <w:szCs w:val="18"/>
        </w:rPr>
        <w:t xml:space="preserve"> </w:t>
      </w:r>
      <w:r>
        <w:rPr>
          <w:spacing w:val="3"/>
          <w:sz w:val="18"/>
          <w:szCs w:val="18"/>
        </w:rPr>
        <w:t>布首批学科类培训机构“白名单”—</w:t>
      </w:r>
      <w:r>
        <w:rPr>
          <w:spacing w:val="12"/>
          <w:sz w:val="18"/>
          <w:szCs w:val="18"/>
        </w:rPr>
        <w:t xml:space="preserve"> </w:t>
      </w:r>
      <w:r>
        <w:rPr>
          <w:spacing w:val="-8"/>
          <w:sz w:val="18"/>
          <w:szCs w:val="18"/>
        </w:rPr>
        <w:t>行业周报》</w:t>
      </w:r>
      <w:r>
        <w:rPr>
          <w:spacing w:val="2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8"/>
          <w:szCs w:val="18"/>
        </w:rPr>
        <w:t>-2024.1.1</w:t>
      </w:r>
    </w:p>
    <w:p>
      <w:pPr>
        <w:pStyle w:val="BodyText"/>
        <w:spacing w:before="100" w:line="286" w:lineRule="auto"/>
        <w:ind w:left="749" w:right="126" w:hanging="13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spacing w:val="3"/>
          <w:sz w:val="18"/>
          <w:szCs w:val="18"/>
        </w:rPr>
        <w:t>《寒假教培迎招生及游学旺季，关注</w:t>
      </w:r>
      <w:r>
        <w:rPr>
          <w:spacing w:val="9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沉浸式文旅及美容仪优质供应商—行</w:t>
      </w:r>
      <w:r>
        <w:rPr>
          <w:spacing w:val="14"/>
          <w:sz w:val="18"/>
          <w:szCs w:val="18"/>
        </w:rPr>
        <w:t xml:space="preserve"> </w:t>
      </w:r>
      <w:r>
        <w:rPr>
          <w:spacing w:val="-8"/>
          <w:sz w:val="18"/>
          <w:szCs w:val="18"/>
        </w:rPr>
        <w:t>业周报》</w:t>
      </w:r>
      <w:r>
        <w:rPr>
          <w:spacing w:val="1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8"/>
          <w:szCs w:val="18"/>
        </w:rPr>
        <w:t>-2023.12.24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7" w:line="232" w:lineRule="auto"/>
        <w:ind w:left="38"/>
        <w:rPr>
          <w:sz w:val="31"/>
          <w:szCs w:val="31"/>
        </w:rPr>
      </w:pPr>
      <w:r>
        <w:rPr>
          <w:spacing w:val="3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深入剖析潮玩行业两大趋势，“出海”</w:t>
      </w:r>
      <w:r>
        <w:rPr>
          <w:rFonts w:ascii="Times New Roman" w:eastAsia="Times New Roman" w:hAnsi="Times New Roman" w:cs="Times New Roman"/>
          <w:b/>
          <w:bCs/>
          <w:spacing w:val="3"/>
          <w:sz w:val="31"/>
          <w:szCs w:val="31"/>
        </w:rPr>
        <w:t>+</w:t>
      </w:r>
      <w:r>
        <w:rPr>
          <w:rFonts w:ascii="Times New Roman" w:eastAsia="Times New Roman" w:hAnsi="Times New Roman" w:cs="Times New Roman"/>
          <w:b/>
          <w:bCs/>
          <w:spacing w:val="69"/>
          <w:sz w:val="31"/>
          <w:szCs w:val="31"/>
        </w:rPr>
        <w:t xml:space="preserve"> </w:t>
      </w:r>
      <w:r>
        <w:rPr>
          <w:spacing w:val="3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“多元”</w:t>
      </w:r>
    </w:p>
    <w:p>
      <w:pPr>
        <w:pStyle w:val="BodyText"/>
        <w:spacing w:before="253" w:line="221" w:lineRule="auto"/>
        <w:ind w:left="5033"/>
        <w:rPr>
          <w:sz w:val="28"/>
          <w:szCs w:val="28"/>
        </w:rPr>
      </w:pPr>
      <w:r>
        <w:rPr>
          <w:spacing w:val="1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——行业深度报告</w:t>
      </w:r>
    </w:p>
    <w:p>
      <w:pPr>
        <w:spacing w:line="116" w:lineRule="exact"/>
      </w:pPr>
    </w:p>
    <w:tbl>
      <w:tblPr>
        <w:tblStyle w:val="TableNormal"/>
        <w:tblW w:w="742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74"/>
        <w:gridCol w:w="5255"/>
      </w:tblGrid>
      <w:tr>
        <w:tblPrEx>
          <w:tblW w:w="742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25"/>
        </w:trPr>
        <w:tc>
          <w:tcPr>
            <w:tcW w:w="2174" w:type="dxa"/>
            <w:tcBorders>
              <w:top w:val="single" w:sz="2" w:space="0" w:color="000000"/>
            </w:tcBorders>
            <w:vAlign w:val="top"/>
          </w:tcPr>
          <w:p>
            <w:pPr>
              <w:spacing w:before="159" w:line="218" w:lineRule="auto"/>
              <w:ind w:left="2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初敏（分析师）</w:t>
            </w:r>
          </w:p>
        </w:tc>
        <w:tc>
          <w:tcPr>
            <w:tcW w:w="5255" w:type="dxa"/>
            <w:tcBorders>
              <w:top w:val="single" w:sz="2" w:space="0" w:color="000000"/>
            </w:tcBorders>
            <w:vAlign w:val="top"/>
          </w:tcPr>
          <w:p>
            <w:pPr>
              <w:spacing w:before="159" w:line="216" w:lineRule="auto"/>
              <w:ind w:left="406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李睿娴（联系人）</w:t>
            </w:r>
          </w:p>
        </w:tc>
      </w:tr>
      <w:tr>
        <w:tblPrEx>
          <w:tblW w:w="7429" w:type="dxa"/>
          <w:tblInd w:w="0" w:type="dxa"/>
          <w:tblLayout w:type="fixed"/>
        </w:tblPrEx>
        <w:trPr>
          <w:trHeight w:val="260"/>
        </w:trPr>
        <w:tc>
          <w:tcPr>
            <w:tcW w:w="2174" w:type="dxa"/>
            <w:vAlign w:val="top"/>
          </w:tcPr>
          <w:p>
            <w:pPr>
              <w:spacing w:before="61" w:line="190" w:lineRule="auto"/>
              <w:ind w:left="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chumin@kysec.cn</w:t>
            </w:r>
          </w:p>
        </w:tc>
        <w:tc>
          <w:tcPr>
            <w:tcW w:w="5255" w:type="dxa"/>
            <w:vAlign w:val="top"/>
          </w:tcPr>
          <w:p>
            <w:pPr>
              <w:spacing w:before="61" w:line="190" w:lineRule="auto"/>
              <w:ind w:left="3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liruixian@kysec.cn</w:t>
            </w:r>
          </w:p>
        </w:tc>
      </w:tr>
      <w:tr>
        <w:tblPrEx>
          <w:tblW w:w="7429" w:type="dxa"/>
          <w:tblInd w:w="0" w:type="dxa"/>
          <w:tblLayout w:type="fixed"/>
        </w:tblPrEx>
        <w:trPr>
          <w:trHeight w:val="219"/>
        </w:trPr>
        <w:tc>
          <w:tcPr>
            <w:tcW w:w="2174" w:type="dxa"/>
            <w:tcBorders>
              <w:bottom w:val="single" w:sz="2" w:space="0" w:color="000000"/>
            </w:tcBorders>
            <w:vAlign w:val="top"/>
          </w:tcPr>
          <w:p>
            <w:pPr>
              <w:spacing w:before="36" w:line="212" w:lineRule="auto"/>
              <w:ind w:left="1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4"/>
                <w:sz w:val="15"/>
                <w:szCs w:val="15"/>
              </w:rPr>
              <w:t>证书编号：</w:t>
            </w:r>
            <w:r>
              <w:rPr>
                <w:rFonts w:ascii="KaiTi" w:eastAsia="KaiTi" w:hAnsi="KaiTi" w:cs="KaiTi"/>
                <w:spacing w:val="-4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5"/>
                <w:szCs w:val="15"/>
              </w:rPr>
              <w:t>S0790522080008</w:t>
            </w:r>
          </w:p>
        </w:tc>
        <w:tc>
          <w:tcPr>
            <w:tcW w:w="5255" w:type="dxa"/>
            <w:tcBorders>
              <w:bottom w:val="single" w:sz="2" w:space="0" w:color="000000"/>
            </w:tcBorders>
            <w:vAlign w:val="top"/>
          </w:tcPr>
          <w:p>
            <w:pPr>
              <w:spacing w:before="36" w:line="212" w:lineRule="auto"/>
              <w:ind w:left="396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KaiTi" w:eastAsia="KaiTi" w:hAnsi="KaiTi" w:cs="KaiTi"/>
                <w:spacing w:val="-4"/>
                <w:sz w:val="15"/>
                <w:szCs w:val="15"/>
              </w:rPr>
              <w:t>证书编号：</w:t>
            </w:r>
            <w:r>
              <w:rPr>
                <w:rFonts w:ascii="KaiTi" w:eastAsia="KaiTi" w:hAnsi="KaiTi" w:cs="KaiTi"/>
                <w:spacing w:val="-4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5"/>
                <w:szCs w:val="15"/>
              </w:rPr>
              <w:t>S0790122120005</w:t>
            </w:r>
          </w:p>
        </w:tc>
      </w:tr>
    </w:tbl>
    <w:p>
      <w:pPr>
        <w:pStyle w:val="BodyText"/>
        <w:spacing w:before="164" w:line="213" w:lineRule="auto"/>
        <w:ind w:left="32"/>
      </w:pPr>
      <w:r>
        <w:rPr>
          <w:rFonts w:ascii="Wingdings" w:eastAsia="Wingdings" w:hAnsi="Wingdings" w:cs="Wingdings"/>
          <w:color w:val="C00000"/>
          <w:spacing w:val="-3"/>
        </w:rPr>
        <w:t>.</w:t>
      </w:r>
      <w:r>
        <w:rPr>
          <w:color w:val="C00000"/>
          <w:spacing w:val="-3"/>
          <w14:textOutline w14:w="3831">
            <w14:solidFill>
              <w14:srgbClr w14:val="C00000"/>
            </w14:solidFill>
            <w14:prstDash w14:val="solid"/>
            <w14:round/>
          </w14:textOutline>
        </w:rPr>
        <w:t>供应链和推新是潮玩行业核心壁垒，低成本“情绪满足”看好长期发展</w:t>
      </w:r>
    </w:p>
    <w:p>
      <w:pPr>
        <w:pStyle w:val="BodyText"/>
        <w:spacing w:before="56" w:line="271" w:lineRule="auto"/>
        <w:ind w:left="19" w:right="67" w:firstLine="16"/>
        <w:jc w:val="both"/>
      </w:pP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沙利文数据显示，</w:t>
      </w:r>
      <w:r>
        <w:rPr>
          <w:rFonts w:ascii="Times New Roman" w:eastAsia="Times New Roman" w:hAnsi="Times New Roman" w:cs="Times New Roman"/>
          <w:b/>
          <w:bCs/>
          <w:spacing w:val="-3"/>
        </w:rPr>
        <w:t>2021</w:t>
      </w:r>
      <w:r>
        <w:rPr>
          <w:rFonts w:ascii="Times New Roman" w:eastAsia="Times New Roman" w:hAnsi="Times New Roman" w:cs="Times New Roman"/>
          <w:b/>
          <w:bCs/>
          <w:spacing w:val="26"/>
        </w:rP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年中国潮玩市场规模为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>345</w:t>
      </w:r>
      <w:r>
        <w:rPr>
          <w:rFonts w:ascii="Times New Roman" w:eastAsia="Times New Roman" w:hAnsi="Times New Roman" w:cs="Times New Roman"/>
          <w:b/>
          <w:bCs/>
          <w:spacing w:val="22"/>
        </w:rP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亿元，</w:t>
      </w:r>
      <w:r>
        <w:rPr>
          <w:spacing w:val="-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>2017-2021</w:t>
      </w:r>
      <w:r>
        <w:rPr>
          <w:rFonts w:ascii="Times New Roman" w:eastAsia="Times New Roman" w:hAnsi="Times New Roman" w:cs="Times New Roman"/>
          <w:b/>
          <w:bCs/>
          <w:spacing w:val="26"/>
        </w:rP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年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>CAG</w:t>
      </w:r>
      <w:r>
        <w:rPr>
          <w:rFonts w:ascii="Times New Roman" w:eastAsia="Times New Roman" w:hAnsi="Times New Roman" w:cs="Times New Roman"/>
          <w:b/>
          <w:bCs/>
          <w:spacing w:val="-4"/>
        </w:rPr>
        <w:t xml:space="preserve">R 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达到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33%</w:t>
      </w:r>
      <w:r>
        <w:rPr>
          <w:spacing w:val="-1"/>
        </w:rPr>
        <w:t>，整体潮玩行业在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2019-2021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spacing w:val="-1"/>
        </w:rPr>
        <w:t>年经历快速增长期。</w:t>
      </w:r>
      <w:r>
        <w:rPr>
          <w:rFonts w:ascii="Times New Roman" w:eastAsia="Times New Roman" w:hAnsi="Times New Roman" w:cs="Times New Roman"/>
          <w:spacing w:val="-1"/>
        </w:rPr>
        <w:t>2022</w:t>
      </w:r>
      <w:r>
        <w:rPr>
          <w:rFonts w:ascii="Times New Roman" w:eastAsia="Times New Roman" w:hAnsi="Times New Roman" w:cs="Times New Roman"/>
          <w:spacing w:val="21"/>
          <w:w w:val="101"/>
        </w:rPr>
        <w:t xml:space="preserve"> </w:t>
      </w:r>
      <w:r>
        <w:rPr>
          <w:spacing w:val="-1"/>
        </w:rPr>
        <w:t>年受疫情及潮</w:t>
      </w:r>
      <w:r>
        <w:rPr>
          <w:spacing w:val="-1"/>
        </w:rPr>
        <w:t xml:space="preserve"> </w:t>
      </w:r>
      <w:r>
        <w:rPr>
          <w:spacing w:val="-8"/>
        </w:rPr>
        <w:t>玩热度降温的影响，</w:t>
      </w:r>
      <w:r>
        <w:rPr>
          <w:spacing w:val="-36"/>
        </w:rPr>
        <w:t xml:space="preserve"> </w:t>
      </w:r>
      <w:r>
        <w:rPr>
          <w:spacing w:val="-8"/>
        </w:rPr>
        <w:t>约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1500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8"/>
        </w:rPr>
        <w:t>家潮玩门店关闭，</w:t>
      </w:r>
      <w:r>
        <w:rPr>
          <w:spacing w:val="-46"/>
        </w:rPr>
        <w:t xml:space="preserve"> </w:t>
      </w:r>
      <w:r>
        <w:rPr>
          <w:spacing w:val="-8"/>
        </w:rPr>
        <w:t>行业尾部供给出清，柔性供应链、</w:t>
      </w:r>
      <w:r>
        <w:t xml:space="preserve"> </w:t>
      </w:r>
      <w:r>
        <w:rPr>
          <w:spacing w:val="-7"/>
        </w:rPr>
        <w:t>持续推新、社交属性成为行业的核心壁垒。同时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以日为鉴，</w:t>
      </w:r>
      <w:r>
        <w:rPr>
          <w:spacing w:val="53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附带情绪共鸣及治愈</w:t>
      </w:r>
      <w:r>
        <w:rPr>
          <w:spacing w:val="-7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感的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IP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产品在经济下行期仍具有一定抗周期属性。</w:t>
      </w:r>
      <w:r>
        <w:rPr>
          <w:spacing w:val="-28"/>
        </w:rPr>
        <w:t xml:space="preserve"> </w:t>
      </w:r>
      <w:r>
        <w:rPr>
          <w:spacing w:val="-2"/>
        </w:rPr>
        <w:t>行业增速趋稳后，头部玩家</w:t>
      </w:r>
      <w:r>
        <w:rPr>
          <w:spacing w:val="-2"/>
        </w:rPr>
        <w:t xml:space="preserve"> </w:t>
      </w:r>
      <w:r>
        <w:rPr>
          <w:spacing w:val="-1"/>
        </w:rPr>
        <w:t>积极探索两大新的增长极——潮玩全球化和业务多元化。</w:t>
      </w:r>
    </w:p>
    <w:p>
      <w:pPr>
        <w:pStyle w:val="BodyText"/>
        <w:spacing w:before="147" w:line="213" w:lineRule="auto"/>
        <w:ind w:left="32"/>
      </w:pPr>
      <w:r>
        <w:rPr>
          <w:rFonts w:ascii="Wingdings" w:eastAsia="Wingdings" w:hAnsi="Wingdings" w:cs="Wingdings"/>
          <w:color w:val="C00000"/>
          <w:spacing w:val="-12"/>
        </w:rPr>
        <w:t>.</w:t>
      </w:r>
      <w:r>
        <w:rPr>
          <w:rFonts w:ascii="Wingdings" w:eastAsia="Wingdings" w:hAnsi="Wingdings" w:cs="Wingdings"/>
          <w:color w:val="C00000"/>
          <w:spacing w:val="-54"/>
        </w:rPr>
        <w:t xml:space="preserve"> </w:t>
      </w:r>
      <w:r>
        <w:rPr>
          <w:color w:val="C00000"/>
          <w:spacing w:val="-12"/>
          <w14:textOutline w14:w="3831">
            <w14:solidFill>
              <w14:srgbClr w14:val="C00000"/>
            </w14:solidFill>
            <w14:prstDash w14:val="solid"/>
            <w14:round/>
          </w14:textOutline>
        </w:rPr>
        <w:t>“出海”：中国文创</w:t>
      </w:r>
      <w:r>
        <w:rPr>
          <w:color w:val="C00000"/>
          <w:spacing w:val="-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pacing w:val="-12"/>
        </w:rPr>
        <w:t>IP</w:t>
      </w:r>
      <w:r>
        <w:rPr>
          <w:rFonts w:ascii="Times New Roman" w:eastAsia="Times New Roman" w:hAnsi="Times New Roman" w:cs="Times New Roman"/>
          <w:b/>
          <w:bCs/>
          <w:color w:val="C00000"/>
          <w:spacing w:val="33"/>
          <w:w w:val="101"/>
        </w:rPr>
        <w:t xml:space="preserve"> </w:t>
      </w:r>
      <w:r>
        <w:rPr>
          <w:color w:val="C00000"/>
          <w:spacing w:val="-12"/>
          <w14:textOutline w14:w="3831">
            <w14:solidFill>
              <w14:srgbClr w14:val="C00000"/>
            </w14:solidFill>
            <w14:prstDash w14:val="solid"/>
            <w14:round/>
          </w14:textOutline>
        </w:rPr>
        <w:t>出海空间广阔，重点发力北</w:t>
      </w:r>
      <w:r>
        <w:rPr>
          <w:color w:val="C00000"/>
          <w:spacing w:val="-13"/>
          <w14:textOutline w14:w="3831">
            <w14:solidFill>
              <w14:srgbClr w14:val="C00000"/>
            </w14:solidFill>
            <w14:prstDash w14:val="solid"/>
            <w14:round/>
          </w14:textOutline>
        </w:rPr>
        <w:t>美及东南亚市场</w:t>
      </w:r>
    </w:p>
    <w:p>
      <w:pPr>
        <w:pStyle w:val="BodyText"/>
        <w:spacing w:before="58" w:line="273" w:lineRule="auto"/>
        <w:ind w:left="17" w:right="144"/>
        <w:jc w:val="both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根据玩具行业协会数据，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2022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年全球玩具市场规模为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107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4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亿美元</w:t>
      </w:r>
      <w:r>
        <w:rPr>
          <w:spacing w:val="-2"/>
        </w:rPr>
        <w:t>，格局相对分</w:t>
      </w:r>
      <w:r>
        <w:t xml:space="preserve"> </w:t>
      </w:r>
      <w:r>
        <w:rPr>
          <w:spacing w:val="-5"/>
        </w:rPr>
        <w:t>散，</w:t>
      </w:r>
      <w:r>
        <w:rPr>
          <w:spacing w:val="-14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CR5</w:t>
      </w:r>
      <w:r>
        <w:rPr>
          <w:rFonts w:ascii="Times New Roman" w:eastAsia="Times New Roman" w:hAnsi="Times New Roman" w:cs="Times New Roman"/>
          <w:spacing w:val="39"/>
        </w:rPr>
        <w:t xml:space="preserve"> </w:t>
      </w:r>
      <w:r>
        <w:rPr>
          <w:spacing w:val="-5"/>
        </w:rPr>
        <w:t>占比合计仅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26.5%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5"/>
        </w:rPr>
        <w:t>。从地区分布来看，美国市场占比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34.5%</w:t>
      </w:r>
      <w:r>
        <w:rPr>
          <w:spacing w:val="-5"/>
        </w:rPr>
        <w:t>，为全球第</w:t>
      </w:r>
      <w:r>
        <w:t xml:space="preserve"> </w:t>
      </w:r>
      <w:r>
        <w:rPr>
          <w:spacing w:val="-5"/>
        </w:rPr>
        <w:t>一大玩具市场；从接受程度来看，</w:t>
      </w:r>
      <w:r>
        <w:rPr>
          <w:spacing w:val="-5"/>
        </w:rPr>
        <w:t xml:space="preserve"> </w:t>
      </w:r>
      <w:r>
        <w:rPr>
          <w:spacing w:val="-5"/>
        </w:rPr>
        <w:t>东南亚市场或有望最先</w:t>
      </w:r>
      <w:r>
        <w:rPr>
          <w:spacing w:val="-6"/>
        </w:rPr>
        <w:t>复制国内四年前的潮玩</w:t>
      </w:r>
      <w:r>
        <w:t xml:space="preserve"> </w:t>
      </w:r>
      <w:r>
        <w:rPr>
          <w:spacing w:val="-9"/>
        </w:rPr>
        <w:t>热，</w:t>
      </w:r>
      <w:r>
        <w:rPr>
          <w:spacing w:val="-27"/>
        </w:rPr>
        <w:t xml:space="preserve"> </w:t>
      </w:r>
      <w:r>
        <w:rPr>
          <w:spacing w:val="-9"/>
        </w:rPr>
        <w:t>泡泡玛特新加坡展会超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2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9"/>
        </w:rPr>
        <w:t>万人入场，</w:t>
      </w:r>
      <w:r>
        <w:rPr>
          <w:spacing w:val="-48"/>
        </w:rPr>
        <w:t xml:space="preserve"> </w:t>
      </w:r>
      <w:r>
        <w:rPr>
          <w:spacing w:val="-9"/>
        </w:rPr>
        <w:t>泰国首店首日营业额破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200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9"/>
        </w:rPr>
        <w:t>万元，</w:t>
      </w:r>
      <w:r>
        <w:rPr>
          <w:spacing w:val="-43"/>
        </w:rPr>
        <w:t xml:space="preserve"> </w:t>
      </w:r>
      <w:r>
        <w:rPr>
          <w:spacing w:val="-9"/>
        </w:rPr>
        <w:t>北美</w:t>
      </w:r>
      <w:r>
        <w:t xml:space="preserve"> </w:t>
      </w:r>
      <w:r>
        <w:rPr>
          <w:spacing w:val="-1"/>
        </w:rPr>
        <w:t>及东南亚市场发展空间广阔。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2022  </w:t>
      </w:r>
      <w:r>
        <w:rPr>
          <w:spacing w:val="-1"/>
        </w:rPr>
        <w:t>年乐高、孩之</w:t>
      </w:r>
      <w:r>
        <w:rPr>
          <w:spacing w:val="-2"/>
        </w:rPr>
        <w:t>宝、美泰三大玩具巨头的海外</w:t>
      </w:r>
      <w:r>
        <w:t xml:space="preserve"> </w:t>
      </w:r>
      <w:r>
        <w:t>收入占比分别为</w:t>
      </w:r>
      <w:r>
        <w:t xml:space="preserve"> </w:t>
      </w:r>
      <w:r>
        <w:rPr>
          <w:rFonts w:ascii="Times New Roman" w:eastAsia="Times New Roman" w:hAnsi="Times New Roman" w:cs="Times New Roman"/>
        </w:rPr>
        <w:t>60%/42%/41%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-1"/>
        </w:rPr>
        <w:t>。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中国潮玩出海不只是产品的出海，更是潮玩文</w:t>
      </w:r>
      <w: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化和商业模式的出海。</w:t>
      </w:r>
      <w:r>
        <w:rPr>
          <w:spacing w:val="42"/>
        </w:rPr>
        <w:t xml:space="preserve"> </w:t>
      </w:r>
      <w:r>
        <w:rPr>
          <w:spacing w:val="-7"/>
        </w:rPr>
        <w:t>背靠中国供应链优势（供应全球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75%</w:t>
      </w:r>
      <w:r>
        <w:rPr>
          <w:spacing w:val="-8"/>
        </w:rPr>
        <w:t>的玩具</w:t>
      </w:r>
      <w:r>
        <w:rPr>
          <w:spacing w:val="-7"/>
        </w:rPr>
        <w:t>），</w:t>
      </w:r>
      <w:r>
        <w:rPr>
          <w:spacing w:val="-8"/>
        </w:rPr>
        <w:t>通过产品</w:t>
      </w:r>
      <w:r>
        <w:t xml:space="preserve"> </w:t>
      </w:r>
      <w:r>
        <w:rPr>
          <w:spacing w:val="-4"/>
        </w:rPr>
        <w:t>本地化和艺术家本地化，</w:t>
      </w:r>
      <w:r>
        <w:rPr>
          <w:spacing w:val="-4"/>
        </w:rPr>
        <w:t xml:space="preserve"> </w:t>
      </w:r>
      <w:r>
        <w:rPr>
          <w:spacing w:val="-4"/>
        </w:rPr>
        <w:t>头部企业有望站稳海外</w:t>
      </w:r>
      <w:r>
        <w:rPr>
          <w:spacing w:val="-5"/>
        </w:rPr>
        <w:t>、长足发展。</w:t>
      </w:r>
    </w:p>
    <w:p>
      <w:pPr>
        <w:pStyle w:val="BodyText"/>
        <w:spacing w:before="154" w:line="213" w:lineRule="auto"/>
        <w:ind w:left="32"/>
      </w:pPr>
      <w:r>
        <w:rPr>
          <w:rFonts w:ascii="Wingdings" w:eastAsia="Wingdings" w:hAnsi="Wingdings" w:cs="Wingdings"/>
          <w:color w:val="C00000"/>
          <w:spacing w:val="-14"/>
        </w:rPr>
        <w:t>.</w:t>
      </w:r>
      <w:r>
        <w:rPr>
          <w:rFonts w:ascii="Wingdings" w:eastAsia="Wingdings" w:hAnsi="Wingdings" w:cs="Wingdings"/>
          <w:color w:val="C00000"/>
          <w:spacing w:val="-44"/>
        </w:rPr>
        <w:t xml:space="preserve"> </w:t>
      </w:r>
      <w:r>
        <w:rPr>
          <w:color w:val="C00000"/>
          <w:spacing w:val="-14"/>
          <w14:textOutline w14:w="3831">
            <w14:solidFill>
              <w14:srgbClr w14:val="C00000"/>
            </w14:solidFill>
            <w14:prstDash w14:val="solid"/>
            <w14:round/>
          </w14:textOutline>
        </w:rPr>
        <w:t>“多元”：以</w:t>
      </w:r>
      <w:r>
        <w:rPr>
          <w:color w:val="C00000"/>
          <w:spacing w:val="-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pacing w:val="-14"/>
        </w:rPr>
        <w:t>IP</w:t>
      </w:r>
      <w:r>
        <w:rPr>
          <w:rFonts w:ascii="Times New Roman" w:eastAsia="Times New Roman" w:hAnsi="Times New Roman" w:cs="Times New Roman"/>
          <w:b/>
          <w:bCs/>
          <w:color w:val="C00000"/>
          <w:spacing w:val="15"/>
          <w:w w:val="101"/>
        </w:rPr>
        <w:t xml:space="preserve"> </w:t>
      </w:r>
      <w:r>
        <w:rPr>
          <w:color w:val="C00000"/>
          <w:spacing w:val="-14"/>
          <w14:textOutline w14:w="3831">
            <w14:solidFill>
              <w14:srgbClr w14:val="C00000"/>
            </w14:solidFill>
            <w14:prstDash w14:val="solid"/>
            <w14:round/>
          </w14:textOutline>
        </w:rPr>
        <w:t>为核心，</w:t>
      </w:r>
      <w:r>
        <w:rPr>
          <w:color w:val="C00000"/>
          <w:spacing w:val="-14"/>
        </w:rPr>
        <w:t xml:space="preserve"> </w:t>
      </w:r>
      <w:r>
        <w:rPr>
          <w:color w:val="C00000"/>
          <w:spacing w:val="-14"/>
          <w14:textOutline w14:w="3831">
            <w14:solidFill>
              <w14:srgbClr w14:val="C00000"/>
            </w14:solidFill>
            <w14:prstDash w14:val="solid"/>
            <w14:round/>
          </w14:textOutline>
        </w:rPr>
        <w:t>布局授权、改编、乐园三大业务蓬勃</w:t>
      </w:r>
      <w:r>
        <w:rPr>
          <w:color w:val="C00000"/>
          <w:spacing w:val="-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pacing w:val="-14"/>
        </w:rPr>
        <w:t>IP</w:t>
      </w:r>
      <w:r>
        <w:rPr>
          <w:rFonts w:ascii="Times New Roman" w:eastAsia="Times New Roman" w:hAnsi="Times New Roman" w:cs="Times New Roman"/>
          <w:b/>
          <w:bCs/>
          <w:color w:val="C00000"/>
          <w:spacing w:val="15"/>
        </w:rPr>
        <w:t xml:space="preserve"> </w:t>
      </w:r>
      <w:r>
        <w:rPr>
          <w:color w:val="C00000"/>
          <w:spacing w:val="-14"/>
          <w14:textOutline w14:w="3831">
            <w14:solidFill>
              <w14:srgbClr w14:val="C00000"/>
            </w14:solidFill>
            <w14:prstDash w14:val="solid"/>
            <w14:round/>
          </w14:textOutline>
        </w:rPr>
        <w:t>生命力</w:t>
      </w:r>
    </w:p>
    <w:p>
      <w:pPr>
        <w:pStyle w:val="BodyText"/>
        <w:spacing w:before="57" w:line="273" w:lineRule="auto"/>
        <w:ind w:left="19" w:right="144" w:firstLine="18"/>
      </w:pPr>
      <w:r>
        <w:rPr>
          <w:spacing w:val="-5"/>
        </w:rPr>
        <w:t>回看迪士尼等巨头公司发展史，</w:t>
      </w:r>
      <w:r>
        <w:rPr>
          <w:spacing w:val="30"/>
        </w:rPr>
        <w:t xml:space="preserve"> </w:t>
      </w:r>
      <w:r>
        <w:rPr>
          <w:spacing w:val="-5"/>
        </w:rPr>
        <w:t>以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IP</w:t>
      </w:r>
      <w:r>
        <w:rPr>
          <w:rFonts w:ascii="Times New Roman" w:eastAsia="Times New Roman" w:hAnsi="Times New Roman" w:cs="Times New Roman"/>
          <w:spacing w:val="41"/>
          <w:w w:val="101"/>
        </w:rPr>
        <w:t xml:space="preserve"> </w:t>
      </w:r>
      <w:r>
        <w:rPr>
          <w:spacing w:val="-5"/>
        </w:rPr>
        <w:t>为核心搭建综合商业框架，多维</w:t>
      </w:r>
      <w:r>
        <w:rPr>
          <w:spacing w:val="-6"/>
        </w:rPr>
        <w:t>业务相互</w:t>
      </w:r>
      <w:r>
        <w:t xml:space="preserve"> </w:t>
      </w:r>
      <w:r>
        <w:rPr>
          <w:spacing w:val="-7"/>
        </w:rPr>
        <w:t>赋能，</w:t>
      </w:r>
      <w:r>
        <w:rPr>
          <w:spacing w:val="-7"/>
        </w:rPr>
        <w:t xml:space="preserve"> </w:t>
      </w:r>
      <w:r>
        <w:rPr>
          <w:spacing w:val="-7"/>
        </w:rPr>
        <w:t>是放大</w:t>
      </w:r>
      <w:r>
        <w:rPr>
          <w:spacing w:val="-14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IP</w:t>
      </w:r>
      <w:r>
        <w:rPr>
          <w:rFonts w:ascii="Times New Roman" w:eastAsia="Times New Roman" w:hAnsi="Times New Roman" w:cs="Times New Roman"/>
          <w:spacing w:val="39"/>
          <w:w w:val="101"/>
        </w:rPr>
        <w:t xml:space="preserve"> </w:t>
      </w:r>
      <w:r>
        <w:rPr>
          <w:spacing w:val="-7"/>
        </w:rPr>
        <w:t>商业价值、延长生命周期的关键。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7"/>
        </w:rPr>
        <w:t>1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）</w:t>
      </w:r>
      <w:r>
        <w:rPr>
          <w:rFonts w:ascii="Times New Roman" w:eastAsia="Times New Roman" w:hAnsi="Times New Roman" w:cs="Times New Roman"/>
          <w:b/>
          <w:bCs/>
          <w:spacing w:val="-7"/>
        </w:rPr>
        <w:t>IP</w:t>
      </w:r>
      <w:r>
        <w:rPr>
          <w:rFonts w:ascii="Times New Roman" w:eastAsia="Times New Roman" w:hAnsi="Times New Roman" w:cs="Times New Roman"/>
          <w:b/>
          <w:bCs/>
          <w:spacing w:val="27"/>
          <w:w w:val="101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授权</w:t>
      </w:r>
      <w:r>
        <w:rPr>
          <w:spacing w:val="-7"/>
        </w:rPr>
        <w:t>，预计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2022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-7"/>
        </w:rPr>
        <w:t>年</w:t>
      </w:r>
      <w:r>
        <w:t xml:space="preserve"> </w:t>
      </w:r>
      <w:r>
        <w:rPr>
          <w:spacing w:val="-4"/>
        </w:rPr>
        <w:t>中国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IP </w:t>
      </w:r>
      <w:r>
        <w:rPr>
          <w:spacing w:val="-4"/>
        </w:rPr>
        <w:t>授权市场规模将突破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1000 </w:t>
      </w:r>
      <w:r>
        <w:rPr>
          <w:spacing w:val="-4"/>
        </w:rPr>
        <w:t>亿元，授权业务高</w:t>
      </w:r>
      <w:r>
        <w:rPr>
          <w:spacing w:val="-5"/>
        </w:rPr>
        <w:t>利润，</w:t>
      </w:r>
      <w:r>
        <w:rPr>
          <w:spacing w:val="-31"/>
        </w:rPr>
        <w:t xml:space="preserve"> </w:t>
      </w:r>
      <w:r>
        <w:rPr>
          <w:spacing w:val="-5"/>
        </w:rPr>
        <w:t>联名经济下有望成为</w:t>
      </w:r>
      <w:r>
        <w:t xml:space="preserve"> </w:t>
      </w:r>
      <w:r>
        <w:rPr>
          <w:rFonts w:ascii="Times New Roman" w:eastAsia="Times New Roman" w:hAnsi="Times New Roman" w:cs="Times New Roman"/>
          <w:spacing w:val="-4"/>
        </w:rPr>
        <w:t>IP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</w:t>
      </w:r>
      <w:r>
        <w:rPr>
          <w:spacing w:val="-4"/>
        </w:rPr>
        <w:t>业务拓展的重点方向。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4"/>
        </w:rPr>
        <w:t>2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）</w:t>
      </w:r>
      <w:r>
        <w:rPr>
          <w:rFonts w:ascii="Times New Roman" w:eastAsia="Times New Roman" w:hAnsi="Times New Roman" w:cs="Times New Roman"/>
          <w:b/>
          <w:bCs/>
          <w:spacing w:val="-4"/>
        </w:rPr>
        <w:t>IP</w:t>
      </w:r>
      <w:r>
        <w:rPr>
          <w:rFonts w:ascii="Times New Roman" w:eastAsia="Times New Roman" w:hAnsi="Times New Roman" w:cs="Times New Roman"/>
          <w:b/>
          <w:bCs/>
          <w:spacing w:val="21"/>
          <w:w w:val="101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改编</w:t>
      </w:r>
      <w:r>
        <w:rPr>
          <w:spacing w:val="-4"/>
        </w:rPr>
        <w:t>，</w:t>
      </w:r>
      <w:r>
        <w:rPr>
          <w:rFonts w:ascii="Times New Roman" w:eastAsia="Times New Roman" w:hAnsi="Times New Roman" w:cs="Times New Roman"/>
          <w:spacing w:val="-4"/>
        </w:rPr>
        <w:t xml:space="preserve">2019 </w:t>
      </w:r>
      <w:r>
        <w:rPr>
          <w:spacing w:val="-4"/>
        </w:rPr>
        <w:t>年中国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IP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</w:t>
      </w:r>
      <w:r>
        <w:rPr>
          <w:spacing w:val="-4"/>
        </w:rPr>
        <w:t>改编市场规</w:t>
      </w:r>
      <w:r>
        <w:rPr>
          <w:spacing w:val="-5"/>
        </w:rPr>
        <w:t>模为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3080 </w:t>
      </w:r>
      <w:r>
        <w:rPr>
          <w:spacing w:val="-5"/>
        </w:rPr>
        <w:t>亿</w:t>
      </w:r>
      <w:r>
        <w:t xml:space="preserve"> </w:t>
      </w:r>
      <w:r>
        <w:rPr>
          <w:spacing w:val="-2"/>
        </w:rPr>
        <w:t>元，预计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2019-2024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2"/>
        </w:rPr>
        <w:t>年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CGAR</w:t>
      </w:r>
      <w:r>
        <w:rPr>
          <w:rFonts w:ascii="Times New Roman" w:eastAsia="Times New Roman" w:hAnsi="Times New Roman" w:cs="Times New Roman"/>
          <w:spacing w:val="21"/>
          <w:w w:val="101"/>
        </w:rPr>
        <w:t xml:space="preserve"> </w:t>
      </w:r>
      <w:r>
        <w:rPr>
          <w:spacing w:val="-2"/>
        </w:rPr>
        <w:t>为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13.8%</w:t>
      </w:r>
      <w:r>
        <w:rPr>
          <w:spacing w:val="-2"/>
        </w:rPr>
        <w:t>，双十一游戏等内容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IP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2"/>
        </w:rPr>
        <w:t>销售崛起复盘国</w:t>
      </w:r>
      <w:r>
        <w:t xml:space="preserve"> </w:t>
      </w:r>
      <w:r>
        <w:rPr>
          <w:spacing w:val="-4"/>
        </w:rPr>
        <w:t>际巨头，主要通过收并购影视</w:t>
      </w:r>
      <w:r>
        <w:rPr>
          <w:rFonts w:ascii="Times New Roman" w:eastAsia="Times New Roman" w:hAnsi="Times New Roman" w:cs="Times New Roman"/>
          <w:spacing w:val="-4"/>
        </w:rPr>
        <w:t>/</w:t>
      </w:r>
      <w:r>
        <w:rPr>
          <w:spacing w:val="-4"/>
        </w:rPr>
        <w:t>游戏制作公司开拓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IP</w:t>
      </w:r>
      <w:r>
        <w:rPr>
          <w:rFonts w:ascii="Times New Roman" w:eastAsia="Times New Roman" w:hAnsi="Times New Roman" w:cs="Times New Roman"/>
          <w:spacing w:val="21"/>
          <w:w w:val="101"/>
        </w:rPr>
        <w:t xml:space="preserve"> </w:t>
      </w:r>
      <w:r>
        <w:rPr>
          <w:spacing w:val="-4"/>
        </w:rPr>
        <w:t>改编市场。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4"/>
        </w:rPr>
        <w:t>3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）主题乐园</w:t>
      </w:r>
      <w:r>
        <w:rPr>
          <w:spacing w:val="-4"/>
        </w:rPr>
        <w:t>，</w:t>
      </w:r>
      <w:r>
        <w:t xml:space="preserve"> </w:t>
      </w:r>
      <w:r>
        <w:rPr>
          <w:spacing w:val="-5"/>
        </w:rPr>
        <w:t>前期乐园主要起营销作用，同时带动二消，</w:t>
      </w:r>
      <w:r>
        <w:rPr>
          <w:spacing w:val="-39"/>
        </w:rPr>
        <w:t xml:space="preserve"> </w:t>
      </w:r>
      <w:r>
        <w:rPr>
          <w:spacing w:val="-5"/>
        </w:rPr>
        <w:t>后期形成粉丝线下互动</w:t>
      </w:r>
      <w:r>
        <w:rPr>
          <w:spacing w:val="-6"/>
        </w:rPr>
        <w:t>闭环，放大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IP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1"/>
        </w:rPr>
        <w:t>影响力，迪士尼乐园和三丽鸥乐园二消收入占比分别为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70%</w:t>
      </w:r>
      <w:r>
        <w:rPr>
          <w:spacing w:val="-1"/>
        </w:rPr>
        <w:t>和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65%</w:t>
      </w:r>
      <w:r>
        <w:rPr>
          <w:spacing w:val="-1"/>
        </w:rPr>
        <w:t>。</w:t>
      </w:r>
    </w:p>
    <w:p>
      <w:pPr>
        <w:pStyle w:val="BodyText"/>
        <w:spacing w:before="151" w:line="221" w:lineRule="auto"/>
        <w:ind w:left="32"/>
      </w:pPr>
      <w:r>
        <w:rPr>
          <w:rFonts w:ascii="Wingdings" w:eastAsia="Wingdings" w:hAnsi="Wingdings" w:cs="Wingdings"/>
          <w:color w:val="C00000"/>
          <w:spacing w:val="-6"/>
        </w:rPr>
        <w:t>.</w:t>
      </w:r>
      <w:r>
        <w:rPr>
          <w:color w:val="C00000"/>
          <w:spacing w:val="-6"/>
          <w14:textOutline w14:w="3831">
            <w14:solidFill>
              <w14:srgbClr w14:val="C00000"/>
            </w14:solidFill>
            <w14:prstDash w14:val="solid"/>
            <w14:round/>
          </w14:textOutline>
        </w:rPr>
        <w:t>受益标的：泡泡玛特、名创优品、奥飞娱乐</w:t>
      </w:r>
    </w:p>
    <w:p>
      <w:pPr>
        <w:pStyle w:val="BodyText"/>
        <w:spacing w:before="50" w:line="270" w:lineRule="auto"/>
        <w:ind w:left="19" w:right="60" w:firstLine="28"/>
        <w:jc w:val="both"/>
        <w:sectPr>
          <w:headerReference w:type="default" r:id="rId7"/>
          <w:footerReference w:type="default" r:id="rId8"/>
          <w:type w:val="continuous"/>
          <w:pgSz w:w="11907" w:h="16839"/>
          <w:pgMar w:top="1039" w:right="573" w:bottom="1138" w:left="0" w:header="396" w:footer="839" w:gutter="0"/>
          <w:pgNumType w:start="2"/>
          <w:cols w:num="2" w:space="708" w:equalWidth="0">
            <w:col w:w="3804" w:space="100"/>
            <w:col w:w="7430" w:space="0"/>
          </w:cols>
        </w:sectPr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中国文创出海空间广阔，</w:t>
      </w:r>
      <w:r>
        <w:rPr>
          <w:spacing w:val="-24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看好以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>IP</w:t>
      </w:r>
      <w:r>
        <w:rPr>
          <w:rFonts w:ascii="Times New Roman" w:eastAsia="Times New Roman" w:hAnsi="Times New Roman" w:cs="Times New Roman"/>
          <w:b/>
          <w:bCs/>
          <w:spacing w:val="15"/>
          <w:w w:val="101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为核心布局全产业链，</w:t>
      </w:r>
      <w:r>
        <w:rPr>
          <w:spacing w:val="26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同时具备供应链及渠</w:t>
      </w:r>
      <w:r>
        <w:t xml:space="preserve"> 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道优势的行业龙头。（</w:t>
      </w:r>
      <w:r>
        <w:rPr>
          <w:rFonts w:ascii="Times New Roman" w:eastAsia="Times New Roman" w:hAnsi="Times New Roman" w:cs="Times New Roman"/>
          <w:b/>
          <w:bCs/>
          <w:spacing w:val="-5"/>
        </w:rPr>
        <w:t>1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）泡泡玛特：</w:t>
      </w:r>
      <w:r>
        <w:rPr>
          <w:spacing w:val="-5"/>
        </w:rPr>
        <w:t>国内抖音以及海外业</w:t>
      </w:r>
      <w:r>
        <w:rPr>
          <w:spacing w:val="-6"/>
        </w:rPr>
        <w:t>务快速起量，聚焦全球</w:t>
      </w:r>
      <w:r>
        <w:t xml:space="preserve"> </w:t>
      </w:r>
      <w:r>
        <w:rPr>
          <w:spacing w:val="-11"/>
        </w:rPr>
        <w:t>化、集团化两大战略，</w:t>
      </w:r>
      <w:r>
        <w:rPr>
          <w:spacing w:val="-10"/>
        </w:rPr>
        <w:t xml:space="preserve"> </w:t>
      </w:r>
      <w:r>
        <w:rPr>
          <w:spacing w:val="-11"/>
        </w:rPr>
        <w:t>积极布局乐园、游戏等多元业务，</w:t>
      </w:r>
      <w:r>
        <w:rPr>
          <w:spacing w:val="-11"/>
        </w:rPr>
        <w:t xml:space="preserve"> </w:t>
      </w:r>
      <w:r>
        <w:rPr>
          <w:spacing w:val="-11"/>
        </w:rPr>
        <w:t>丰富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IP</w:t>
      </w:r>
      <w:r>
        <w:rPr>
          <w:rFonts w:ascii="Times New Roman" w:eastAsia="Times New Roman" w:hAnsi="Times New Roman" w:cs="Times New Roman"/>
          <w:spacing w:val="39"/>
        </w:rPr>
        <w:t xml:space="preserve"> </w:t>
      </w:r>
      <w:r>
        <w:rPr>
          <w:spacing w:val="-11"/>
        </w:rPr>
        <w:t>内容，</w:t>
      </w:r>
      <w:r>
        <w:rPr>
          <w:spacing w:val="-44"/>
        </w:rPr>
        <w:t xml:space="preserve"> </w:t>
      </w:r>
      <w:r>
        <w:rPr>
          <w:spacing w:val="-11"/>
        </w:rPr>
        <w:t>转型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IP+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spacing w:val="-8"/>
        </w:rPr>
        <w:t>泛娱乐公司。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8"/>
        </w:rPr>
        <w:t>2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）名创优品：</w:t>
      </w:r>
      <w:r>
        <w:rPr>
          <w:spacing w:val="52"/>
        </w:rPr>
        <w:t xml:space="preserve"> </w:t>
      </w:r>
      <w:r>
        <w:rPr>
          <w:spacing w:val="-8"/>
        </w:rPr>
        <w:t>全球渠道及供应链优势显著，国内以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TOP TOY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-8"/>
        </w:rPr>
        <w:t>孵</w:t>
      </w:r>
      <w:r>
        <w:t xml:space="preserve"> </w:t>
      </w:r>
    </w:p>
    <w:p>
      <w:pPr>
        <w:pStyle w:val="BodyText"/>
        <w:spacing w:before="50" w:line="270" w:lineRule="auto"/>
        <w:ind w:left="19" w:right="60" w:firstLine="28"/>
        <w:jc w:val="both"/>
      </w:pPr>
      <w:r>
        <w:rPr>
          <w:spacing w:val="-10"/>
        </w:rPr>
        <w:t>化自有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IP</w:t>
      </w:r>
      <w:r>
        <w:rPr>
          <w:spacing w:val="-10"/>
        </w:rPr>
        <w:t>，打造潮玩集合店；海外以名创优品品牌为先，产品多为国际大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IP</w:t>
      </w:r>
      <w:r>
        <w:rPr>
          <w:spacing w:val="-10"/>
        </w:rPr>
        <w:t>。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10"/>
        </w:rPr>
        <w:t>3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round/>
          </w14:textOutline>
        </w:rPr>
        <w:t>）</w:t>
      </w:r>
      <w:r>
        <w:t xml:space="preserve"> 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奥飞娱乐：</w:t>
      </w:r>
      <w:r>
        <w:rPr>
          <w:spacing w:val="58"/>
        </w:rPr>
        <w:t xml:space="preserve"> </w:t>
      </w:r>
      <w:r>
        <w:rPr>
          <w:spacing w:val="-6"/>
        </w:rPr>
        <w:t>玩具厂商转型内容王者，与头部游戏合作探索新兴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IP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-6"/>
        </w:rPr>
        <w:t>授权。</w:t>
      </w:r>
    </w:p>
    <w:p>
      <w:pPr>
        <w:pStyle w:val="BodyText"/>
        <w:spacing w:before="235" w:line="233" w:lineRule="auto"/>
        <w:ind w:left="20" w:right="157" w:firstLine="11"/>
      </w:pPr>
      <w:r>
        <w:rPr>
          <w:rFonts w:ascii="Wingdings" w:eastAsia="Wingdings" w:hAnsi="Wingdings" w:cs="Wingdings"/>
          <w:color w:val="C00000"/>
          <w:spacing w:val="1"/>
          <w:sz w:val="19"/>
          <w:szCs w:val="19"/>
        </w:rPr>
        <w:t>.</w:t>
      </w:r>
      <w:r>
        <w:rPr>
          <w:color w:val="C00000"/>
          <w:spacing w:val="1"/>
          <w14:textOutline w14:w="3831">
            <w14:solidFill>
              <w14:srgbClr w14:val="C00000"/>
            </w14:solidFill>
            <w14:prstDash w14:val="solid"/>
            <w14:round/>
          </w14:textOutline>
        </w:rPr>
        <w:t>风险提示：</w:t>
      </w: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全球化推进不及预期、海外文化或宗教差异、国内宏观经济波动</w:t>
      </w:r>
      <w:r>
        <w:rPr>
          <w:spacing w:val="2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较大、</w:t>
      </w:r>
      <w:r>
        <w:rPr>
          <w:spacing w:val="-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 xml:space="preserve">IP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推新不及预期等。</w:t>
      </w:r>
    </w:p>
    <w:p>
      <w:pPr>
        <w:spacing w:line="233" w:lineRule="auto"/>
        <w:sectPr>
          <w:headerReference w:type="default" r:id="rId9"/>
          <w:footerReference w:type="default" r:id="rId10"/>
          <w:type w:val="nextPage"/>
          <w:pgSz w:w="11907" w:h="16839"/>
          <w:pgMar w:top="1039" w:right="573" w:bottom="1138" w:left="0" w:header="396" w:footer="839" w:gutter="0"/>
          <w:pgNumType w:start="3"/>
          <w:cols w:num="2" w:space="708" w:equalWidth="0">
            <w:col w:w="3804" w:space="100"/>
            <w:col w:w="7430" w:space="0"/>
          </w:cols>
          <w:titlePg w:val="0"/>
        </w:sectPr>
      </w:pPr>
    </w:p>
    <w:sdt>
      <w:sdtPr>
        <w:rPr>
          <w:rFonts w:ascii="Arial" w:eastAsia="Arial" w:hAnsi="Arial" w:cs="Arial"/>
          <w:sz w:val="21"/>
          <w:szCs w:val="21"/>
        </w:rPr>
        <w:id w:val="15417560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spacing w:before="323" w:line="219" w:lineRule="auto"/>
            <w:ind w:left="4839"/>
            <w:rPr>
              <w:sz w:val="30"/>
              <w:szCs w:val="30"/>
            </w:rPr>
          </w:pPr>
          <w:r>
            <w:rPr>
              <w:color w:val="000080"/>
              <w:spacing w:val="-39"/>
              <w:sz w:val="30"/>
              <w:szCs w:val="30"/>
              <w14:textOutline w14:w="5442">
                <w14:solidFill>
                  <w14:srgbClr w14:val="000080"/>
                </w14:solidFill>
                <w14:prstDash w14:val="solid"/>
                <w14:round/>
              </w14:textOutline>
            </w:rPr>
            <w:t>目</w:t>
          </w:r>
          <w:r>
            <w:rPr>
              <w:color w:val="000080"/>
              <w:spacing w:val="16"/>
              <w:sz w:val="30"/>
              <w:szCs w:val="30"/>
            </w:rPr>
            <w:t xml:space="preserve">  </w:t>
          </w:r>
          <w:r>
            <w:rPr>
              <w:color w:val="000080"/>
              <w:spacing w:val="-39"/>
              <w:sz w:val="30"/>
              <w:szCs w:val="30"/>
              <w14:textOutline w14:w="5442">
                <w14:solidFill>
                  <w14:srgbClr w14:val="000080"/>
                </w14:solidFill>
                <w14:prstDash w14:val="solid"/>
                <w14:round/>
              </w14:textOutline>
            </w:rPr>
            <w:t>录</w:t>
          </w:r>
        </w:p>
        <w:p>
          <w:pPr>
            <w:pStyle w:val="BodyText"/>
            <w:tabs>
              <w:tab w:val="right" w:leader="dot" w:pos="10420"/>
            </w:tabs>
            <w:spacing w:before="163" w:line="221" w:lineRule="auto"/>
            <w:ind w:left="2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1</w:t>
          </w:r>
          <w:r>
            <w:rPr>
              <w:rFonts w:ascii="Times New Roman" w:eastAsia="Times New Roman" w:hAnsi="Times New Roman" w:cs="Times New Roman"/>
              <w:spacing w:val="-17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、</w:t>
          </w:r>
          <w:r>
            <w:rPr>
              <w:spacing w:val="43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中国潮玩市场：国内供给尾部出清，受益于治愈经济</w:t>
          </w:r>
          <w:r>
            <w:rPr>
              <w:spacing w:val="-6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4" w:line="221" w:lineRule="auto"/>
            <w:ind w:left="42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1.1</w:t>
          </w:r>
          <w:r>
            <w:rPr>
              <w:rFonts w:ascii="Times New Roman" w:eastAsia="Times New Roman" w:hAnsi="Times New Roman" w:cs="Times New Roman"/>
              <w:spacing w:val="-23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、</w:t>
          </w:r>
          <w:r>
            <w:rPr>
              <w:spacing w:val="43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国内市场：潮玩降温尾部出清，格局优化强</w:t>
          </w:r>
          <w:r>
            <w:rPr>
              <w:spacing w:val="5"/>
              <w:sz w:val="19"/>
              <w:szCs w:val="19"/>
            </w:rPr>
            <w:t>者愈强</w:t>
          </w:r>
          <w:r>
            <w:rPr>
              <w:spacing w:val="-6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4" w:line="227" w:lineRule="auto"/>
            <w:ind w:left="819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1.1.1</w:t>
          </w:r>
          <w:r>
            <w:rPr>
              <w:rFonts w:ascii="Times New Roman" w:eastAsia="Times New Roman" w:hAnsi="Times New Roman" w:cs="Times New Roman"/>
              <w:spacing w:val="-24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、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市场规模：</w:t>
          </w:r>
          <w:r>
            <w:rPr>
              <w:spacing w:val="17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盲盒引领潮玩市场快增</w:t>
          </w:r>
          <w:r>
            <w:rPr>
              <w:spacing w:val="-7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78" w:line="221" w:lineRule="auto"/>
            <w:ind w:left="819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z w:val="19"/>
              <w:szCs w:val="19"/>
            </w:rPr>
            <w:t>1.1.2</w:t>
          </w:r>
          <w:r>
            <w:rPr>
              <w:rFonts w:ascii="Times New Roman" w:eastAsia="Times New Roman" w:hAnsi="Times New Roman" w:cs="Times New Roman"/>
              <w:spacing w:val="-2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、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消费客群：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15-40</w:t>
          </w:r>
          <w:r>
            <w:rPr>
              <w:rFonts w:ascii="Times New Roman" w:eastAsia="Times New Roman" w:hAnsi="Times New Roman" w:cs="Times New Roman"/>
              <w:spacing w:val="2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岁为主，渗透</w:t>
          </w:r>
          <w:r>
            <w:rPr>
              <w:spacing w:val="-1"/>
              <w:sz w:val="19"/>
              <w:szCs w:val="19"/>
            </w:rPr>
            <w:t>率持续提升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5" w:line="221" w:lineRule="auto"/>
            <w:ind w:left="819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1.1.3</w:t>
          </w:r>
          <w:r>
            <w:rPr>
              <w:rFonts w:ascii="Times New Roman" w:eastAsia="Times New Roman" w:hAnsi="Times New Roman" w:cs="Times New Roman"/>
              <w:spacing w:val="-23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、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竞争格局：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全产业链玩家壁垒深厚，部分尾部玩家出清</w:t>
          </w:r>
          <w:r>
            <w:rPr>
              <w:spacing w:val="-5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4" w:line="236" w:lineRule="auto"/>
            <w:ind w:left="42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1.2</w:t>
          </w:r>
          <w:r>
            <w:rPr>
              <w:rFonts w:ascii="Times New Roman" w:eastAsia="Times New Roman" w:hAnsi="Times New Roman" w:cs="Times New Roman"/>
              <w:spacing w:val="-13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、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行业壁垒：供应链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+</w:t>
          </w:r>
          <w:r>
            <w:rPr>
              <w:spacing w:val="7"/>
              <w:sz w:val="19"/>
              <w:szCs w:val="19"/>
            </w:rPr>
            <w:t>推新能力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+</w:t>
          </w:r>
          <w:r>
            <w:rPr>
              <w:spacing w:val="7"/>
              <w:sz w:val="19"/>
              <w:szCs w:val="19"/>
            </w:rPr>
            <w:t>社交属性，构筑三重壁垒</w:t>
          </w:r>
          <w:r>
            <w:rPr>
              <w:spacing w:val="-4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69" w:line="221" w:lineRule="auto"/>
            <w:ind w:left="819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1.2.1</w:t>
          </w:r>
          <w:r>
            <w:rPr>
              <w:rFonts w:ascii="Times New Roman" w:eastAsia="Times New Roman" w:hAnsi="Times New Roman" w:cs="Times New Roman"/>
              <w:spacing w:val="-25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、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壁垒一：供应链，周期长投入高</w:t>
          </w:r>
          <w:r>
            <w:rPr>
              <w:spacing w:val="-7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1" w:lineRule="auto"/>
            <w:ind w:left="819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1.2.2</w:t>
          </w:r>
          <w:r>
            <w:rPr>
              <w:rFonts w:ascii="Times New Roman" w:eastAsia="Times New Roman" w:hAnsi="Times New Roman" w:cs="Times New Roman"/>
              <w:spacing w:val="-26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、</w:t>
          </w:r>
          <w:r>
            <w:rPr>
              <w:spacing w:val="28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壁垒二：持续推新，</w:t>
          </w:r>
          <w:r>
            <w:rPr>
              <w:spacing w:val="54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搭建设计师平台为持续造血打下</w:t>
          </w:r>
          <w:r>
            <w:rPr>
              <w:spacing w:val="1"/>
              <w:sz w:val="19"/>
              <w:szCs w:val="19"/>
            </w:rPr>
            <w:t>地基</w:t>
          </w:r>
          <w:r>
            <w:rPr>
              <w:spacing w:val="-5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1" w:lineRule="auto"/>
            <w:ind w:left="819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z w:val="19"/>
              <w:szCs w:val="19"/>
            </w:rPr>
            <w:t>1.2.3</w:t>
          </w:r>
          <w:r>
            <w:rPr>
              <w:rFonts w:ascii="Times New Roman" w:eastAsia="Times New Roman" w:hAnsi="Times New Roman" w:cs="Times New Roman"/>
              <w:spacing w:val="-1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、</w:t>
          </w:r>
          <w:r>
            <w:rPr>
              <w:spacing w:val="2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壁垒三：社交属性，</w:t>
          </w:r>
          <w:r>
            <w:rPr>
              <w:spacing w:val="8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以潮流为标签形成独特圈层文化</w:t>
          </w:r>
          <w:r>
            <w:rPr>
              <w:spacing w:val="-5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1" w:lineRule="auto"/>
            <w:ind w:left="42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1.3</w:t>
          </w:r>
          <w:r>
            <w:rPr>
              <w:rFonts w:ascii="Times New Roman" w:eastAsia="Times New Roman" w:hAnsi="Times New Roman" w:cs="Times New Roman"/>
              <w:spacing w:val="-9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、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行业展望：产品具备情绪价值，以日为鉴有望保持增长</w:t>
          </w:r>
          <w:r>
            <w:rPr>
              <w:spacing w:val="-6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1" w:lineRule="auto"/>
            <w:ind w:left="819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1.3.1</w:t>
          </w:r>
          <w:r>
            <w:rPr>
              <w:rFonts w:ascii="Times New Roman" w:eastAsia="Times New Roman" w:hAnsi="Times New Roman" w:cs="Times New Roman"/>
              <w:spacing w:val="-21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、</w:t>
          </w:r>
          <w:r>
            <w:rPr>
              <w:spacing w:val="3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治愈经济：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社会转型期，压力较大的年轻人寻求慰藉感</w:t>
          </w:r>
          <w:r>
            <w:rPr>
              <w:spacing w:val="-5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1" w:lineRule="auto"/>
            <w:ind w:left="819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1.3.2</w:t>
          </w:r>
          <w:r>
            <w:rPr>
              <w:rFonts w:ascii="Times New Roman" w:eastAsia="Times New Roman" w:hAnsi="Times New Roman" w:cs="Times New Roman"/>
              <w:spacing w:val="-27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、</w:t>
          </w:r>
          <w:r>
            <w:rPr>
              <w:spacing w:val="46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以日为鉴：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经济下行期仍保持增长，具</w:t>
          </w:r>
          <w:r>
            <w:rPr>
              <w:spacing w:val="2"/>
              <w:sz w:val="19"/>
              <w:szCs w:val="19"/>
            </w:rPr>
            <w:t>备一定抗周期性</w:t>
          </w:r>
          <w:r>
            <w:rPr>
              <w:spacing w:val="-5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1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2</w:t>
          </w:r>
          <w:r>
            <w:rPr>
              <w:rFonts w:ascii="Times New Roman" w:eastAsia="Times New Roman" w:hAnsi="Times New Roman" w:cs="Times New Roman"/>
              <w:spacing w:val="-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、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趋势一：全面出海，传播中国潮流文化，搭建全球潮玩平台</w:t>
          </w:r>
          <w:r>
            <w:rPr>
              <w:spacing w:val="-6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1" w:lineRule="auto"/>
            <w:ind w:left="401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z w:val="19"/>
              <w:szCs w:val="19"/>
            </w:rPr>
            <w:t>2.1</w:t>
          </w:r>
          <w:r>
            <w:rPr>
              <w:rFonts w:ascii="Times New Roman" w:eastAsia="Times New Roman" w:hAnsi="Times New Roman" w:cs="Times New Roman"/>
              <w:spacing w:val="-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、</w:t>
          </w:r>
          <w:r>
            <w:rPr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全球市场：空间广阔，</w:t>
          </w:r>
          <w:r>
            <w:rPr>
              <w:sz w:val="19"/>
              <w:szCs w:val="19"/>
            </w:rPr>
            <w:t xml:space="preserve">  </w:t>
          </w:r>
          <w:r>
            <w:rPr>
              <w:sz w:val="19"/>
              <w:szCs w:val="19"/>
            </w:rPr>
            <w:t>中国潮玩找准差异化定位</w:t>
          </w:r>
          <w:r>
            <w:rPr>
              <w:spacing w:val="-6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6" w:lineRule="auto"/>
            <w:ind w:left="80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2.1.1</w:t>
          </w:r>
          <w:r>
            <w:rPr>
              <w:rFonts w:ascii="Times New Roman" w:eastAsia="Times New Roman" w:hAnsi="Times New Roman" w:cs="Times New Roman"/>
              <w:spacing w:val="-14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、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全球规模：</w:t>
          </w:r>
          <w:r>
            <w:rPr>
              <w:spacing w:val="26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关注北美及东南亚市场</w:t>
          </w:r>
          <w:r>
            <w:rPr>
              <w:spacing w:val="-7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1" w:lineRule="auto"/>
            <w:ind w:left="80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2.1.2</w:t>
          </w:r>
          <w:r>
            <w:rPr>
              <w:rFonts w:ascii="Times New Roman" w:eastAsia="Times New Roman" w:hAnsi="Times New Roman" w:cs="Times New Roman"/>
              <w:spacing w:val="-20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、</w:t>
          </w:r>
          <w:r>
            <w:rPr>
              <w:spacing w:val="30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海外格局：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全球竞争相对分散，找准差异化定位</w:t>
          </w:r>
          <w:r>
            <w:rPr>
              <w:spacing w:val="-6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1" w:lineRule="auto"/>
            <w:ind w:left="401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z w:val="19"/>
              <w:szCs w:val="19"/>
            </w:rPr>
            <w:t>2.2</w:t>
          </w:r>
          <w:r>
            <w:rPr>
              <w:rFonts w:ascii="Times New Roman" w:eastAsia="Times New Roman" w:hAnsi="Times New Roman" w:cs="Times New Roman"/>
              <w:spacing w:val="-1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、</w:t>
          </w:r>
          <w:r>
            <w:rPr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零售全球化：</w:t>
          </w:r>
          <w:r>
            <w:rPr>
              <w:sz w:val="19"/>
              <w:szCs w:val="19"/>
            </w:rPr>
            <w:t xml:space="preserve">  </w:t>
          </w:r>
          <w:r>
            <w:rPr>
              <w:sz w:val="19"/>
              <w:szCs w:val="19"/>
            </w:rPr>
            <w:t>全渠道为织网，</w:t>
          </w:r>
          <w:r>
            <w:rPr>
              <w:spacing w:val="1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产品本土化为核心</w:t>
          </w:r>
          <w:r>
            <w:rPr>
              <w:spacing w:val="-7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1" w:lineRule="auto"/>
            <w:ind w:left="80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2.2.1</w:t>
          </w:r>
          <w:r>
            <w:rPr>
              <w:rFonts w:ascii="Times New Roman" w:eastAsia="Times New Roman" w:hAnsi="Times New Roman" w:cs="Times New Roman"/>
              <w:spacing w:val="-26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、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全球渠道：</w:t>
          </w:r>
          <w:r>
            <w:rPr>
              <w:spacing w:val="3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东南亚为出海重地，</w:t>
          </w:r>
          <w:r>
            <w:rPr>
              <w:spacing w:val="4"/>
              <w:sz w:val="19"/>
              <w:szCs w:val="19"/>
            </w:rPr>
            <w:t>经销及线上渠道先行、实体店跟随</w:t>
          </w:r>
          <w:r>
            <w:rPr>
              <w:spacing w:val="-4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1" w:lineRule="auto"/>
            <w:ind w:left="80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-1"/>
              <w:sz w:val="19"/>
              <w:szCs w:val="19"/>
            </w:rPr>
            <w:t>2.2.2</w:t>
          </w:r>
          <w:r>
            <w:rPr>
              <w:rFonts w:ascii="Times New Roman" w:eastAsia="Times New Roman" w:hAnsi="Times New Roman" w:cs="Times New Roman"/>
              <w:spacing w:val="-21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、</w:t>
          </w:r>
          <w:r>
            <w:rPr>
              <w:spacing w:val="29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海外推广：</w:t>
          </w:r>
          <w:r>
            <w:rPr>
              <w:spacing w:val="-1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本土化为核心，</w:t>
          </w:r>
          <w:r>
            <w:rPr>
              <w:spacing w:val="24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结合海外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14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打造全新市场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21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1" w:lineRule="auto"/>
            <w:ind w:left="401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2.3</w:t>
          </w:r>
          <w:r>
            <w:rPr>
              <w:rFonts w:ascii="Times New Roman" w:eastAsia="Times New Roman" w:hAnsi="Times New Roman" w:cs="Times New Roman"/>
              <w:spacing w:val="-2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、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平台全球化：</w:t>
          </w:r>
          <w:r>
            <w:rPr>
              <w:spacing w:val="39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中国供应链优势，为海外艺术家搭建变现平台</w:t>
          </w:r>
          <w:r>
            <w:rPr>
              <w:spacing w:val="-6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22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5" w:lineRule="auto"/>
            <w:ind w:left="80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2.3.1</w:t>
          </w:r>
          <w:r>
            <w:rPr>
              <w:rFonts w:ascii="Times New Roman" w:eastAsia="Times New Roman" w:hAnsi="Times New Roman" w:cs="Times New Roman"/>
              <w:spacing w:val="-12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、</w:t>
          </w:r>
          <w:r>
            <w:rPr>
              <w:spacing w:val="43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中国供应链：享成本及工艺双重优势</w:t>
          </w:r>
          <w:r>
            <w:rPr>
              <w:spacing w:val="-7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22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1" w:lineRule="auto"/>
            <w:ind w:left="80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2.3.2</w:t>
          </w:r>
          <w:r>
            <w:rPr>
              <w:rFonts w:ascii="Times New Roman" w:eastAsia="Times New Roman" w:hAnsi="Times New Roman" w:cs="Times New Roman"/>
              <w:spacing w:val="-12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、</w:t>
          </w:r>
          <w:r>
            <w:rPr>
              <w:spacing w:val="29"/>
              <w:w w:val="101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海外艺术家：下一步发掘海外独立艺术家，提供潮玩变现渠道</w:t>
          </w:r>
          <w:r>
            <w:rPr>
              <w:spacing w:val="-5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23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1" w:lineRule="auto"/>
            <w:ind w:left="4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3</w:t>
          </w:r>
          <w:r>
            <w:rPr>
              <w:rFonts w:ascii="Times New Roman" w:eastAsia="Times New Roman" w:hAnsi="Times New Roman" w:cs="Times New Roman"/>
              <w:spacing w:val="-20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、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趋势二：多元布局，从世界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  </w:t>
          </w:r>
          <w:r>
            <w:rPr>
              <w:spacing w:val="6"/>
              <w:sz w:val="19"/>
              <w:szCs w:val="19"/>
            </w:rPr>
            <w:t>巨头看生命力蓬勃之道</w:t>
          </w:r>
          <w:r>
            <w:rPr>
              <w:spacing w:val="-4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24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1" w:lineRule="auto"/>
            <w:ind w:left="405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3.1</w:t>
          </w:r>
          <w:r>
            <w:rPr>
              <w:rFonts w:ascii="Times New Roman" w:eastAsia="Times New Roman" w:hAnsi="Times New Roman" w:cs="Times New Roman"/>
              <w:spacing w:val="-19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、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他山之石：回看四大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公司发展史，从单一业务走向多元娱乐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24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1" w:lineRule="auto"/>
            <w:ind w:left="804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3.1.1</w:t>
          </w:r>
          <w:r>
            <w:rPr>
              <w:rFonts w:ascii="Times New Roman" w:eastAsia="Times New Roman" w:hAnsi="Times New Roman" w:cs="Times New Roman"/>
              <w:spacing w:val="-13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、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迪士尼：米老鼠起家，全球娱乐业的巨型航母</w:t>
          </w:r>
          <w:r>
            <w:rPr>
              <w:spacing w:val="-6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25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24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36" w:lineRule="auto"/>
            <w:ind w:left="804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3.1.2</w:t>
          </w:r>
          <w:r>
            <w:rPr>
              <w:rFonts w:ascii="Times New Roman" w:eastAsia="Times New Roman" w:hAnsi="Times New Roman" w:cs="Times New Roman"/>
              <w:spacing w:val="-23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、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三丽鸥：形象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代表，授权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+</w:t>
          </w:r>
          <w:r>
            <w:rPr>
              <w:spacing w:val="7"/>
              <w:sz w:val="19"/>
              <w:szCs w:val="19"/>
            </w:rPr>
            <w:t>乐园生态完备</w:t>
          </w:r>
          <w:r>
            <w:rPr>
              <w:spacing w:val="-5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26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26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0" w:line="221" w:lineRule="auto"/>
            <w:ind w:left="804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3.1.3</w:t>
          </w:r>
          <w:r>
            <w:rPr>
              <w:rFonts w:ascii="Times New Roman" w:eastAsia="Times New Roman" w:hAnsi="Times New Roman" w:cs="Times New Roman"/>
              <w:spacing w:val="-20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、</w:t>
          </w:r>
          <w:r>
            <w:rPr>
              <w:spacing w:val="26"/>
              <w:w w:val="101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万代：几经曲折，</w:t>
          </w:r>
          <w:r>
            <w:rPr>
              <w:spacing w:val="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轴战略站上新高度</w:t>
          </w:r>
          <w:r>
            <w:rPr>
              <w:spacing w:val="-5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27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1" w:lineRule="auto"/>
            <w:ind w:left="804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3.1.4</w:t>
          </w:r>
          <w:r>
            <w:rPr>
              <w:rFonts w:ascii="Times New Roman" w:eastAsia="Times New Roman" w:hAnsi="Times New Roman" w:cs="Times New Roman"/>
              <w:spacing w:val="-27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、</w:t>
          </w:r>
          <w:r>
            <w:rPr>
              <w:spacing w:val="4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乐高：积木巨头打造全球版图</w:t>
          </w:r>
          <w:r>
            <w:rPr>
              <w:spacing w:val="3"/>
              <w:sz w:val="19"/>
              <w:szCs w:val="19"/>
            </w:rPr>
            <w:t>，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“</w:t>
          </w:r>
          <w:r>
            <w:rPr>
              <w:spacing w:val="3"/>
              <w:sz w:val="19"/>
              <w:szCs w:val="19"/>
            </w:rPr>
            <w:t>创造力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”+“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Kidult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”</w:t>
          </w:r>
          <w:r>
            <w:rPr>
              <w:spacing w:val="3"/>
              <w:sz w:val="19"/>
              <w:szCs w:val="19"/>
            </w:rPr>
            <w:t>是关键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28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30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3" w:lineRule="auto"/>
            <w:ind w:left="405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3.2</w:t>
          </w:r>
          <w:r>
            <w:rPr>
              <w:rFonts w:ascii="Times New Roman" w:eastAsia="Times New Roman" w:hAnsi="Times New Roman" w:cs="Times New Roman"/>
              <w:spacing w:val="-24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、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+</w:t>
          </w:r>
          <w:r>
            <w:rPr>
              <w:spacing w:val="3"/>
              <w:sz w:val="19"/>
              <w:szCs w:val="19"/>
            </w:rPr>
            <w:t>泛娱乐布局：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“</w:t>
          </w:r>
          <w:r>
            <w:rPr>
              <w:spacing w:val="3"/>
              <w:sz w:val="19"/>
              <w:szCs w:val="19"/>
            </w:rPr>
            <w:t>形象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”</w:t>
          </w:r>
          <w:r>
            <w:rPr>
              <w:spacing w:val="3"/>
              <w:sz w:val="19"/>
              <w:szCs w:val="19"/>
            </w:rPr>
            <w:t>向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“</w:t>
          </w:r>
          <w:r>
            <w:rPr>
              <w:rFonts w:ascii="Times New Roman" w:eastAsia="Times New Roman" w:hAnsi="Times New Roman" w:cs="Times New Roman"/>
              <w:spacing w:val="-15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内容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”</w:t>
          </w:r>
          <w:r>
            <w:rPr>
              <w:spacing w:val="3"/>
              <w:sz w:val="19"/>
              <w:szCs w:val="19"/>
            </w:rPr>
            <w:t>延伸的三</w:t>
          </w:r>
          <w:r>
            <w:rPr>
              <w:spacing w:val="2"/>
              <w:sz w:val="19"/>
              <w:szCs w:val="19"/>
            </w:rPr>
            <w:t>大路径</w:t>
          </w:r>
          <w:r>
            <w:rPr>
              <w:spacing w:val="-7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29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32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2" w:line="221" w:lineRule="auto"/>
            <w:ind w:left="804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3.2.1</w:t>
          </w:r>
          <w:r>
            <w:rPr>
              <w:rFonts w:ascii="Times New Roman" w:eastAsia="Times New Roman" w:hAnsi="Times New Roman" w:cs="Times New Roman"/>
              <w:spacing w:val="-14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、</w:t>
          </w:r>
          <w:r>
            <w:rPr>
              <w:spacing w:val="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授权：差异化营销手段，</w:t>
          </w:r>
          <w:r>
            <w:rPr>
              <w:spacing w:val="36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空间广、利润高</w:t>
          </w:r>
          <w:r>
            <w:rPr>
              <w:spacing w:val="-4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30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32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1" w:lineRule="auto"/>
            <w:ind w:left="804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3.2.2</w:t>
          </w:r>
          <w:r>
            <w:rPr>
              <w:rFonts w:ascii="Times New Roman" w:eastAsia="Times New Roman" w:hAnsi="Times New Roman" w:cs="Times New Roman"/>
              <w:spacing w:val="-26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、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22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改编：赋予形象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16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故事性，迈入</w:t>
          </w:r>
          <w:r>
            <w:rPr>
              <w:spacing w:val="6"/>
              <w:sz w:val="19"/>
              <w:szCs w:val="19"/>
            </w:rPr>
            <w:t>娱乐市场新格局</w:t>
          </w:r>
          <w:r>
            <w:rPr>
              <w:spacing w:val="-7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31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33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1" w:lineRule="auto"/>
            <w:ind w:left="804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3.2.3</w:t>
          </w:r>
          <w:r>
            <w:rPr>
              <w:rFonts w:ascii="Times New Roman" w:eastAsia="Times New Roman" w:hAnsi="Times New Roman" w:cs="Times New Roman"/>
              <w:spacing w:val="-26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、</w:t>
          </w:r>
          <w:r>
            <w:rPr>
              <w:spacing w:val="44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乐园：线下互动闭环，放大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影响力</w:t>
          </w:r>
          <w:r>
            <w:rPr>
              <w:spacing w:val="-5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32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35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4</w:t>
          </w:r>
          <w:r>
            <w:rPr>
              <w:rFonts w:ascii="Times New Roman" w:eastAsia="Times New Roman" w:hAnsi="Times New Roman" w:cs="Times New Roman"/>
              <w:spacing w:val="-18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、</w:t>
          </w:r>
          <w:r>
            <w:rPr>
              <w:spacing w:val="33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受益标的：</w:t>
          </w:r>
          <w:r>
            <w:rPr>
              <w:spacing w:val="26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泡泡玛特、名创优品、奥飞娱乐</w:t>
          </w:r>
          <w:r>
            <w:rPr>
              <w:spacing w:val="-7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33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39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7" w:line="221" w:lineRule="auto"/>
            <w:ind w:left="400"/>
            <w:rPr>
              <w:rFonts w:ascii="Times New Roman" w:eastAsia="Times New Roman" w:hAnsi="Times New Roman" w:cs="Times New Roman"/>
              <w:sz w:val="19"/>
              <w:szCs w:val="19"/>
            </w:rPr>
            <w:sectPr>
              <w:headerReference w:type="default" r:id="rId11"/>
              <w:footerReference w:type="default" r:id="rId12"/>
              <w:pgSz w:w="11907" w:h="16839"/>
              <w:pgMar w:top="1307" w:right="667" w:bottom="1125" w:left="739" w:header="396" w:footer="839" w:gutter="0"/>
              <w:pgNumType w:start="4"/>
              <w:cols w:space="708"/>
            </w:sectPr>
          </w:pP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4.1</w:t>
          </w:r>
          <w:r>
            <w:rPr>
              <w:rFonts w:ascii="Times New Roman" w:eastAsia="Times New Roman" w:hAnsi="Times New Roman" w:cs="Times New Roman"/>
              <w:spacing w:val="-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、</w:t>
          </w:r>
          <w:r>
            <w:rPr>
              <w:spacing w:val="29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泡泡玛特：潮玩龙头企业，构筑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21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为核心的商业生态</w:t>
          </w:r>
          <w:r>
            <w:rPr>
              <w:spacing w:val="-4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34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39</w:t>
            </w:r>
          </w:hyperlink>
        </w:p>
      </w:sdtContent>
    </w:sdt>
    <w:sdt>
      <w:sdtPr>
        <w:rPr>
          <w:rFonts w:ascii="Arial" w:eastAsia="Arial" w:hAnsi="Arial" w:cs="Arial"/>
          <w:sz w:val="21"/>
          <w:szCs w:val="21"/>
        </w:rPr>
        <w:id w:val="200710470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23"/>
            </w:tabs>
            <w:spacing w:before="84" w:line="222" w:lineRule="auto"/>
            <w:ind w:left="799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4.1.1</w:t>
          </w:r>
          <w:r>
            <w:rPr>
              <w:rFonts w:ascii="Times New Roman" w:eastAsia="Times New Roman" w:hAnsi="Times New Roman" w:cs="Times New Roman"/>
              <w:spacing w:val="-21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、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产品端：艺术家与授权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双轮驱动，向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Mega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及衍生品延伸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35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40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1" w:lineRule="auto"/>
            <w:ind w:left="799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4.1.2</w:t>
          </w:r>
          <w:r>
            <w:rPr>
              <w:rFonts w:ascii="Times New Roman" w:eastAsia="Times New Roman" w:hAnsi="Times New Roman" w:cs="Times New Roman"/>
              <w:spacing w:val="-26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、</w:t>
          </w:r>
          <w:r>
            <w:rPr>
              <w:spacing w:val="31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渠道端：线下拓展文创快闪，线上抖音</w:t>
          </w:r>
          <w:r>
            <w:rPr>
              <w:spacing w:val="6"/>
              <w:sz w:val="19"/>
              <w:szCs w:val="19"/>
            </w:rPr>
            <w:t>快速起量</w:t>
          </w:r>
          <w:r>
            <w:rPr>
              <w:spacing w:val="-6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36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43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1" w:lineRule="auto"/>
            <w:ind w:left="799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4.1.3</w:t>
          </w:r>
          <w:r>
            <w:rPr>
              <w:rFonts w:ascii="Times New Roman" w:eastAsia="Times New Roman" w:hAnsi="Times New Roman" w:cs="Times New Roman"/>
              <w:spacing w:val="-27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、</w:t>
          </w:r>
          <w:r>
            <w:rPr>
              <w:spacing w:val="48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区域端：国内下线城市空间广阔，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海外</w:t>
          </w:r>
          <w:r>
            <w:rPr>
              <w:spacing w:val="2"/>
              <w:sz w:val="19"/>
              <w:szCs w:val="19"/>
            </w:rPr>
            <w:t>再造一个泡泡玛特</w:t>
          </w:r>
          <w:r>
            <w:rPr>
              <w:spacing w:val="-5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37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46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1" w:lineRule="auto"/>
            <w:ind w:left="40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4.2</w:t>
          </w:r>
          <w:r>
            <w:rPr>
              <w:rFonts w:ascii="Times New Roman" w:eastAsia="Times New Roman" w:hAnsi="Times New Roman" w:cs="Times New Roman"/>
              <w:spacing w:val="-24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、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名创优品：全球渠道和供应链优势显著，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TOP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TOY</w:t>
          </w:r>
          <w:r>
            <w:rPr>
              <w:rFonts w:ascii="Times New Roman" w:eastAsia="Times New Roman" w:hAnsi="Times New Roman" w:cs="Times New Roman"/>
              <w:spacing w:val="17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孵化初见成效</w:t>
          </w:r>
          <w:r>
            <w:rPr>
              <w:spacing w:val="-8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38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47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1" w:lineRule="auto"/>
            <w:ind w:left="40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4.3</w:t>
          </w:r>
          <w:r>
            <w:rPr>
              <w:rFonts w:ascii="Times New Roman" w:eastAsia="Times New Roman" w:hAnsi="Times New Roman" w:cs="Times New Roman"/>
              <w:spacing w:val="-17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、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奥飞娱乐：玩具厂商转型内容王者，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20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为核心布局泛娱乐全产业链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39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49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7" w:lineRule="auto"/>
            <w:ind w:left="6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5</w:t>
          </w:r>
          <w:r>
            <w:rPr>
              <w:rFonts w:ascii="Times New Roman" w:eastAsia="Times New Roman" w:hAnsi="Times New Roman" w:cs="Times New Roman"/>
              <w:spacing w:val="-20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、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投资建议与行业估值</w:t>
          </w:r>
          <w:r>
            <w:rPr>
              <w:spacing w:val="-4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1"/>
              <w:sz w:val="19"/>
              <w:szCs w:val="19"/>
            </w:rPr>
            <w:t xml:space="preserve"> </w:t>
          </w:r>
          <w:hyperlink w:anchor="bookmark40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50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9" w:line="231" w:lineRule="auto"/>
            <w:ind w:left="5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6</w:t>
          </w:r>
          <w:r>
            <w:rPr>
              <w:rFonts w:ascii="Times New Roman" w:eastAsia="Times New Roman" w:hAnsi="Times New Roman" w:cs="Times New Roman"/>
              <w:spacing w:val="-20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、</w:t>
          </w:r>
          <w:r>
            <w:rPr>
              <w:spacing w:val="16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风险提示</w:t>
          </w:r>
          <w:r>
            <w:rPr>
              <w:spacing w:val="-5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1"/>
              <w:sz w:val="19"/>
              <w:szCs w:val="19"/>
            </w:rPr>
            <w:t xml:space="preserve"> </w:t>
          </w:r>
          <w:hyperlink w:anchor="bookmark41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51</w:t>
            </w:r>
          </w:hyperlink>
        </w:p>
      </w:sdtContent>
    </w:sdt>
    <w:p>
      <w:pPr>
        <w:spacing w:line="231" w:lineRule="auto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13"/>
          <w:footerReference w:type="default" r:id="rId14"/>
          <w:type w:val="nextPage"/>
          <w:pgSz w:w="11907" w:h="16839"/>
          <w:pgMar w:top="1307" w:right="667" w:bottom="1125" w:left="739" w:header="396" w:footer="839" w:gutter="0"/>
          <w:pgNumType w:start="5"/>
          <w:cols w:space="708"/>
          <w:titlePg w:val="0"/>
        </w:sectPr>
      </w:pPr>
    </w:p>
    <w:sdt>
      <w:sdtPr>
        <w:rPr>
          <w:rFonts w:ascii="Arial" w:eastAsia="Arial" w:hAnsi="Arial" w:cs="Arial"/>
          <w:sz w:val="21"/>
          <w:szCs w:val="21"/>
        </w:rPr>
        <w:id w:val="188615585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spacing w:before="309" w:line="219" w:lineRule="auto"/>
            <w:ind w:left="4657"/>
            <w:rPr>
              <w:sz w:val="30"/>
              <w:szCs w:val="30"/>
            </w:rPr>
          </w:pPr>
          <w:r>
            <w:rPr>
              <w:color w:val="000080"/>
              <w:spacing w:val="-11"/>
              <w:sz w:val="30"/>
              <w:szCs w:val="30"/>
              <w14:textOutline w14:w="5442">
                <w14:solidFill>
                  <w14:srgbClr w14:val="000080"/>
                </w14:solidFill>
                <w14:prstDash w14:val="solid"/>
                <w14:round/>
              </w14:textOutline>
            </w:rPr>
            <w:t>图表目录</w:t>
          </w:r>
        </w:p>
        <w:p>
          <w:pPr>
            <w:pStyle w:val="BodyText"/>
            <w:tabs>
              <w:tab w:val="right" w:leader="dot" w:pos="10420"/>
            </w:tabs>
            <w:spacing w:before="163" w:line="226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1</w:t>
          </w:r>
          <w:r>
            <w:rPr>
              <w:spacing w:val="1"/>
              <w:sz w:val="19"/>
              <w:szCs w:val="19"/>
            </w:rPr>
            <w:t>：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2021</w:t>
          </w:r>
          <w:r>
            <w:rPr>
              <w:rFonts w:ascii="Times New Roman" w:eastAsia="Times New Roman" w:hAnsi="Times New Roman" w:cs="Times New Roman"/>
              <w:spacing w:val="13"/>
              <w:w w:val="10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年中国潮玩市场规模约为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345 </w:t>
          </w:r>
          <w:r>
            <w:rPr>
              <w:spacing w:val="1"/>
              <w:sz w:val="19"/>
              <w:szCs w:val="19"/>
            </w:rPr>
            <w:t>亿元（单位：</w:t>
          </w:r>
          <w:r>
            <w:rPr>
              <w:spacing w:val="56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十亿元）</w:t>
          </w:r>
          <w:r>
            <w:rPr>
              <w:spacing w:val="-5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79" w:line="226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2021 </w:t>
          </w:r>
          <w:r>
            <w:rPr>
              <w:spacing w:val="6"/>
              <w:sz w:val="19"/>
              <w:szCs w:val="19"/>
            </w:rPr>
            <w:t>年盲盒销售规模占潮玩市场的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28%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7"/>
              <w:sz w:val="19"/>
              <w:szCs w:val="19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79" w:line="226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2030 </w:t>
          </w:r>
          <w:r>
            <w:rPr>
              <w:spacing w:val="5"/>
              <w:sz w:val="19"/>
              <w:szCs w:val="19"/>
            </w:rPr>
            <w:t>年中国潮玩客群数量有望增至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4900</w:t>
          </w:r>
          <w:r>
            <w:rPr>
              <w:rFonts w:ascii="Times New Roman" w:eastAsia="Times New Roman" w:hAnsi="Times New Roman" w:cs="Times New Roman"/>
              <w:spacing w:val="17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万人</w:t>
          </w:r>
          <w:r>
            <w:rPr>
              <w:spacing w:val="-7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42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79" w:line="221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4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2023H1</w:t>
          </w:r>
          <w:r>
            <w:rPr>
              <w:rFonts w:ascii="Times New Roman" w:eastAsia="Times New Roman" w:hAnsi="Times New Roman" w:cs="Times New Roman"/>
              <w:spacing w:val="23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泡泡玛特会员人数扩大至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3039</w:t>
          </w:r>
          <w:r>
            <w:rPr>
              <w:rFonts w:ascii="Times New Roman" w:eastAsia="Times New Roman" w:hAnsi="Times New Roman" w:cs="Times New Roman"/>
              <w:spacing w:val="19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万人，复购率为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44.5%</w:t>
          </w:r>
          <w:r>
            <w:rPr>
              <w:rFonts w:ascii="Times New Roman" w:eastAsia="Times New Roman" w:hAnsi="Times New Roman" w:cs="Times New Roman"/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8"/>
              <w:sz w:val="19"/>
              <w:szCs w:val="19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3" w:line="226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图</w:t>
          </w:r>
          <w:r>
            <w:rPr>
              <w:spacing w:val="-2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5</w:t>
          </w:r>
          <w:r>
            <w:rPr>
              <w:spacing w:val="2"/>
              <w:sz w:val="19"/>
              <w:szCs w:val="19"/>
            </w:rPr>
            <w:t>：</w:t>
          </w:r>
          <w:r>
            <w:rPr>
              <w:spacing w:val="40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高点至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2023Q1</w:t>
          </w:r>
          <w:r>
            <w:rPr>
              <w:rFonts w:ascii="Times New Roman" w:eastAsia="Times New Roman" w:hAnsi="Times New Roman" w:cs="Times New Roman"/>
              <w:spacing w:val="33"/>
              <w:w w:val="102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中国潮玩在营门店数减少约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1500</w:t>
          </w:r>
          <w:r>
            <w:rPr>
              <w:rFonts w:ascii="Times New Roman" w:eastAsia="Times New Roman" w:hAnsi="Times New Roman" w:cs="Times New Roman"/>
              <w:spacing w:val="32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家</w:t>
          </w:r>
          <w:r>
            <w:rPr>
              <w:spacing w:val="-6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1"/>
              <w:sz w:val="19"/>
              <w:szCs w:val="19"/>
            </w:rPr>
            <w:t xml:space="preserve"> </w:t>
          </w:r>
          <w:hyperlink w:anchor="bookmark43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0" w:line="221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6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2019 </w:t>
          </w:r>
          <w:r>
            <w:rPr>
              <w:spacing w:val="6"/>
              <w:sz w:val="19"/>
              <w:szCs w:val="19"/>
            </w:rPr>
            <w:t>年中国潮玩市场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CR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5</w:t>
          </w:r>
          <w:r>
            <w:rPr>
              <w:rFonts w:ascii="Times New Roman" w:eastAsia="Times New Roman" w:hAnsi="Times New Roman" w:cs="Times New Roman"/>
              <w:spacing w:val="24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的份额为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22.8%</w:t>
          </w:r>
          <w:r>
            <w:rPr>
              <w:spacing w:val="6"/>
              <w:sz w:val="19"/>
              <w:szCs w:val="19"/>
            </w:rPr>
            <w:t>，泡泡玛特位列第一</w:t>
          </w:r>
          <w:r>
            <w:rPr>
              <w:spacing w:val="-4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5" w:line="221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7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2021 </w:t>
          </w:r>
          <w:r>
            <w:rPr>
              <w:spacing w:val="6"/>
              <w:sz w:val="19"/>
              <w:szCs w:val="19"/>
            </w:rPr>
            <w:t>年中国潮玩市场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CR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5</w:t>
          </w:r>
          <w:r>
            <w:rPr>
              <w:rFonts w:ascii="Times New Roman" w:eastAsia="Times New Roman" w:hAnsi="Times New Roman" w:cs="Times New Roman"/>
              <w:spacing w:val="24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的份额为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26.4%</w:t>
          </w:r>
          <w:r>
            <w:rPr>
              <w:spacing w:val="6"/>
              <w:sz w:val="19"/>
              <w:szCs w:val="19"/>
            </w:rPr>
            <w:t>，泡泡玛特位列第一</w:t>
          </w:r>
          <w:r>
            <w:rPr>
              <w:spacing w:val="-4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5" w:line="221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8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一款潮玩需经历约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181 </w:t>
          </w:r>
          <w:r>
            <w:rPr>
              <w:spacing w:val="5"/>
              <w:sz w:val="19"/>
              <w:szCs w:val="19"/>
            </w:rPr>
            <w:t>道工序，复杂</w:t>
          </w:r>
          <w:r>
            <w:rPr>
              <w:spacing w:val="-2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23"/>
              <w:w w:val="102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需两百至三百道</w:t>
          </w:r>
          <w:r>
            <w:rPr>
              <w:spacing w:val="-4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44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4" w:line="222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图</w:t>
          </w:r>
          <w:r>
            <w:rPr>
              <w:spacing w:val="-2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9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初代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Molly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做工较为粗糙，供应链对于产品最终呈现至关重要</w:t>
          </w:r>
          <w:r>
            <w:rPr>
              <w:spacing w:val="-5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45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4" w:line="221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10</w:t>
          </w:r>
          <w:r>
            <w:rPr>
              <w:spacing w:val="1"/>
              <w:sz w:val="19"/>
              <w:szCs w:val="19"/>
            </w:rPr>
            <w:t>：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2023H1</w:t>
          </w:r>
          <w:r>
            <w:rPr>
              <w:rFonts w:ascii="Times New Roman" w:eastAsia="Times New Roman" w:hAnsi="Times New Roman" w:cs="Times New Roman"/>
              <w:spacing w:val="2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泡泡玛特存货周转天数为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131</w:t>
          </w:r>
          <w:r>
            <w:rPr>
              <w:rFonts w:ascii="Times New Roman" w:eastAsia="Times New Roman" w:hAnsi="Times New Roman" w:cs="Times New Roman"/>
              <w:spacing w:val="15"/>
              <w:w w:val="10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天，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逐步优化</w:t>
          </w:r>
          <w:r>
            <w:rPr>
              <w:spacing w:val="-6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46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4" w:line="223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11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2022 </w:t>
          </w:r>
          <w:r>
            <w:rPr>
              <w:spacing w:val="6"/>
              <w:sz w:val="19"/>
              <w:szCs w:val="19"/>
            </w:rPr>
            <w:t>年泡泡玛特最大供应商和前五大供应商分别占比提升至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19%</w:t>
          </w:r>
          <w:r>
            <w:rPr>
              <w:spacing w:val="6"/>
              <w:sz w:val="19"/>
              <w:szCs w:val="19"/>
            </w:rPr>
            <w:t>和</w:t>
          </w:r>
          <w:r>
            <w:rPr>
              <w:spacing w:val="-4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45.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8%</w:t>
          </w:r>
          <w:r>
            <w:rPr>
              <w:rFonts w:ascii="Times New Roman" w:eastAsia="Times New Roman" w:hAnsi="Times New Roman" w:cs="Times New Roman"/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 </w:t>
          </w:r>
          <w:hyperlink w:anchor="bookmark47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3" w:line="239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12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33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泡泡玛特通过</w:t>
          </w:r>
          <w:r>
            <w:rPr>
              <w:spacing w:val="-4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Inner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flow</w:t>
          </w:r>
          <w:r>
            <w:rPr>
              <w:spacing w:val="7"/>
              <w:sz w:val="19"/>
              <w:szCs w:val="19"/>
            </w:rPr>
            <w:t>、潮玩展、内部设计师为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22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的持续孵化提供平台</w:t>
          </w:r>
          <w:r>
            <w:rPr>
              <w:spacing w:val="-7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39"/>
              <w:sz w:val="19"/>
              <w:szCs w:val="19"/>
            </w:rPr>
            <w:t xml:space="preserve"> </w:t>
          </w:r>
          <w:hyperlink w:anchor="bookmark48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11</w:t>
            </w:r>
          </w:hyperlink>
        </w:p>
        <w:p>
          <w:pPr>
            <w:pStyle w:val="BodyText"/>
            <w:spacing w:before="66" w:line="222" w:lineRule="auto"/>
            <w:ind w:left="27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13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2023</w:t>
          </w:r>
          <w:r>
            <w:rPr>
              <w:rFonts w:ascii="Times New Roman" w:eastAsia="Times New Roman" w:hAnsi="Times New Roman" w:cs="Times New Roman"/>
              <w:spacing w:val="20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年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1-</w:t>
          </w:r>
          <w:r>
            <w:rPr>
              <w:rFonts w:ascii="Times New Roman" w:eastAsia="Times New Roman" w:hAnsi="Times New Roman" w:cs="Times New Roman"/>
              <w:spacing w:val="-2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10</w:t>
          </w:r>
          <w:r>
            <w:rPr>
              <w:rFonts w:ascii="Times New Roman" w:eastAsia="Times New Roman" w:hAnsi="Times New Roman" w:cs="Times New Roman"/>
              <w:spacing w:val="28"/>
              <w:w w:val="102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月泡泡玛特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/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TOPTOY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/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TNTSPACE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/  52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Toys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/</w:t>
          </w:r>
          <w:r>
            <w:rPr>
              <w:spacing w:val="5"/>
              <w:sz w:val="19"/>
              <w:szCs w:val="19"/>
            </w:rPr>
            <w:t>寻找独角兽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/</w:t>
          </w:r>
          <w:r>
            <w:rPr>
              <w:spacing w:val="5"/>
              <w:sz w:val="19"/>
              <w:szCs w:val="19"/>
            </w:rPr>
            <w:t>若来平均每月上新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47/18/2/7/5/2</w:t>
          </w:r>
          <w:r>
            <w:rPr>
              <w:rFonts w:ascii="Times New Roman" w:eastAsia="Times New Roman" w:hAnsi="Times New Roman" w:cs="Times New Roman"/>
              <w:spacing w:val="1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款新品（单</w:t>
          </w:r>
        </w:p>
        <w:p>
          <w:pPr>
            <w:pStyle w:val="BodyText"/>
            <w:tabs>
              <w:tab w:val="right" w:leader="dot" w:pos="10421"/>
            </w:tabs>
            <w:spacing w:before="84" w:line="235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-14"/>
              <w:sz w:val="19"/>
              <w:szCs w:val="19"/>
            </w:rPr>
            <w:t>位：款）</w:t>
          </w:r>
          <w:r>
            <w:rPr>
              <w:spacing w:val="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39"/>
              <w:sz w:val="19"/>
              <w:szCs w:val="19"/>
            </w:rPr>
            <w:t xml:space="preserve"> </w:t>
          </w:r>
          <w:hyperlink w:anchor="bookmark49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70" w:line="221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14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3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泡泡玛特平均每周上新约</w:t>
          </w:r>
          <w:r>
            <w:rPr>
              <w:spacing w:val="-2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11 </w:t>
          </w:r>
          <w:r>
            <w:rPr>
              <w:spacing w:val="3"/>
              <w:sz w:val="19"/>
              <w:szCs w:val="19"/>
            </w:rPr>
            <w:t>款新品，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推新能力高于竞对（单位</w:t>
          </w:r>
          <w:r>
            <w:rPr>
              <w:spacing w:val="2"/>
              <w:sz w:val="19"/>
              <w:szCs w:val="19"/>
            </w:rPr>
            <w:t>：款）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39"/>
              <w:sz w:val="19"/>
              <w:szCs w:val="19"/>
            </w:rPr>
            <w:t xml:space="preserve"> </w:t>
          </w:r>
          <w:hyperlink w:anchor="bookmark50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5" w:line="221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15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泡泡玛特会员贡献占比提升，高复购率体现粉丝粘性</w:t>
          </w:r>
          <w:r>
            <w:rPr>
              <w:spacing w:val="-6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1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4" w:line="225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16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潮玩族平台提供社区、二手交易等功能</w:t>
          </w:r>
          <w:r>
            <w:rPr>
              <w:spacing w:val="-7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2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0" w:line="222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17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34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美国经济萧条时期口红能带来更大的消费者效用（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Utility</w:t>
          </w:r>
          <w:r>
            <w:rPr>
              <w:spacing w:val="7"/>
              <w:sz w:val="19"/>
              <w:szCs w:val="19"/>
            </w:rPr>
            <w:t>）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3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4" w:line="226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z w:val="19"/>
              <w:szCs w:val="19"/>
            </w:rPr>
            <w:t>图</w:t>
          </w:r>
          <w:r>
            <w:rPr>
              <w:spacing w:val="-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18</w:t>
          </w:r>
          <w:r>
            <w:rPr>
              <w:sz w:val="19"/>
              <w:szCs w:val="19"/>
            </w:rPr>
            <w:t>：</w:t>
          </w:r>
          <w:r>
            <w:rPr>
              <w:spacing w:val="4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中国经济增速换挡</w:t>
          </w:r>
          <w:r>
            <w:rPr>
              <w:spacing w:val="-4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4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13</w:t>
            </w:r>
          </w:hyperlink>
        </w:p>
        <w:p>
          <w:pPr>
            <w:pStyle w:val="BodyText"/>
            <w:spacing w:before="79" w:line="222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19</w:t>
          </w:r>
          <w:r>
            <w:rPr>
              <w:spacing w:val="-23"/>
              <w:sz w:val="19"/>
              <w:szCs w:val="19"/>
            </w:rPr>
            <w:t>：</w:t>
          </w:r>
          <w:r>
            <w:rPr>
              <w:spacing w:val="19"/>
              <w:sz w:val="19"/>
              <w:szCs w:val="19"/>
            </w:rPr>
            <w:t xml:space="preserve"> </w:t>
          </w:r>
          <w:r>
            <w:rPr>
              <w:spacing w:val="-23"/>
              <w:sz w:val="19"/>
              <w:szCs w:val="19"/>
            </w:rPr>
            <w:t>（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1</w:t>
          </w:r>
          <w:r>
            <w:rPr>
              <w:spacing w:val="8"/>
              <w:sz w:val="19"/>
              <w:szCs w:val="19"/>
            </w:rPr>
            <w:t>）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Molly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初代，倔强的小画家</w:t>
          </w:r>
          <w:r>
            <w:rPr>
              <w:spacing w:val="-23"/>
              <w:sz w:val="19"/>
              <w:szCs w:val="19"/>
            </w:rPr>
            <w:t>；（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2</w:t>
          </w:r>
          <w:r>
            <w:rPr>
              <w:spacing w:val="8"/>
              <w:sz w:val="19"/>
              <w:szCs w:val="19"/>
            </w:rPr>
            <w:t>）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“</w:t>
          </w:r>
          <w:r>
            <w:rPr>
              <w:spacing w:val="8"/>
              <w:sz w:val="19"/>
              <w:szCs w:val="19"/>
            </w:rPr>
            <w:t>孤独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”</w:t>
          </w:r>
          <w:r>
            <w:rPr>
              <w:spacing w:val="8"/>
              <w:sz w:val="19"/>
              <w:szCs w:val="19"/>
            </w:rPr>
            <w:t>概念小野，表达背井离乡的漂泊</w:t>
          </w:r>
          <w:r>
            <w:rPr>
              <w:spacing w:val="-23"/>
              <w:sz w:val="19"/>
              <w:szCs w:val="19"/>
            </w:rPr>
            <w:t>；（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3</w:t>
          </w:r>
          <w:r>
            <w:rPr>
              <w:spacing w:val="8"/>
              <w:sz w:val="19"/>
              <w:szCs w:val="19"/>
            </w:rPr>
            <w:t>）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“</w:t>
          </w:r>
          <w:r>
            <w:rPr>
              <w:spacing w:val="8"/>
              <w:sz w:val="19"/>
              <w:szCs w:val="19"/>
            </w:rPr>
            <w:t>社恐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”</w:t>
          </w:r>
          <w:r>
            <w:rPr>
              <w:spacing w:val="8"/>
              <w:sz w:val="19"/>
              <w:szCs w:val="19"/>
            </w:rPr>
            <w:t>概念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HACIPUPU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hyperlink w:anchor="bookmark55" w:history="1">
            <w:r>
              <w:rPr>
                <w:rFonts w:ascii="Times New Roman" w:eastAsia="Times New Roman" w:hAnsi="Times New Roman" w:cs="Times New Roman"/>
                <w:spacing w:val="8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4" w:line="221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20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1981 </w:t>
          </w:r>
          <w:r>
            <w:rPr>
              <w:spacing w:val="3"/>
              <w:sz w:val="19"/>
              <w:szCs w:val="19"/>
            </w:rPr>
            <w:t>年日本人均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GDP</w:t>
          </w:r>
          <w:r>
            <w:rPr>
              <w:rFonts w:ascii="Times New Roman" w:eastAsia="Times New Roman" w:hAnsi="Times New Roman" w:cs="Times New Roman"/>
              <w:spacing w:val="16"/>
              <w:w w:val="101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达到</w:t>
          </w:r>
          <w:r>
            <w:rPr>
              <w:spacing w:val="-2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1</w:t>
          </w:r>
          <w:r>
            <w:rPr>
              <w:rFonts w:ascii="Times New Roman" w:eastAsia="Times New Roman" w:hAnsi="Times New Roman" w:cs="Times New Roman"/>
              <w:spacing w:val="19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万美元，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2019</w:t>
          </w:r>
          <w:r>
            <w:rPr>
              <w:rFonts w:ascii="Times New Roman" w:eastAsia="Times New Roman" w:hAnsi="Times New Roman" w:cs="Times New Roman"/>
              <w:spacing w:val="1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年中国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GDP</w:t>
          </w:r>
          <w:r>
            <w:rPr>
              <w:rFonts w:ascii="Times New Roman" w:eastAsia="Times New Roman" w:hAnsi="Times New Roman" w:cs="Times New Roman"/>
              <w:spacing w:val="14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达到</w:t>
          </w:r>
          <w:r>
            <w:rPr>
              <w:spacing w:val="-2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1</w:t>
          </w:r>
          <w:r>
            <w:rPr>
              <w:rFonts w:ascii="Times New Roman" w:eastAsia="Times New Roman" w:hAnsi="Times New Roman" w:cs="Times New Roman"/>
              <w:spacing w:val="17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万美元（单位：美元）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6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5" w:line="221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21</w:t>
          </w:r>
          <w:r>
            <w:rPr>
              <w:spacing w:val="1"/>
              <w:sz w:val="19"/>
              <w:szCs w:val="19"/>
            </w:rPr>
            <w:t>：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2015 </w:t>
          </w:r>
          <w:r>
            <w:rPr>
              <w:spacing w:val="1"/>
              <w:sz w:val="19"/>
              <w:szCs w:val="19"/>
            </w:rPr>
            <w:t>年开始，</w:t>
          </w:r>
          <w:r>
            <w:rPr>
              <w:spacing w:val="44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中国城镇居民的恩格尔系数降至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30  </w:t>
          </w:r>
          <w:r>
            <w:rPr>
              <w:spacing w:val="1"/>
              <w:sz w:val="19"/>
              <w:szCs w:val="19"/>
            </w:rPr>
            <w:t>以下</w:t>
          </w:r>
          <w:r>
            <w:rPr>
              <w:spacing w:val="-6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7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4" w:line="224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22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32"/>
              <w:w w:val="101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泡沫经济期日本动画产业仍保持增长</w:t>
          </w:r>
          <w:r>
            <w:rPr>
              <w:spacing w:val="-8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8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2" w:line="226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23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预计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2024 </w:t>
          </w:r>
          <w:r>
            <w:rPr>
              <w:spacing w:val="6"/>
              <w:sz w:val="19"/>
              <w:szCs w:val="19"/>
            </w:rPr>
            <w:t>年全球潮玩市场规模约为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418 </w:t>
          </w:r>
          <w:r>
            <w:rPr>
              <w:spacing w:val="6"/>
              <w:sz w:val="19"/>
              <w:szCs w:val="19"/>
            </w:rPr>
            <w:t>亿美元</w:t>
          </w:r>
          <w:r>
            <w:rPr>
              <w:spacing w:val="-7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9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79" w:line="241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24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2022 </w:t>
          </w:r>
          <w:r>
            <w:rPr>
              <w:spacing w:val="6"/>
              <w:sz w:val="19"/>
              <w:szCs w:val="19"/>
            </w:rPr>
            <w:t>年全球玩具市场美国和中国合计占据</w:t>
          </w:r>
          <w:r>
            <w:rPr>
              <w:spacing w:val="5"/>
              <w:sz w:val="19"/>
              <w:szCs w:val="19"/>
            </w:rPr>
            <w:t>约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50%</w:t>
          </w:r>
          <w:r>
            <w:rPr>
              <w:spacing w:val="5"/>
              <w:sz w:val="19"/>
              <w:szCs w:val="19"/>
            </w:rPr>
            <w:t>的份额（传统玩具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+</w:t>
          </w:r>
          <w:r>
            <w:rPr>
              <w:spacing w:val="5"/>
              <w:sz w:val="19"/>
              <w:szCs w:val="19"/>
            </w:rPr>
            <w:t>潮流玩具）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60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64" w:line="225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2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25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27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新加坡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PTS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潮玩展入场观众超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</w:t>
          </w:r>
          <w:r>
            <w:rPr>
              <w:rFonts w:ascii="Times New Roman" w:eastAsia="Times New Roman" w:hAnsi="Times New Roman" w:cs="Times New Roman"/>
              <w:spacing w:val="17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万</w:t>
          </w:r>
          <w:r>
            <w:rPr>
              <w:spacing w:val="-7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61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1" w:line="224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26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泡泡玛特泰国首店首日营业额超过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200</w:t>
          </w:r>
          <w:r>
            <w:rPr>
              <w:rFonts w:ascii="Times New Roman" w:eastAsia="Times New Roman" w:hAnsi="Times New Roman" w:cs="Times New Roman"/>
              <w:spacing w:val="17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万元</w:t>
          </w:r>
          <w:r>
            <w:rPr>
              <w:spacing w:val="-7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62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1" w:line="236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2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27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全球玩具市场份额分散，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2022 </w:t>
          </w:r>
          <w:r>
            <w:rPr>
              <w:spacing w:val="3"/>
              <w:sz w:val="19"/>
              <w:szCs w:val="19"/>
            </w:rPr>
            <w:t>年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CR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5  </w:t>
          </w:r>
          <w:r>
            <w:rPr>
              <w:spacing w:val="3"/>
              <w:sz w:val="19"/>
              <w:szCs w:val="19"/>
            </w:rPr>
            <w:t>占比仅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26.5%  </w:t>
          </w:r>
          <w:r>
            <w:rPr>
              <w:spacing w:val="3"/>
              <w:sz w:val="19"/>
              <w:szCs w:val="19"/>
            </w:rPr>
            <w:t>（传统玩具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+</w:t>
          </w:r>
          <w:r>
            <w:rPr>
              <w:spacing w:val="3"/>
              <w:sz w:val="19"/>
              <w:szCs w:val="19"/>
            </w:rPr>
            <w:t>潮流玩具）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63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69" w:line="226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图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28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三大玩具巨头来自出本土以外其他区域的收</w:t>
          </w:r>
          <w:r>
            <w:rPr>
              <w:spacing w:val="7"/>
              <w:sz w:val="19"/>
              <w:szCs w:val="19"/>
            </w:rPr>
            <w:t>入占比在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40%</w:t>
          </w:r>
          <w:r>
            <w:rPr>
              <w:spacing w:val="7"/>
              <w:sz w:val="19"/>
              <w:szCs w:val="19"/>
            </w:rPr>
            <w:t>以上</w:t>
          </w:r>
          <w:r>
            <w:rPr>
              <w:spacing w:val="-7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64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0" w:line="221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29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2023H1</w:t>
          </w:r>
          <w:r>
            <w:rPr>
              <w:rFonts w:ascii="Times New Roman" w:eastAsia="Times New Roman" w:hAnsi="Times New Roman" w:cs="Times New Roman"/>
              <w:spacing w:val="20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泡泡玛特港澳台及海外实现</w:t>
          </w:r>
          <w:r>
            <w:rPr>
              <w:spacing w:val="5"/>
              <w:sz w:val="19"/>
              <w:szCs w:val="19"/>
            </w:rPr>
            <w:t>收入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3.76 </w:t>
          </w:r>
          <w:r>
            <w:rPr>
              <w:spacing w:val="5"/>
              <w:sz w:val="19"/>
              <w:szCs w:val="19"/>
            </w:rPr>
            <w:t>亿元，同比增长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140%</w:t>
          </w:r>
          <w:r>
            <w:rPr>
              <w:rFonts w:ascii="Times New Roman" w:eastAsia="Times New Roman" w:hAnsi="Times New Roman" w:cs="Times New Roman"/>
              <w:spacing w:val="-2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 </w:t>
          </w:r>
          <w:hyperlink w:anchor="bookmark65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4" w:line="225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30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泡泡玛特于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2021 </w:t>
          </w:r>
          <w:r>
            <w:rPr>
              <w:spacing w:val="4"/>
              <w:sz w:val="19"/>
              <w:szCs w:val="19"/>
            </w:rPr>
            <w:t>年开始拓展海外线下门店（不含合营及</w:t>
          </w:r>
          <w:r>
            <w:rPr>
              <w:spacing w:val="3"/>
              <w:sz w:val="19"/>
              <w:szCs w:val="19"/>
            </w:rPr>
            <w:t>加盟）</w:t>
          </w:r>
          <w:r>
            <w:rPr>
              <w:spacing w:val="30"/>
              <w:w w:val="10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66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1" w:line="226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31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泡泡玛特海外已基本完成全渠道覆盖（港澳台及海外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2023H1</w:t>
          </w:r>
          <w:r>
            <w:rPr>
              <w:rFonts w:ascii="Times New Roman" w:eastAsia="Times New Roman" w:hAnsi="Times New Roman" w:cs="Times New Roman"/>
              <w:spacing w:val="20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收入占比）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67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19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79" w:line="226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2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32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泡泡玛特直销收入占比大幅增加（线上、线下渠道属于直销）</w:t>
          </w:r>
          <w:r>
            <w:rPr>
              <w:spacing w:val="3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68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19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0" w:line="224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  <w:sectPr>
              <w:headerReference w:type="default" r:id="rId15"/>
              <w:footerReference w:type="default" r:id="rId16"/>
              <w:pgSz w:w="11907" w:h="16839"/>
              <w:pgMar w:top="1307" w:right="667" w:bottom="1125" w:left="740" w:header="396" w:footer="839" w:gutter="0"/>
              <w:pgNumType w:start="6"/>
              <w:cols w:space="708"/>
            </w:sect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33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52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TOYS</w:t>
          </w:r>
          <w:r>
            <w:rPr>
              <w:rFonts w:ascii="Times New Roman" w:eastAsia="Times New Roman" w:hAnsi="Times New Roman" w:cs="Times New Roman"/>
              <w:spacing w:val="15"/>
              <w:w w:val="101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泰国首店于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2023 </w:t>
          </w:r>
          <w:r>
            <w:rPr>
              <w:spacing w:val="3"/>
              <w:sz w:val="19"/>
              <w:szCs w:val="19"/>
            </w:rPr>
            <w:t>年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12</w:t>
          </w:r>
          <w:r>
            <w:rPr>
              <w:rFonts w:ascii="Times New Roman" w:eastAsia="Times New Roman" w:hAnsi="Times New Roman" w:cs="Times New Roman"/>
              <w:spacing w:val="19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月开业</w:t>
          </w:r>
          <w:r>
            <w:rPr>
              <w:spacing w:val="-4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69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20</w:t>
            </w:r>
          </w:hyperlink>
        </w:p>
      </w:sdtContent>
    </w:sdt>
    <w:sdt>
      <w:sdtPr>
        <w:rPr>
          <w:rFonts w:ascii="Arial" w:eastAsia="Arial" w:hAnsi="Arial" w:cs="Arial"/>
          <w:sz w:val="21"/>
          <w:szCs w:val="21"/>
        </w:rPr>
        <w:id w:val="59725443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21"/>
            </w:tabs>
            <w:spacing w:before="81" w:line="241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34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28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亚马逊上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52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TOYS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盲盒售价多在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$13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.99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9"/>
              <w:sz w:val="19"/>
              <w:szCs w:val="19"/>
            </w:rPr>
            <w:t xml:space="preserve"> </w:t>
          </w:r>
          <w:hyperlink w:anchor="bookmark70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64" w:line="227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35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名创优品伦敦盲盒主题店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71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78" w:line="223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36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名创优品印尼三丽鸥限定主题店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72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4" w:line="226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37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泡泡玛特法国门店不乏本地消费者</w:t>
          </w:r>
          <w:r>
            <w:rPr>
              <w:spacing w:val="-7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73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21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79" w:line="221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38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经测算，泡泡玛特境外平均单店月销高于国内</w:t>
          </w:r>
          <w:r>
            <w:rPr>
              <w:spacing w:val="-7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74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21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4" w:line="224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39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名创优品、泡泡玛特与迪士尼和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DC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合作</w:t>
          </w:r>
          <w:r>
            <w:rPr>
              <w:spacing w:val="-5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75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21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2" w:line="238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40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34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美国潮玩品牌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Funko</w:t>
          </w:r>
          <w:r>
            <w:rPr>
              <w:rFonts w:ascii="Times New Roman" w:eastAsia="Times New Roman" w:hAnsi="Times New Roman" w:cs="Times New Roman"/>
              <w:spacing w:val="24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的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ins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粉丝数量大幅领先</w:t>
          </w:r>
          <w:r>
            <w:rPr>
              <w:spacing w:val="-6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76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21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67" w:line="224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41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34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美国泡泡玛特官网万圣节推出小丑回魂玩偶</w:t>
          </w:r>
          <w:r>
            <w:rPr>
              <w:spacing w:val="-7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77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22</w:t>
            </w:r>
          </w:hyperlink>
        </w:p>
        <w:p>
          <w:pPr>
            <w:pStyle w:val="BodyText"/>
            <w:tabs>
              <w:tab w:val="right" w:leader="dot" w:pos="10421"/>
            </w:tabs>
            <w:spacing w:before="81" w:line="224" w:lineRule="auto"/>
            <w:ind w:left="2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42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泡泡玛特往年推出的圣诞节产品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78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22</w:t>
            </w:r>
          </w:hyperlink>
        </w:p>
      </w:sdtContent>
    </w:sdt>
    <w:p>
      <w:pPr>
        <w:spacing w:line="224" w:lineRule="auto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17"/>
          <w:footerReference w:type="default" r:id="rId18"/>
          <w:type w:val="nextPage"/>
          <w:pgSz w:w="11907" w:h="16839"/>
          <w:pgMar w:top="1307" w:right="667" w:bottom="1125" w:left="740" w:header="396" w:footer="839" w:gutter="0"/>
          <w:pgNumType w:start="7"/>
          <w:cols w:space="708"/>
          <w:titlePg w:val="0"/>
        </w:sectPr>
      </w:pPr>
    </w:p>
    <w:sdt>
      <w:sdtPr>
        <w:rPr>
          <w:rFonts w:ascii="KaiTi" w:eastAsia="KaiTi" w:hAnsi="KaiTi" w:cs="KaiTi"/>
          <w:sz w:val="19"/>
          <w:szCs w:val="19"/>
        </w:rPr>
        <w:id w:val="111340714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16"/>
            </w:tabs>
            <w:spacing w:before="204" w:line="22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43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2022 </w:t>
          </w:r>
          <w:r>
            <w:rPr>
              <w:spacing w:val="6"/>
              <w:sz w:val="19"/>
              <w:szCs w:val="19"/>
            </w:rPr>
            <w:t>年，中国玩具（不含游戏）出口额为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483.6 </w:t>
          </w:r>
          <w:r>
            <w:rPr>
              <w:spacing w:val="6"/>
              <w:sz w:val="19"/>
              <w:szCs w:val="19"/>
            </w:rPr>
            <w:t>亿美元</w:t>
          </w:r>
          <w:r>
            <w:rPr>
              <w:spacing w:val="-6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79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23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4" w:line="22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图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44</w:t>
          </w:r>
          <w:r>
            <w:rPr>
              <w:spacing w:val="9"/>
              <w:sz w:val="19"/>
              <w:szCs w:val="19"/>
            </w:rPr>
            <w:t>：</w:t>
          </w:r>
          <w:r>
            <w:rPr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对比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Funko</w:t>
          </w:r>
          <w:r>
            <w:rPr>
              <w:spacing w:val="9"/>
              <w:sz w:val="19"/>
              <w:szCs w:val="19"/>
            </w:rPr>
            <w:t>，泡泡玛特同价位产品使用特殊的搪瓷材质，且腮红处理更</w:t>
          </w:r>
          <w:r>
            <w:rPr>
              <w:spacing w:val="8"/>
              <w:sz w:val="19"/>
              <w:szCs w:val="19"/>
            </w:rPr>
            <w:t>精细</w:t>
          </w:r>
          <w:r>
            <w:rPr>
              <w:spacing w:val="-6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80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23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4" w:line="222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图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45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32"/>
              <w:w w:val="101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泡泡玛特与泰国本地设计师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Molly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合作，</w:t>
          </w:r>
          <w:r>
            <w:rPr>
              <w:spacing w:val="7"/>
              <w:sz w:val="19"/>
              <w:szCs w:val="19"/>
            </w:rPr>
            <w:t>共同开发其于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2017 </w:t>
          </w:r>
          <w:r>
            <w:rPr>
              <w:spacing w:val="7"/>
              <w:sz w:val="19"/>
              <w:szCs w:val="19"/>
            </w:rPr>
            <w:t>年创作的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形象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Crybaby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9"/>
              <w:sz w:val="19"/>
              <w:szCs w:val="19"/>
            </w:rPr>
            <w:t xml:space="preserve"> </w:t>
          </w:r>
          <w:hyperlink w:anchor="bookmark81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23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3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46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初代米老鼠形象及迪士尼乐园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82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24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9" w:line="224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47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80</w:t>
          </w:r>
          <w:r>
            <w:rPr>
              <w:rFonts w:ascii="Times New Roman" w:eastAsia="Times New Roman" w:hAnsi="Times New Roman" w:cs="Times New Roman"/>
              <w:spacing w:val="10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年代开始迪士尼加大电影投资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83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24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2" w:line="22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图</w:t>
          </w:r>
          <w:r>
            <w:rPr>
              <w:spacing w:val="-2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48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进入并购期后迪士尼收入快速增长，近年利润受疫情及流媒体业务压缩</w:t>
          </w:r>
          <w:r>
            <w:rPr>
              <w:spacing w:val="-5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84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25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4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49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迪士尼乐园及度假区业务收入占比不断扩大（单位：亿元）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85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25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0" w:line="22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50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FY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2022 </w:t>
          </w:r>
          <w:r>
            <w:rPr>
              <w:spacing w:val="7"/>
              <w:sz w:val="19"/>
              <w:szCs w:val="19"/>
            </w:rPr>
            <w:t>迪士尼乐园及消费品板块收入占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3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4.3%</w:t>
          </w:r>
          <w:r>
            <w:rPr>
              <w:spacing w:val="6"/>
              <w:sz w:val="19"/>
              <w:szCs w:val="19"/>
            </w:rPr>
            <w:t>，其中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授权及零售占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6.2%</w:t>
          </w:r>
          <w:r>
            <w:rPr>
              <w:rFonts w:ascii="Times New Roman" w:eastAsia="Times New Roman" w:hAnsi="Times New Roman" w:cs="Times New Roman"/>
              <w:spacing w:val="-2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9"/>
              <w:sz w:val="19"/>
              <w:szCs w:val="19"/>
            </w:rPr>
            <w:t xml:space="preserve"> </w:t>
          </w:r>
          <w:hyperlink w:anchor="bookmark86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25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4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51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FY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2022 </w:t>
          </w:r>
          <w:r>
            <w:rPr>
              <w:spacing w:val="6"/>
              <w:sz w:val="19"/>
              <w:szCs w:val="19"/>
            </w:rPr>
            <w:t>迪士尼乐园及消费品板块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OPM</w:t>
          </w:r>
          <w:r>
            <w:rPr>
              <w:rFonts w:ascii="Times New Roman" w:eastAsia="Times New Roman" w:hAnsi="Times New Roman" w:cs="Times New Roman"/>
              <w:spacing w:val="19"/>
              <w:w w:val="101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为</w:t>
          </w:r>
          <w:r>
            <w:rPr>
              <w:spacing w:val="-4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27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.5%</w:t>
          </w:r>
          <w:r>
            <w:rPr>
              <w:rFonts w:ascii="Times New Roman" w:eastAsia="Times New Roman" w:hAnsi="Times New Roman" w:cs="Times New Roman"/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9"/>
              <w:sz w:val="19"/>
              <w:szCs w:val="19"/>
            </w:rPr>
            <w:t xml:space="preserve"> </w:t>
          </w:r>
          <w:hyperlink w:anchor="bookmark87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26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9" w:line="225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52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转向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“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授权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”</w:t>
          </w:r>
          <w:r>
            <w:rPr>
              <w:rFonts w:ascii="Times New Roman" w:eastAsia="Times New Roman" w:hAnsi="Times New Roman" w:cs="Times New Roman"/>
              <w:spacing w:val="-31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战略后三丽鸥收入缩减但营业利润大幅提升</w:t>
          </w:r>
          <w:r>
            <w:rPr>
              <w:spacing w:val="-6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88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26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0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53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三丽鸥公司分为日本（母公司）和海外两个分部</w:t>
          </w:r>
          <w:r>
            <w:rPr>
              <w:spacing w:val="-7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89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27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0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54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疫情后三丽鸥各项业务收入恢复增长（单位：百万日元）</w:t>
          </w:r>
          <w:r>
            <w:rPr>
              <w:spacing w:val="-5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90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27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0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55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FY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2023 </w:t>
          </w:r>
          <w:r>
            <w:rPr>
              <w:spacing w:val="7"/>
              <w:sz w:val="19"/>
              <w:szCs w:val="19"/>
            </w:rPr>
            <w:t>三丽鸥日本母公司营业</w:t>
          </w:r>
          <w:r>
            <w:rPr>
              <w:spacing w:val="6"/>
              <w:sz w:val="19"/>
              <w:szCs w:val="19"/>
            </w:rPr>
            <w:t>收入占比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91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27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0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56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FY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2023 </w:t>
          </w:r>
          <w:r>
            <w:rPr>
              <w:spacing w:val="7"/>
              <w:sz w:val="19"/>
              <w:szCs w:val="19"/>
            </w:rPr>
            <w:t>三丽鸥日本母公司各业务营业利润率</w:t>
          </w:r>
          <w:r>
            <w:rPr>
              <w:spacing w:val="-8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92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27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9" w:line="22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57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2005 </w:t>
          </w:r>
          <w:r>
            <w:rPr>
              <w:spacing w:val="3"/>
              <w:sz w:val="19"/>
              <w:szCs w:val="19"/>
            </w:rPr>
            <w:t>年万代与南梦宫合并，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加强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20"/>
              <w:w w:val="101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与游戏的合作与融合</w:t>
          </w:r>
          <w:r>
            <w:rPr>
              <w:spacing w:val="-4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93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28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5" w:line="22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58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2010 </w:t>
          </w:r>
          <w:r>
            <w:rPr>
              <w:spacing w:val="6"/>
              <w:sz w:val="19"/>
              <w:szCs w:val="19"/>
            </w:rPr>
            <w:t>年实施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轴战略，随后业绩稳步增长</w:t>
          </w:r>
          <w:r>
            <w:rPr>
              <w:spacing w:val="-5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94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28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4" w:line="224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59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29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万代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FY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2023 </w:t>
          </w:r>
          <w:r>
            <w:rPr>
              <w:spacing w:val="5"/>
              <w:sz w:val="19"/>
              <w:szCs w:val="19"/>
            </w:rPr>
            <w:t>玩具及相关产品的收入占比为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45.2%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9"/>
              <w:sz w:val="19"/>
              <w:szCs w:val="19"/>
            </w:rPr>
            <w:t xml:space="preserve"> </w:t>
          </w:r>
          <w:hyperlink w:anchor="bookmark95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29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2" w:line="224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60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29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万代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FY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2023 </w:t>
          </w:r>
          <w:r>
            <w:rPr>
              <w:spacing w:val="5"/>
              <w:sz w:val="19"/>
              <w:szCs w:val="19"/>
            </w:rPr>
            <w:t>玩具及相关产品的营业利润率为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13.3%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9"/>
              <w:sz w:val="19"/>
              <w:szCs w:val="19"/>
            </w:rPr>
            <w:t xml:space="preserve"> </w:t>
          </w:r>
          <w:hyperlink w:anchor="bookmark96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29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1" w:line="229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61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29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万代提出以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19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为核心的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轴战略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97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29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7" w:line="22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2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62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2004 </w:t>
          </w:r>
          <w:r>
            <w:rPr>
              <w:spacing w:val="7"/>
              <w:sz w:val="19"/>
              <w:szCs w:val="19"/>
            </w:rPr>
            <w:t>年后公司发展触底反弹，营收及利润率大幅提升</w:t>
          </w:r>
          <w:r>
            <w:rPr>
              <w:spacing w:val="-6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98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30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3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63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2022 </w:t>
          </w:r>
          <w:r>
            <w:rPr>
              <w:spacing w:val="5"/>
              <w:sz w:val="19"/>
              <w:szCs w:val="19"/>
            </w:rPr>
            <w:t>年乐高商品销售收入占比约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99%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5"/>
              <w:sz w:val="19"/>
              <w:szCs w:val="19"/>
            </w:rPr>
            <w:t xml:space="preserve"> </w:t>
          </w:r>
          <w:hyperlink w:anchor="bookmark99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30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1" w:line="223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64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2022 </w:t>
          </w:r>
          <w:r>
            <w:rPr>
              <w:spacing w:val="4"/>
              <w:sz w:val="19"/>
              <w:szCs w:val="19"/>
            </w:rPr>
            <w:t>年乐高全球共有品牌零售店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904</w:t>
          </w:r>
          <w:r>
            <w:rPr>
              <w:rFonts w:ascii="Times New Roman" w:eastAsia="Times New Roman" w:hAnsi="Times New Roman" w:cs="Times New Roman"/>
              <w:spacing w:val="30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家</w:t>
          </w:r>
          <w:r>
            <w:rPr>
              <w:spacing w:val="-7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00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30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2" w:line="224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65</w:t>
          </w:r>
          <w:r>
            <w:rPr>
              <w:spacing w:val="1"/>
              <w:sz w:val="19"/>
              <w:szCs w:val="19"/>
            </w:rPr>
            <w:t>：</w:t>
          </w:r>
          <w:r>
            <w:rPr>
              <w:spacing w:val="33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与华纳合作《乐高蝙蝠侠大电影》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01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31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2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z w:val="19"/>
              <w:szCs w:val="19"/>
            </w:rPr>
            <w:t>图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66</w:t>
          </w:r>
          <w:r>
            <w:rPr>
              <w:sz w:val="19"/>
              <w:szCs w:val="19"/>
            </w:rPr>
            <w:t>：</w:t>
          </w:r>
          <w:r>
            <w:rPr>
              <w:spacing w:val="65"/>
              <w:w w:val="10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目前全球共有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 xml:space="preserve">11 </w:t>
          </w:r>
          <w:r>
            <w:rPr>
              <w:sz w:val="19"/>
              <w:szCs w:val="19"/>
            </w:rPr>
            <w:t>座乐高乐园</w:t>
          </w:r>
          <w:r>
            <w:rPr>
              <w:spacing w:val="-7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02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31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9" w:line="22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67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2022 </w:t>
          </w:r>
          <w:r>
            <w:rPr>
              <w:spacing w:val="6"/>
              <w:sz w:val="19"/>
              <w:szCs w:val="19"/>
            </w:rPr>
            <w:t>年乐高乐园营收为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924</w:t>
          </w:r>
          <w:r>
            <w:rPr>
              <w:rFonts w:ascii="Times New Roman" w:eastAsia="Times New Roman" w:hAnsi="Times New Roman" w:cs="Times New Roman"/>
              <w:spacing w:val="24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百万英</w:t>
          </w:r>
          <w:r>
            <w:rPr>
              <w:spacing w:val="5"/>
              <w:sz w:val="19"/>
              <w:szCs w:val="19"/>
            </w:rPr>
            <w:t>镑，营业利润率为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26.7%</w:t>
          </w:r>
          <w:r>
            <w:rPr>
              <w:rFonts w:ascii="Times New Roman" w:eastAsia="Times New Roman" w:hAnsi="Times New Roman" w:cs="Times New Roman"/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5"/>
              <w:sz w:val="19"/>
              <w:szCs w:val="19"/>
            </w:rPr>
            <w:t xml:space="preserve"> </w:t>
          </w:r>
          <w:hyperlink w:anchor="bookmark103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31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5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68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2022 </w:t>
          </w:r>
          <w:r>
            <w:rPr>
              <w:spacing w:val="5"/>
              <w:sz w:val="19"/>
              <w:szCs w:val="19"/>
            </w:rPr>
            <w:t>年乐高乐园游客收入占比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72%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5"/>
              <w:sz w:val="19"/>
              <w:szCs w:val="19"/>
            </w:rPr>
            <w:t xml:space="preserve"> </w:t>
          </w:r>
          <w:hyperlink w:anchor="bookmark104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31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9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69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预计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2024 </w:t>
          </w:r>
          <w:r>
            <w:rPr>
              <w:spacing w:val="5"/>
              <w:sz w:val="19"/>
              <w:szCs w:val="19"/>
            </w:rPr>
            <w:t>年中国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14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授权行业市场规模为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156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1 </w:t>
          </w:r>
          <w:r>
            <w:rPr>
              <w:spacing w:val="4"/>
              <w:sz w:val="19"/>
              <w:szCs w:val="19"/>
            </w:rPr>
            <w:t>亿元</w:t>
          </w:r>
          <w:r>
            <w:rPr>
              <w:spacing w:val="-4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05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32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9" w:line="23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70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影音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/</w:t>
          </w:r>
          <w:r>
            <w:rPr>
              <w:spacing w:val="7"/>
              <w:sz w:val="19"/>
              <w:szCs w:val="19"/>
            </w:rPr>
            <w:t>游戏赋能的内容型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spacing w:val="7"/>
              <w:sz w:val="19"/>
              <w:szCs w:val="19"/>
            </w:rPr>
            <w:t>，授权及许可收入更高</w:t>
          </w:r>
          <w:r>
            <w:rPr>
              <w:spacing w:val="-5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06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32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0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71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肯德基与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DIMMO</w:t>
          </w:r>
          <w:r>
            <w:rPr>
              <w:rFonts w:ascii="Times New Roman" w:eastAsia="Times New Roman" w:hAnsi="Times New Roman" w:cs="Times New Roman"/>
              <w:spacing w:val="21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的联名套餐推出后多地售罄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07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33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9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72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2022 </w:t>
          </w:r>
          <w:r>
            <w:rPr>
              <w:spacing w:val="5"/>
              <w:sz w:val="19"/>
              <w:szCs w:val="19"/>
            </w:rPr>
            <w:t>年泡泡玛特授权收入达到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3250</w:t>
          </w:r>
          <w:r>
            <w:rPr>
              <w:rFonts w:ascii="Times New Roman" w:eastAsia="Times New Roman" w:hAnsi="Times New Roman" w:cs="Times New Roman"/>
              <w:spacing w:val="16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万元</w:t>
          </w:r>
          <w:r>
            <w:rPr>
              <w:spacing w:val="-7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08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33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0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73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2019 </w:t>
          </w:r>
          <w:r>
            <w:rPr>
              <w:spacing w:val="5"/>
              <w:sz w:val="19"/>
              <w:szCs w:val="19"/>
            </w:rPr>
            <w:t>年中国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22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改编市场规模已突破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3000 </w:t>
          </w:r>
          <w:r>
            <w:rPr>
              <w:spacing w:val="5"/>
              <w:sz w:val="19"/>
              <w:szCs w:val="19"/>
            </w:rPr>
            <w:t>亿元（单位：亿元）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09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33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9" w:line="224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74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迪士尼和万代丰富影视娱乐收入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31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33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2" w:line="22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75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73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《梦想家园》实机演示，定位面向粉丝群体</w:t>
          </w:r>
          <w:r>
            <w:rPr>
              <w:spacing w:val="5"/>
              <w:sz w:val="19"/>
              <w:szCs w:val="19"/>
            </w:rPr>
            <w:t>的轻社交游戏</w:t>
          </w:r>
          <w:r>
            <w:rPr>
              <w:spacing w:val="-6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10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34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3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76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Dimmo</w:t>
          </w:r>
          <w:r>
            <w:rPr>
              <w:rFonts w:ascii="Times New Roman" w:eastAsia="Times New Roman" w:hAnsi="Times New Roman" w:cs="Times New Roman"/>
              <w:spacing w:val="16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古堡探险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1 </w:t>
          </w:r>
          <w:r>
            <w:rPr>
              <w:spacing w:val="5"/>
              <w:sz w:val="19"/>
              <w:szCs w:val="19"/>
            </w:rPr>
            <w:t>分钟动画短片</w:t>
          </w:r>
          <w:r>
            <w:rPr>
              <w:spacing w:val="-4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11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34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1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77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迪士尼乐园二次消费收入占比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70%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5"/>
              <w:sz w:val="19"/>
              <w:szCs w:val="19"/>
            </w:rPr>
            <w:t xml:space="preserve"> </w:t>
          </w:r>
          <w:hyperlink w:anchor="bookmark112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35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0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  <w:sectPr>
              <w:headerReference w:type="default" r:id="rId19"/>
              <w:footerReference w:type="default" r:id="rId20"/>
              <w:pgSz w:w="11907" w:h="16839"/>
              <w:pgMar w:top="1307" w:right="667" w:bottom="1125" w:left="746" w:header="396" w:footer="839" w:gutter="0"/>
              <w:pgNumType w:start="8"/>
              <w:cols w:space="708"/>
            </w:sect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78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三丽鸥乐园二次消费收入占比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65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%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5"/>
              <w:sz w:val="19"/>
              <w:szCs w:val="19"/>
            </w:rPr>
            <w:t xml:space="preserve"> </w:t>
          </w:r>
          <w:hyperlink w:anchor="bookmark113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35</w:t>
            </w:r>
          </w:hyperlink>
        </w:p>
      </w:sdtContent>
    </w:sdt>
    <w:sdt>
      <w:sdtPr>
        <w:rPr>
          <w:rFonts w:ascii="KaiTi" w:eastAsia="KaiTi" w:hAnsi="KaiTi" w:cs="KaiTi"/>
          <w:sz w:val="19"/>
          <w:szCs w:val="19"/>
        </w:rPr>
        <w:id w:val="16286327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16"/>
            </w:tabs>
            <w:spacing w:before="79" w:line="225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79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海昌海洋公园二消收入由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2019 </w:t>
          </w:r>
          <w:r>
            <w:rPr>
              <w:spacing w:val="4"/>
              <w:sz w:val="19"/>
              <w:szCs w:val="19"/>
            </w:rPr>
            <w:t>年的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31%</w:t>
          </w:r>
          <w:r>
            <w:rPr>
              <w:spacing w:val="4"/>
              <w:sz w:val="19"/>
              <w:szCs w:val="19"/>
            </w:rPr>
            <w:t>提升至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2023H1</w:t>
          </w:r>
          <w:r>
            <w:rPr>
              <w:rFonts w:ascii="Times New Roman" w:eastAsia="Times New Roman" w:hAnsi="Times New Roman" w:cs="Times New Roman"/>
              <w:spacing w:val="23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的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50%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5"/>
              <w:sz w:val="19"/>
              <w:szCs w:val="19"/>
            </w:rPr>
            <w:t xml:space="preserve"> </w:t>
          </w:r>
          <w:hyperlink w:anchor="bookmark114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35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0" w:line="225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80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2023H1</w:t>
          </w:r>
          <w:r>
            <w:rPr>
              <w:rFonts w:ascii="Times New Roman" w:eastAsia="Times New Roman" w:hAnsi="Times New Roman" w:cs="Times New Roman"/>
              <w:spacing w:val="36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园内消费及酒店收入</w:t>
          </w:r>
          <w:r>
            <w:rPr>
              <w:spacing w:val="6"/>
              <w:sz w:val="19"/>
              <w:szCs w:val="19"/>
            </w:rPr>
            <w:t>是海昌海洋公园二消收入的主要构成</w:t>
          </w:r>
          <w:r>
            <w:rPr>
              <w:spacing w:val="-5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15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35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0" w:line="239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图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81</w:t>
          </w:r>
          <w:r>
            <w:rPr>
              <w:spacing w:val="9"/>
              <w:sz w:val="19"/>
              <w:szCs w:val="19"/>
            </w:rPr>
            <w:t>：</w:t>
          </w:r>
          <w:r>
            <w:rPr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玲娜贝儿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走红路径：前期自有</w:t>
          </w:r>
          <w:r>
            <w:rPr>
              <w:spacing w:val="8"/>
              <w:sz w:val="19"/>
              <w:szCs w:val="19"/>
            </w:rPr>
            <w:t>流量池积淀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+</w:t>
          </w:r>
          <w:r>
            <w:rPr>
              <w:spacing w:val="8"/>
              <w:sz w:val="19"/>
              <w:szCs w:val="19"/>
            </w:rPr>
            <w:t>人格化的养成系形象演绎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+</w:t>
          </w:r>
          <w:r>
            <w:rPr>
              <w:spacing w:val="8"/>
              <w:sz w:val="19"/>
              <w:szCs w:val="19"/>
            </w:rPr>
            <w:t>多渠道营销传播共振</w:t>
          </w:r>
          <w:r>
            <w:rPr>
              <w:spacing w:val="-4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16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36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6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82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泡泡玛特城市乐园内部项目与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20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深度融合</w:t>
          </w:r>
          <w:r>
            <w:rPr>
              <w:spacing w:val="-5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17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38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0" w:line="22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83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43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由零售转向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spacing w:val="4"/>
              <w:sz w:val="19"/>
              <w:szCs w:val="19"/>
            </w:rPr>
            <w:t>，引领潮玩行业发展</w:t>
          </w:r>
          <w:r>
            <w:rPr>
              <w:spacing w:val="-5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18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39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5" w:line="228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2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84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公司打造完整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21"/>
              <w:w w:val="101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生态链</w:t>
          </w:r>
          <w:r>
            <w:rPr>
              <w:spacing w:val="-6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19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39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6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85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33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泡泡玛特首个主题乐园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2023 </w:t>
          </w:r>
          <w:r>
            <w:rPr>
              <w:spacing w:val="4"/>
              <w:sz w:val="19"/>
              <w:szCs w:val="19"/>
            </w:rPr>
            <w:t>年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9</w:t>
          </w:r>
          <w:r>
            <w:rPr>
              <w:rFonts w:ascii="Times New Roman" w:eastAsia="Times New Roman" w:hAnsi="Times New Roman" w:cs="Times New Roman"/>
              <w:spacing w:val="18"/>
              <w:w w:val="101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月在北京开业</w:t>
          </w:r>
          <w:r>
            <w:rPr>
              <w:spacing w:val="-7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20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40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1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86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泡泡玛特首款游戏《梦想家园》预计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024 </w:t>
          </w:r>
          <w:r>
            <w:rPr>
              <w:spacing w:val="5"/>
              <w:sz w:val="19"/>
              <w:szCs w:val="19"/>
            </w:rPr>
            <w:t>年推出</w:t>
          </w:r>
          <w:r>
            <w:rPr>
              <w:spacing w:val="-7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21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40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9" w:line="22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87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65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自有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38"/>
              <w:w w:val="101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占比不断增加，第三方产品占比大幅缩小</w:t>
          </w:r>
          <w:r>
            <w:rPr>
              <w:spacing w:val="-4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22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40</w:t>
            </w:r>
          </w:hyperlink>
        </w:p>
      </w:sdtContent>
    </w:sdt>
    <w:p>
      <w:pPr>
        <w:spacing w:line="221" w:lineRule="auto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21"/>
          <w:footerReference w:type="default" r:id="rId22"/>
          <w:type w:val="nextPage"/>
          <w:pgSz w:w="11907" w:h="16839"/>
          <w:pgMar w:top="1307" w:right="667" w:bottom="1125" w:left="746" w:header="396" w:footer="839" w:gutter="0"/>
          <w:pgNumType w:start="9"/>
          <w:cols w:space="708"/>
          <w:titlePg w:val="0"/>
        </w:sectPr>
      </w:pPr>
    </w:p>
    <w:sdt>
      <w:sdtPr>
        <w:rPr>
          <w:rFonts w:ascii="KaiTi" w:eastAsia="KaiTi" w:hAnsi="KaiTi" w:cs="KaiTi"/>
          <w:sz w:val="19"/>
          <w:szCs w:val="19"/>
        </w:rPr>
        <w:id w:val="87436067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23"/>
            </w:tabs>
            <w:spacing w:before="203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88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PDC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  </w:t>
          </w:r>
          <w:r>
            <w:rPr>
              <w:spacing w:val="4"/>
              <w:sz w:val="19"/>
              <w:szCs w:val="19"/>
            </w:rPr>
            <w:t>团队内部孵化的大热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13"/>
              <w:w w:val="101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逐步增多</w:t>
          </w:r>
          <w:r>
            <w:rPr>
              <w:spacing w:val="-4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23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41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9" w:line="222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89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2023H1 </w:t>
          </w:r>
          <w:r>
            <w:rPr>
              <w:spacing w:val="6"/>
              <w:sz w:val="19"/>
              <w:szCs w:val="19"/>
            </w:rPr>
            <w:t>前三大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18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收入占比为</w:t>
          </w:r>
          <w:r>
            <w:rPr>
              <w:spacing w:val="-4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46.2%</w:t>
          </w:r>
          <w:r>
            <w:rPr>
              <w:spacing w:val="6"/>
              <w:sz w:val="19"/>
              <w:szCs w:val="19"/>
            </w:rPr>
            <w:t>，不再单一依赖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Molly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20"/>
              <w:sz w:val="19"/>
              <w:szCs w:val="19"/>
            </w:rPr>
            <w:t xml:space="preserve"> </w:t>
          </w:r>
          <w:hyperlink w:anchor="bookmark124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41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3" w:line="224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90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2023 </w:t>
          </w:r>
          <w:r>
            <w:rPr>
              <w:spacing w:val="7"/>
              <w:sz w:val="19"/>
              <w:szCs w:val="19"/>
            </w:rPr>
            <w:t>年公司盲盒类和非盲盒类的上新都有</w:t>
          </w:r>
          <w:r>
            <w:rPr>
              <w:spacing w:val="6"/>
              <w:sz w:val="19"/>
              <w:szCs w:val="19"/>
            </w:rPr>
            <w:t>提速</w:t>
          </w:r>
          <w:r>
            <w:rPr>
              <w:spacing w:val="-7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25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42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2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91</w:t>
          </w:r>
          <w:r>
            <w:rPr>
              <w:spacing w:val="9"/>
              <w:sz w:val="19"/>
              <w:szCs w:val="19"/>
            </w:rPr>
            <w:t>：</w:t>
          </w:r>
          <w:r>
            <w:rPr>
              <w:spacing w:val="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MOLLY</w:t>
          </w:r>
          <w:r>
            <w:rPr>
              <w:rFonts w:ascii="Times New Roman" w:eastAsia="Times New Roman" w:hAnsi="Times New Roman" w:cs="Times New Roman"/>
              <w:spacing w:val="-25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、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DIMMO</w:t>
          </w:r>
          <w:r>
            <w:rPr>
              <w:rFonts w:ascii="Times New Roman" w:eastAsia="Times New Roman" w:hAnsi="Times New Roman" w:cs="Times New Roman"/>
              <w:spacing w:val="-26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、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SKULLPANDA</w:t>
          </w:r>
          <w:r>
            <w:rPr>
              <w:rFonts w:ascii="Times New Roman" w:eastAsia="Times New Roman" w:hAnsi="Times New Roman" w:cs="Times New Roman"/>
              <w:spacing w:val="22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的销售额占比大于上新数量</w:t>
          </w:r>
          <w:r>
            <w:rPr>
              <w:spacing w:val="8"/>
              <w:sz w:val="19"/>
              <w:szCs w:val="19"/>
            </w:rPr>
            <w:t>占比</w:t>
          </w:r>
          <w:r>
            <w:rPr>
              <w:spacing w:val="-7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26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42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9" w:line="222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92</w:t>
          </w:r>
          <w:r>
            <w:rPr>
              <w:spacing w:val="9"/>
              <w:sz w:val="19"/>
              <w:szCs w:val="19"/>
            </w:rPr>
            <w:t>：</w:t>
          </w:r>
          <w:r>
            <w:rPr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公司新发的兰博基尼联名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Mega</w:t>
          </w:r>
          <w:r>
            <w:rPr>
              <w:spacing w:val="9"/>
              <w:sz w:val="19"/>
              <w:szCs w:val="19"/>
            </w:rPr>
            <w:t>、萌粒、衍</w:t>
          </w:r>
          <w:r>
            <w:rPr>
              <w:spacing w:val="8"/>
              <w:sz w:val="19"/>
              <w:szCs w:val="19"/>
            </w:rPr>
            <w:t>生品、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BJD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产品</w:t>
          </w:r>
          <w:r>
            <w:rPr>
              <w:spacing w:val="-7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27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42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3" w:line="224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93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2023 </w:t>
          </w:r>
          <w:r>
            <w:rPr>
              <w:spacing w:val="6"/>
              <w:sz w:val="19"/>
              <w:szCs w:val="19"/>
            </w:rPr>
            <w:t>年整体非盲盒类产品上新明显增多</w:t>
          </w:r>
          <w:r>
            <w:rPr>
              <w:spacing w:val="-7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28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43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2" w:line="224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2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94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2023 </w:t>
          </w:r>
          <w:r>
            <w:rPr>
              <w:spacing w:val="4"/>
              <w:sz w:val="19"/>
              <w:szCs w:val="19"/>
            </w:rPr>
            <w:t>年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MEGA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  </w:t>
          </w:r>
          <w:r>
            <w:rPr>
              <w:spacing w:val="4"/>
              <w:sz w:val="19"/>
              <w:szCs w:val="19"/>
            </w:rPr>
            <w:t>系列推新频次明显加快</w:t>
          </w:r>
          <w:r>
            <w:rPr>
              <w:spacing w:val="-6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29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43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3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95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37"/>
              <w:w w:val="101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线上渠道占比提升至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40%</w:t>
          </w:r>
          <w:r>
            <w:rPr>
              <w:spacing w:val="7"/>
              <w:sz w:val="19"/>
              <w:szCs w:val="19"/>
            </w:rPr>
            <w:t>以上，线下门店</w:t>
          </w:r>
          <w:r>
            <w:rPr>
              <w:spacing w:val="6"/>
              <w:sz w:val="19"/>
              <w:szCs w:val="19"/>
            </w:rPr>
            <w:t>（零售店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+</w:t>
          </w:r>
          <w:r>
            <w:rPr>
              <w:spacing w:val="6"/>
              <w:sz w:val="19"/>
              <w:szCs w:val="19"/>
            </w:rPr>
            <w:t>机器人商店）占比约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50%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20"/>
              <w:sz w:val="19"/>
              <w:szCs w:val="19"/>
            </w:rPr>
            <w:t xml:space="preserve"> </w:t>
          </w:r>
          <w:hyperlink w:anchor="bookmark130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43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0" w:line="221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2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96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截至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2023H1 </w:t>
          </w:r>
          <w:r>
            <w:rPr>
              <w:spacing w:val="4"/>
              <w:sz w:val="19"/>
              <w:szCs w:val="19"/>
            </w:rPr>
            <w:t>公司共有零售店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378</w:t>
          </w:r>
          <w:r>
            <w:rPr>
              <w:rFonts w:ascii="Times New Roman" w:eastAsia="Times New Roman" w:hAnsi="Times New Roman" w:cs="Times New Roman"/>
              <w:spacing w:val="31"/>
              <w:w w:val="101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家，机器人商店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2291</w:t>
          </w:r>
          <w:r>
            <w:rPr>
              <w:rFonts w:ascii="Times New Roman" w:eastAsia="Times New Roman" w:hAnsi="Times New Roman" w:cs="Times New Roman"/>
              <w:spacing w:val="29"/>
              <w:w w:val="101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家</w:t>
          </w:r>
          <w:r>
            <w:rPr>
              <w:spacing w:val="-5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31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44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97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2023H1 </w:t>
          </w:r>
          <w:r>
            <w:rPr>
              <w:spacing w:val="6"/>
              <w:sz w:val="19"/>
              <w:szCs w:val="19"/>
            </w:rPr>
            <w:t>抖音渠道在中国内地的线上渠道的收入占比达到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13.4%</w:t>
          </w:r>
          <w:r>
            <w:rPr>
              <w:rFonts w:ascii="Times New Roman" w:eastAsia="Times New Roman" w:hAnsi="Times New Roman" w:cs="Times New Roman"/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20"/>
              <w:sz w:val="19"/>
              <w:szCs w:val="19"/>
            </w:rPr>
            <w:t xml:space="preserve"> </w:t>
          </w:r>
          <w:hyperlink w:anchor="bookmark132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44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3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98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泡泡玛特成都宽窄巷子景区定制店</w:t>
          </w:r>
          <w:r>
            <w:rPr>
              <w:spacing w:val="-7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33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45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2" w:line="225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99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2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SKULLPANDA</w:t>
          </w:r>
          <w:r>
            <w:rPr>
              <w:rFonts w:ascii="Times New Roman" w:eastAsia="Times New Roman" w:hAnsi="Times New Roman" w:cs="Times New Roman"/>
              <w:spacing w:val="21"/>
              <w:w w:val="101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苏州相门城墙庭前墨梅展</w:t>
          </w:r>
          <w:r>
            <w:rPr>
              <w:spacing w:val="-4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34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45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5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100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2022 </w:t>
          </w:r>
          <w:r>
            <w:rPr>
              <w:spacing w:val="4"/>
              <w:sz w:val="19"/>
              <w:szCs w:val="19"/>
            </w:rPr>
            <w:t>年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12</w:t>
          </w:r>
          <w:r>
            <w:rPr>
              <w:rFonts w:ascii="Times New Roman" w:eastAsia="Times New Roman" w:hAnsi="Times New Roman" w:cs="Times New Roman"/>
              <w:spacing w:val="18"/>
              <w:w w:val="102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月抖音平台泡泡玛特月销售额突破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2000</w:t>
          </w:r>
          <w:r>
            <w:rPr>
              <w:rFonts w:ascii="Times New Roman" w:eastAsia="Times New Roman" w:hAnsi="Times New Roman" w:cs="Times New Roman"/>
              <w:spacing w:val="16"/>
              <w:w w:val="101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万元</w:t>
          </w:r>
          <w:r>
            <w:rPr>
              <w:spacing w:val="-6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35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45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1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101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3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受益于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MEGA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产品的销售，抖音均价高于京东和天猫两个平台</w:t>
          </w:r>
          <w:r>
            <w:rPr>
              <w:spacing w:val="-4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36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45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102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35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泡泡玛特国内门店已覆盖除西藏外的其他省份及直辖市</w:t>
          </w:r>
          <w:r>
            <w:rPr>
              <w:spacing w:val="-6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37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46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9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103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35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泡泡玛特国内门店三线及以下占</w:t>
          </w:r>
          <w:r>
            <w:rPr>
              <w:spacing w:val="3"/>
              <w:sz w:val="19"/>
              <w:szCs w:val="19"/>
            </w:rPr>
            <w:t>比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19%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20"/>
              <w:sz w:val="19"/>
              <w:szCs w:val="19"/>
            </w:rPr>
            <w:t xml:space="preserve"> </w:t>
          </w:r>
          <w:hyperlink w:anchor="bookmark138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46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104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2023H1 </w:t>
          </w:r>
          <w:r>
            <w:rPr>
              <w:spacing w:val="5"/>
              <w:sz w:val="19"/>
              <w:szCs w:val="19"/>
            </w:rPr>
            <w:t>公司港澳台及海外业务收入占比达到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13.4%</w:t>
          </w:r>
          <w:r>
            <w:rPr>
              <w:rFonts w:ascii="Times New Roman" w:eastAsia="Times New Roman" w:hAnsi="Times New Roman" w:cs="Times New Roman"/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20"/>
              <w:sz w:val="19"/>
              <w:szCs w:val="19"/>
            </w:rPr>
            <w:t xml:space="preserve"> </w:t>
          </w:r>
          <w:hyperlink w:anchor="bookmark139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46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9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105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2023H1</w:t>
          </w:r>
          <w:r>
            <w:rPr>
              <w:rFonts w:ascii="Times New Roman" w:eastAsia="Times New Roman" w:hAnsi="Times New Roman" w:cs="Times New Roman"/>
              <w:spacing w:val="20"/>
              <w:w w:val="102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港澳台及海外分部的利润率更优</w:t>
          </w:r>
          <w:r>
            <w:rPr>
              <w:spacing w:val="-7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40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46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4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-1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19"/>
              <w:szCs w:val="19"/>
            </w:rPr>
            <w:t>106</w:t>
          </w:r>
          <w:r>
            <w:rPr>
              <w:spacing w:val="-1"/>
              <w:sz w:val="19"/>
              <w:szCs w:val="19"/>
            </w:rPr>
            <w:t>：</w:t>
          </w:r>
          <w:r>
            <w:rPr>
              <w:spacing w:val="-1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截至</w:t>
          </w:r>
          <w:r>
            <w:rPr>
              <w:spacing w:val="-4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19"/>
              <w:szCs w:val="19"/>
            </w:rPr>
            <w:t xml:space="preserve">2023 </w:t>
          </w:r>
          <w:r>
            <w:rPr>
              <w:spacing w:val="-1"/>
              <w:sz w:val="19"/>
              <w:szCs w:val="19"/>
            </w:rPr>
            <w:t>年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19"/>
              <w:szCs w:val="19"/>
            </w:rPr>
            <w:t>9</w:t>
          </w:r>
          <w:r>
            <w:rPr>
              <w:rFonts w:ascii="Times New Roman" w:eastAsia="Times New Roman" w:hAnsi="Times New Roman" w:cs="Times New Roman"/>
              <w:spacing w:val="19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月名创优品海外门店数量已达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19"/>
              <w:szCs w:val="19"/>
            </w:rPr>
            <w:t>23</w:t>
          </w:r>
          <w:r>
            <w:rPr>
              <w:rFonts w:ascii="Times New Roman" w:eastAsia="Times New Roman" w:hAnsi="Times New Roman" w:cs="Times New Roman"/>
              <w:spacing w:val="-2"/>
              <w:sz w:val="19"/>
              <w:szCs w:val="19"/>
            </w:rPr>
            <w:t>13</w:t>
          </w:r>
          <w:r>
            <w:rPr>
              <w:rFonts w:ascii="Times New Roman" w:eastAsia="Times New Roman" w:hAnsi="Times New Roman" w:cs="Times New Roman"/>
              <w:spacing w:val="29"/>
              <w:sz w:val="19"/>
              <w:szCs w:val="19"/>
            </w:rPr>
            <w:t xml:space="preserve"> </w:t>
          </w:r>
          <w:r>
            <w:rPr>
              <w:spacing w:val="-2"/>
              <w:sz w:val="19"/>
              <w:szCs w:val="19"/>
            </w:rPr>
            <w:t>家（单位：</w:t>
          </w:r>
          <w:r>
            <w:rPr>
              <w:spacing w:val="-2"/>
              <w:sz w:val="19"/>
              <w:szCs w:val="19"/>
            </w:rPr>
            <w:t xml:space="preserve">  </w:t>
          </w:r>
          <w:r>
            <w:rPr>
              <w:spacing w:val="-2"/>
              <w:sz w:val="19"/>
              <w:szCs w:val="19"/>
            </w:rPr>
            <w:t>家）</w:t>
          </w:r>
          <w:r>
            <w:rPr>
              <w:spacing w:val="-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41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47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5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107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FY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2023</w:t>
          </w:r>
          <w:r>
            <w:rPr>
              <w:rFonts w:ascii="Times New Roman" w:eastAsia="Times New Roman" w:hAnsi="Times New Roman" w:cs="Times New Roman"/>
              <w:spacing w:val="24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美洲地区名创优品单店平均收入为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300</w:t>
          </w:r>
          <w:r>
            <w:rPr>
              <w:rFonts w:ascii="Times New Roman" w:eastAsia="Times New Roman" w:hAnsi="Times New Roman" w:cs="Times New Roman"/>
              <w:spacing w:val="19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万元</w:t>
          </w:r>
          <w:r>
            <w:rPr>
              <w:spacing w:val="-7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42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47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108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FY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2024Q1 </w:t>
          </w:r>
          <w:r>
            <w:rPr>
              <w:spacing w:val="5"/>
              <w:sz w:val="19"/>
              <w:szCs w:val="19"/>
            </w:rPr>
            <w:t>名创优品毛利率为</w:t>
          </w:r>
          <w:r>
            <w:rPr>
              <w:spacing w:val="-4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41.77%</w:t>
          </w:r>
          <w:r>
            <w:rPr>
              <w:spacing w:val="5"/>
              <w:sz w:val="19"/>
              <w:szCs w:val="19"/>
            </w:rPr>
            <w:t>，净利率为</w:t>
          </w:r>
          <w:r>
            <w:rPr>
              <w:spacing w:val="-2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16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.31%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20"/>
              <w:sz w:val="19"/>
              <w:szCs w:val="19"/>
            </w:rPr>
            <w:t xml:space="preserve"> </w:t>
          </w:r>
          <w:hyperlink w:anchor="bookmark143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47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图</w:t>
          </w:r>
          <w:r>
            <w:rPr>
              <w:spacing w:val="-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109</w:t>
          </w:r>
          <w:r>
            <w:rPr>
              <w:spacing w:val="2"/>
              <w:sz w:val="19"/>
              <w:szCs w:val="19"/>
            </w:rPr>
            <w:t>：</w:t>
          </w:r>
          <w:r>
            <w:rPr>
              <w:spacing w:val="2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名创优品存货周转天数亦逐步优化（单位：天）</w:t>
          </w:r>
          <w:r>
            <w:rPr>
              <w:spacing w:val="5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44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47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9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z w:val="19"/>
              <w:szCs w:val="19"/>
            </w:rPr>
            <w:t>图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110</w:t>
          </w:r>
          <w:r>
            <w:rPr>
              <w:sz w:val="19"/>
              <w:szCs w:val="19"/>
            </w:rPr>
            <w:t>：</w:t>
          </w:r>
          <w:r>
            <w:rPr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 xml:space="preserve">FY2024Q1 TOP TOY  </w:t>
          </w:r>
          <w:r>
            <w:rPr>
              <w:sz w:val="19"/>
              <w:szCs w:val="19"/>
            </w:rPr>
            <w:t>门店数量为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122</w:t>
          </w:r>
          <w:r>
            <w:rPr>
              <w:rFonts w:ascii="Times New Roman" w:eastAsia="Times New Roman" w:hAnsi="Times New Roman" w:cs="Times New Roman"/>
              <w:spacing w:val="29"/>
              <w:w w:val="10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家（单位：家）</w:t>
          </w:r>
          <w:r>
            <w:rPr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45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9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111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FY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2023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TOP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TOY</w:t>
          </w:r>
          <w:r>
            <w:rPr>
              <w:rFonts w:ascii="Times New Roman" w:eastAsia="Times New Roman" w:hAnsi="Times New Roman" w:cs="Times New Roman"/>
              <w:spacing w:val="24"/>
              <w:w w:val="102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线下门店总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GMV</w:t>
          </w:r>
          <w:r>
            <w:rPr>
              <w:rFonts w:ascii="Times New Roman" w:eastAsia="Times New Roman" w:hAnsi="Times New Roman" w:cs="Times New Roman"/>
              <w:spacing w:val="17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为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6.06 </w:t>
          </w:r>
          <w:r>
            <w:rPr>
              <w:spacing w:val="3"/>
              <w:sz w:val="19"/>
              <w:szCs w:val="19"/>
            </w:rPr>
            <w:t>亿元</w:t>
          </w:r>
          <w:r>
            <w:rPr>
              <w:spacing w:val="-4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46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6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图</w:t>
          </w:r>
          <w:r>
            <w:rPr>
              <w:spacing w:val="-1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112</w:t>
          </w:r>
          <w:r>
            <w:rPr>
              <w:spacing w:val="2"/>
              <w:sz w:val="19"/>
              <w:szCs w:val="19"/>
            </w:rPr>
            <w:t>：</w:t>
          </w:r>
          <w:r>
            <w:rPr>
              <w:spacing w:val="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TOP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TOY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共有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8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个自研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20"/>
              <w:sz w:val="19"/>
              <w:szCs w:val="19"/>
            </w:rPr>
            <w:t xml:space="preserve"> </w:t>
          </w:r>
          <w:hyperlink w:anchor="bookmark147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4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1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113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名创优品海外门店摆放漫威及万圣节玩偶</w:t>
          </w:r>
          <w:r>
            <w:rPr>
              <w:spacing w:val="-6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48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1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114</w:t>
          </w:r>
          <w:r>
            <w:rPr>
              <w:spacing w:val="2"/>
              <w:sz w:val="19"/>
              <w:szCs w:val="19"/>
            </w:rPr>
            <w:t>：</w:t>
          </w:r>
          <w:r>
            <w:rPr>
              <w:spacing w:val="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 xml:space="preserve">2022 </w:t>
          </w:r>
          <w:r>
            <w:rPr>
              <w:spacing w:val="2"/>
              <w:sz w:val="19"/>
              <w:szCs w:val="19"/>
            </w:rPr>
            <w:t>年奥飞娱乐玩具销</w:t>
          </w:r>
          <w:r>
            <w:rPr>
              <w:spacing w:val="1"/>
              <w:sz w:val="19"/>
              <w:szCs w:val="19"/>
            </w:rPr>
            <w:t>售收入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9.9 </w:t>
          </w:r>
          <w:r>
            <w:rPr>
              <w:spacing w:val="1"/>
              <w:sz w:val="19"/>
              <w:szCs w:val="19"/>
            </w:rPr>
            <w:t>亿元，动漫影视收入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3.44 </w:t>
          </w:r>
          <w:r>
            <w:rPr>
              <w:spacing w:val="1"/>
              <w:sz w:val="19"/>
              <w:szCs w:val="19"/>
            </w:rPr>
            <w:t>亿元（单位：</w:t>
          </w:r>
          <w:r>
            <w:rPr>
              <w:spacing w:val="47"/>
              <w:w w:val="10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亿元）</w:t>
          </w:r>
          <w:r>
            <w:rPr>
              <w:spacing w:val="4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49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49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39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115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2022 </w:t>
          </w:r>
          <w:r>
            <w:rPr>
              <w:spacing w:val="4"/>
              <w:sz w:val="19"/>
              <w:szCs w:val="19"/>
            </w:rPr>
            <w:t>年奥飞娱乐婴童用品、玩具销售、动漫影视业务的毛利率分别为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29.31/32.71/43.58%</w:t>
          </w:r>
          <w:r>
            <w:rPr>
              <w:spacing w:val="4"/>
              <w:sz w:val="19"/>
              <w:szCs w:val="19"/>
            </w:rPr>
            <w:t>（单位：</w:t>
          </w:r>
          <w:r>
            <w:rPr>
              <w:spacing w:val="5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%</w:t>
          </w:r>
          <w:r>
            <w:rPr>
              <w:spacing w:val="4"/>
              <w:sz w:val="19"/>
              <w:szCs w:val="19"/>
            </w:rPr>
            <w:t>）</w:t>
          </w:r>
          <w:r>
            <w:rPr>
              <w:spacing w:val="-6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50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49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67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116</w:t>
          </w:r>
          <w:r>
            <w:rPr>
              <w:spacing w:val="2"/>
              <w:sz w:val="19"/>
              <w:szCs w:val="19"/>
            </w:rPr>
            <w:t>：</w:t>
          </w:r>
          <w:r>
            <w:rPr>
              <w:spacing w:val="29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奥飞娱乐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“</w:t>
          </w:r>
          <w:r>
            <w:rPr>
              <w:rFonts w:ascii="Times New Roman" w:eastAsia="Times New Roman" w:hAnsi="Times New Roman" w:cs="Times New Roman"/>
              <w:spacing w:val="-19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阴阳师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”</w:t>
          </w:r>
          <w:r>
            <w:rPr>
              <w:spacing w:val="2"/>
              <w:sz w:val="19"/>
              <w:szCs w:val="19"/>
            </w:rPr>
            <w:t>盲盒月销量超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10</w:t>
          </w:r>
          <w:r>
            <w:rPr>
              <w:rFonts w:ascii="Times New Roman" w:eastAsia="Times New Roman" w:hAnsi="Times New Roman" w:cs="Times New Roman"/>
              <w:spacing w:val="16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万只</w:t>
          </w:r>
          <w:r>
            <w:rPr>
              <w:spacing w:val="-4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1"/>
              <w:sz w:val="19"/>
              <w:szCs w:val="19"/>
            </w:rPr>
            <w:t xml:space="preserve"> </w:t>
          </w:r>
          <w:hyperlink w:anchor="bookmark151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50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9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117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《蛋仔派对》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×</w:t>
          </w:r>
          <w:r>
            <w:rPr>
              <w:spacing w:val="5"/>
              <w:sz w:val="19"/>
              <w:szCs w:val="19"/>
            </w:rPr>
            <w:t>《喜羊羊与灰太狼》联动</w:t>
          </w:r>
          <w:r>
            <w:rPr>
              <w:spacing w:val="-6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1"/>
              <w:sz w:val="19"/>
              <w:szCs w:val="19"/>
            </w:rPr>
            <w:t xml:space="preserve"> </w:t>
          </w:r>
          <w:hyperlink w:anchor="bookmark152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50</w:t>
            </w:r>
          </w:hyperlink>
        </w:p>
        <w:p>
          <w:pPr>
            <w:spacing w:line="370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0420"/>
            </w:tabs>
            <w:spacing w:before="63" w:line="224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表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1</w:t>
          </w:r>
          <w:r>
            <w:rPr>
              <w:spacing w:val="9"/>
              <w:sz w:val="19"/>
              <w:szCs w:val="19"/>
            </w:rPr>
            <w:t>：</w:t>
          </w:r>
          <w:r>
            <w:rPr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潮玩行业竞争格局分为全产业链玩家、上游设计玩</w:t>
          </w:r>
          <w:r>
            <w:rPr>
              <w:spacing w:val="8"/>
              <w:sz w:val="19"/>
              <w:szCs w:val="19"/>
            </w:rPr>
            <w:t>家、下游零售玩家</w:t>
          </w:r>
          <w:r>
            <w:rPr>
              <w:spacing w:val="-5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53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420"/>
            </w:tabs>
            <w:spacing w:before="81" w:line="226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表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47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国内潮玩线下门店数增长放缓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1"/>
              <w:sz w:val="19"/>
              <w:szCs w:val="19"/>
            </w:rPr>
            <w:t xml:space="preserve"> </w:t>
          </w:r>
          <w:hyperlink w:anchor="bookmark154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1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表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3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42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东南亚潮玩市场规模虽小但具成长性，北美市场广阔待发掘（单位：亿美元）</w:t>
          </w:r>
          <w:r>
            <w:rPr>
              <w:spacing w:val="4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155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1" w:lineRule="auto"/>
            <w:rPr>
              <w:rFonts w:ascii="Times New Roman" w:eastAsia="Times New Roman" w:hAnsi="Times New Roman" w:cs="Times New Roman"/>
              <w:sz w:val="19"/>
              <w:szCs w:val="19"/>
            </w:rPr>
            <w:sectPr>
              <w:headerReference w:type="default" r:id="rId23"/>
              <w:footerReference w:type="default" r:id="rId24"/>
              <w:pgSz w:w="11907" w:h="16839"/>
              <w:pgMar w:top="1307" w:right="667" w:bottom="1125" w:left="739" w:header="396" w:footer="839" w:gutter="0"/>
              <w:pgNumType w:start="10"/>
              <w:cols w:space="708"/>
            </w:sectPr>
          </w:pPr>
          <w:r>
            <w:rPr>
              <w:spacing w:val="9"/>
              <w:sz w:val="19"/>
              <w:szCs w:val="19"/>
            </w:rPr>
            <w:t>表</w:t>
          </w:r>
          <w:r>
            <w:rPr>
              <w:spacing w:val="-2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4</w:t>
          </w:r>
          <w:r>
            <w:rPr>
              <w:spacing w:val="9"/>
              <w:sz w:val="19"/>
              <w:szCs w:val="19"/>
            </w:rPr>
            <w:t>：</w:t>
          </w:r>
          <w:r>
            <w:rPr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全球潮玩主要玩家，中国品牌价格带处于潮玩品牌中的相对低位</w:t>
          </w:r>
          <w:r>
            <w:rPr>
              <w:spacing w:val="-5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156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17</w:t>
            </w:r>
          </w:hyperlink>
        </w:p>
      </w:sdtContent>
    </w:sdt>
    <w:sdt>
      <w:sdtPr>
        <w:rPr>
          <w:rFonts w:ascii="KaiTi" w:eastAsia="KaiTi" w:hAnsi="KaiTi" w:cs="KaiTi"/>
          <w:sz w:val="19"/>
          <w:szCs w:val="19"/>
        </w:rPr>
        <w:id w:val="72087842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23"/>
            </w:tabs>
            <w:spacing w:before="85" w:line="225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表</w:t>
          </w:r>
          <w:r>
            <w:rPr>
              <w:spacing w:val="-2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5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泡泡玛特海外零售门店分布（不完全统计）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157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19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4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表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6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2023 </w:t>
          </w:r>
          <w:r>
            <w:rPr>
              <w:spacing w:val="7"/>
              <w:sz w:val="19"/>
              <w:szCs w:val="19"/>
            </w:rPr>
            <w:t>年天猫双十一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“</w:t>
          </w:r>
          <w:r>
            <w:rPr>
              <w:spacing w:val="7"/>
              <w:sz w:val="19"/>
              <w:szCs w:val="19"/>
            </w:rPr>
            <w:t>光与夜之恋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”</w:t>
          </w:r>
          <w:r>
            <w:rPr>
              <w:rFonts w:ascii="Times New Roman" w:eastAsia="Times New Roman" w:hAnsi="Times New Roman" w:cs="Times New Roman"/>
              <w:spacing w:val="-28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、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“</w:t>
          </w:r>
          <w:r>
            <w:rPr>
              <w:spacing w:val="7"/>
              <w:sz w:val="19"/>
              <w:szCs w:val="19"/>
            </w:rPr>
            <w:t>三月兽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”</w:t>
          </w:r>
          <w:r>
            <w:rPr>
              <w:spacing w:val="7"/>
              <w:sz w:val="19"/>
              <w:szCs w:val="19"/>
            </w:rPr>
            <w:t>等国产内容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崛起</w:t>
          </w:r>
          <w:r>
            <w:rPr>
              <w:spacing w:val="-4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58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34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4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7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近一年海昌海洋公园与成熟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22"/>
              <w:w w:val="101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的合作项目密集落地</w:t>
          </w:r>
          <w:r>
            <w:rPr>
              <w:spacing w:val="-4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59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36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8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表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8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33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泡泡玛特城市乐园小而美定位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60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37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8" w:line="224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表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9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33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泡泡玛特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IP</w:t>
          </w:r>
          <w:r>
            <w:rPr>
              <w:rFonts w:ascii="Times New Roman" w:eastAsia="Times New Roman" w:hAnsi="Times New Roman" w:cs="Times New Roman"/>
              <w:spacing w:val="23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类别及代表作品</w:t>
          </w:r>
          <w:r>
            <w:rPr>
              <w:spacing w:val="-6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61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40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2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表</w:t>
          </w:r>
          <w:r>
            <w:rPr>
              <w:spacing w:val="-1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10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泡泡玛特与商场合作举办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Molly</w:t>
          </w:r>
          <w:r>
            <w:rPr>
              <w:rFonts w:ascii="Times New Roman" w:eastAsia="Times New Roman" w:hAnsi="Times New Roman" w:cs="Times New Roman"/>
              <w:spacing w:val="23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线下主题展形式的快闪店</w:t>
          </w:r>
          <w:r>
            <w:rPr>
              <w:spacing w:val="-5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62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44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5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表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11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28"/>
              <w:w w:val="101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行业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2024 </w:t>
          </w:r>
          <w:r>
            <w:rPr>
              <w:spacing w:val="4"/>
              <w:sz w:val="19"/>
              <w:szCs w:val="19"/>
            </w:rPr>
            <w:t>年平均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PE</w:t>
          </w:r>
          <w:r>
            <w:rPr>
              <w:rFonts w:ascii="Times New Roman" w:eastAsia="Times New Roman" w:hAnsi="Times New Roman" w:cs="Times New Roman"/>
              <w:spacing w:val="14"/>
              <w:w w:val="101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估值在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24.1x </w:t>
          </w:r>
          <w:r>
            <w:rPr>
              <w:spacing w:val="4"/>
              <w:sz w:val="19"/>
              <w:szCs w:val="19"/>
            </w:rPr>
            <w:t>左右</w:t>
          </w:r>
          <w:r>
            <w:rPr>
              <w:spacing w:val="-5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1"/>
              <w:sz w:val="19"/>
              <w:szCs w:val="19"/>
            </w:rPr>
            <w:t xml:space="preserve"> </w:t>
          </w:r>
          <w:hyperlink w:anchor="bookmark40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50</w:t>
            </w:r>
          </w:hyperlink>
        </w:p>
      </w:sdtContent>
    </w:sdt>
    <w:p>
      <w:pPr>
        <w:spacing w:line="225" w:lineRule="auto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25"/>
          <w:footerReference w:type="default" r:id="rId26"/>
          <w:type w:val="nextPage"/>
          <w:pgSz w:w="11907" w:h="16839"/>
          <w:pgMar w:top="1307" w:right="667" w:bottom="1125" w:left="739" w:header="396" w:footer="839" w:gutter="0"/>
          <w:pgNumType w:start="11"/>
          <w:cols w:space="708"/>
          <w:titlePg w:val="0"/>
        </w:sectPr>
      </w:pP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2810"/>
        <w:outlineLvl w:val="0"/>
        <w:rPr>
          <w:sz w:val="28"/>
          <w:szCs w:val="28"/>
        </w:rPr>
      </w:pPr>
      <w:bookmarkStart w:id="0" w:name="bookmark1"/>
      <w:bookmarkEnd w:id="0"/>
      <w:bookmarkStart w:id="1" w:name="bookmark2"/>
      <w:bookmarkEnd w:id="1"/>
      <w:bookmarkStart w:id="2" w:name="bookmark3"/>
      <w:bookmarkEnd w:id="2"/>
      <w:r>
        <w:rPr>
          <w:rFonts w:ascii="Times New Roman" w:eastAsia="Times New Roman" w:hAnsi="Times New Roman" w:cs="Times New Roman"/>
          <w:b/>
          <w:bCs/>
          <w:color w:val="000080"/>
          <w:spacing w:val="-1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80"/>
          <w:spacing w:val="-41"/>
          <w:sz w:val="28"/>
          <w:szCs w:val="28"/>
        </w:rPr>
        <w:t xml:space="preserve"> </w:t>
      </w:r>
      <w:r>
        <w:rPr>
          <w:color w:val="000080"/>
          <w:spacing w:val="-12"/>
          <w:sz w:val="28"/>
          <w:szCs w:val="28"/>
          <w14:textOutline w14:w="5094">
            <w14:solidFill>
              <w14:srgbClr w14:val="000080"/>
            </w14:solidFill>
            <w14:prstDash w14:val="solid"/>
            <w14:round/>
          </w14:textOutline>
        </w:rPr>
        <w:t>、</w:t>
      </w:r>
      <w:r>
        <w:rPr>
          <w:color w:val="000080"/>
          <w:spacing w:val="-12"/>
          <w:sz w:val="28"/>
          <w:szCs w:val="28"/>
        </w:rPr>
        <w:t xml:space="preserve"> </w:t>
      </w:r>
      <w:r>
        <w:rPr>
          <w:color w:val="000080"/>
          <w:spacing w:val="-12"/>
          <w:sz w:val="28"/>
          <w:szCs w:val="28"/>
          <w14:textOutline w14:w="5094">
            <w14:solidFill>
              <w14:srgbClr w14:val="000080"/>
            </w14:solidFill>
            <w14:prstDash w14:val="solid"/>
            <w14:round/>
          </w14:textOutline>
        </w:rPr>
        <w:t>中国潮玩市场：国内供给尾部出清，</w:t>
      </w:r>
      <w:r>
        <w:rPr>
          <w:color w:val="000080"/>
          <w:spacing w:val="90"/>
          <w:sz w:val="28"/>
          <w:szCs w:val="28"/>
        </w:rPr>
        <w:t xml:space="preserve"> </w:t>
      </w:r>
      <w:r>
        <w:rPr>
          <w:color w:val="000080"/>
          <w:spacing w:val="-12"/>
          <w:sz w:val="28"/>
          <w:szCs w:val="28"/>
          <w14:textOutline w14:w="5094">
            <w14:solidFill>
              <w14:srgbClr w14:val="000080"/>
            </w14:solidFill>
            <w14:prstDash w14:val="solid"/>
            <w14:round/>
          </w14:textOutline>
        </w:rPr>
        <w:t>受益于治愈经济</w:t>
      </w:r>
    </w:p>
    <w:p>
      <w:pPr>
        <w:pStyle w:val="BodyText"/>
        <w:spacing w:before="319" w:line="485" w:lineRule="exact"/>
        <w:ind w:left="2807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80"/>
          <w:spacing w:val="-3"/>
          <w:position w:val="19"/>
          <w:sz w:val="24"/>
          <w:szCs w:val="24"/>
        </w:rPr>
        <w:t>1.1</w:t>
      </w:r>
      <w:r>
        <w:rPr>
          <w:rFonts w:ascii="Times New Roman" w:eastAsia="Times New Roman" w:hAnsi="Times New Roman" w:cs="Times New Roman"/>
          <w:b/>
          <w:bCs/>
          <w:color w:val="000080"/>
          <w:spacing w:val="-29"/>
          <w:position w:val="19"/>
          <w:sz w:val="24"/>
          <w:szCs w:val="24"/>
        </w:rPr>
        <w:t xml:space="preserve"> </w:t>
      </w:r>
      <w:r>
        <w:rPr>
          <w:color w:val="000080"/>
          <w:spacing w:val="-3"/>
          <w:position w:val="19"/>
          <w:sz w:val="24"/>
          <w:szCs w:val="24"/>
          <w14:textOutline w14:w="4354">
            <w14:solidFill>
              <w14:srgbClr w14:val="000080"/>
            </w14:solidFill>
            <w14:prstDash w14:val="solid"/>
            <w14:round/>
          </w14:textOutline>
        </w:rPr>
        <w:t>、</w:t>
      </w:r>
      <w:r>
        <w:rPr>
          <w:color w:val="000080"/>
          <w:spacing w:val="-3"/>
          <w:position w:val="19"/>
          <w:sz w:val="24"/>
          <w:szCs w:val="24"/>
        </w:rPr>
        <w:t xml:space="preserve"> </w:t>
      </w:r>
      <w:r>
        <w:rPr>
          <w:color w:val="000080"/>
          <w:spacing w:val="-3"/>
          <w:position w:val="19"/>
          <w:sz w:val="24"/>
          <w:szCs w:val="24"/>
          <w14:textOutline w14:w="4354">
            <w14:solidFill>
              <w14:srgbClr w14:val="000080"/>
            </w14:solidFill>
            <w14:prstDash w14:val="solid"/>
            <w14:round/>
          </w14:textOutline>
        </w:rPr>
        <w:t>国内市场：潮玩降温尾部出清，格局优化强者愈强</w:t>
      </w:r>
    </w:p>
    <w:p>
      <w:pPr>
        <w:pStyle w:val="BodyText"/>
        <w:spacing w:line="219" w:lineRule="auto"/>
        <w:ind w:left="2805"/>
      </w:pPr>
      <w:r>
        <w:rPr>
          <w:rFonts w:ascii="Times New Roman" w:eastAsia="Times New Roman" w:hAnsi="Times New Roman" w:cs="Times New Roman"/>
          <w:b/>
          <w:bCs/>
          <w:color w:val="000080"/>
          <w:spacing w:val="-2"/>
        </w:rPr>
        <w:t>1.1.1</w:t>
      </w:r>
      <w:r>
        <w:rPr>
          <w:rFonts w:ascii="Times New Roman" w:eastAsia="Times New Roman" w:hAnsi="Times New Roman" w:cs="Times New Roman"/>
          <w:b/>
          <w:bCs/>
          <w:color w:val="000080"/>
          <w:spacing w:val="-22"/>
        </w:rPr>
        <w:t xml:space="preserve"> </w:t>
      </w:r>
      <w:r>
        <w:rPr>
          <w:color w:val="000080"/>
          <w:spacing w:val="-2"/>
          <w14:textOutline w14:w="3831">
            <w14:solidFill>
              <w14:srgbClr w14:val="000080"/>
            </w14:solidFill>
            <w14:prstDash w14:val="solid"/>
            <w14:round/>
          </w14:textOutline>
        </w:rPr>
        <w:t>、</w:t>
      </w:r>
      <w:r>
        <w:rPr>
          <w:color w:val="000080"/>
          <w:spacing w:val="-36"/>
        </w:rPr>
        <w:t xml:space="preserve"> </w:t>
      </w:r>
      <w:r>
        <w:rPr>
          <w:color w:val="000080"/>
          <w:spacing w:val="-2"/>
          <w14:textOutline w14:w="3831">
            <w14:solidFill>
              <w14:srgbClr w14:val="000080"/>
            </w14:solidFill>
            <w14:prstDash w14:val="solid"/>
            <w14:round/>
          </w14:textOutline>
        </w:rPr>
        <w:t>市场规模：盲盒引领潮玩市场快增</w:t>
      </w:r>
    </w:p>
    <w:p>
      <w:pPr>
        <w:pStyle w:val="BodyText"/>
        <w:spacing w:before="217" w:line="267" w:lineRule="auto"/>
        <w:ind w:left="2800" w:right="61" w:firstLine="418"/>
      </w:pPr>
      <w:r>
        <w:rPr>
          <w:rFonts w:ascii="Times New Roman" w:eastAsia="Times New Roman" w:hAnsi="Times New Roman" w:cs="Times New Roman"/>
          <w:b/>
          <w:bCs/>
          <w:spacing w:val="-5"/>
        </w:rPr>
        <w:t xml:space="preserve">2021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年盲盒取代建筑模型（乐高所在赛道）成为中国最大的流行玩具细分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市场</w:t>
      </w:r>
      <w:r>
        <w:rPr>
          <w:spacing w:val="-6"/>
        </w:rPr>
        <w:t>，</w:t>
      </w:r>
      <w:r>
        <w:t xml:space="preserve"> </w:t>
      </w:r>
      <w:r>
        <w:rPr>
          <w:spacing w:val="-3"/>
        </w:rPr>
        <w:t>整体潮玩市场规模约为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345 </w:t>
      </w:r>
      <w:r>
        <w:rPr>
          <w:spacing w:val="-3"/>
        </w:rPr>
        <w:t>亿元，盲盒占比约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28%</w:t>
      </w:r>
      <w:r>
        <w:rPr>
          <w:spacing w:val="-3"/>
        </w:rPr>
        <w:t>。</w:t>
      </w:r>
      <w:r>
        <w:rPr>
          <w:rFonts w:ascii="Times New Roman" w:eastAsia="Times New Roman" w:hAnsi="Times New Roman" w:cs="Times New Roman"/>
          <w:spacing w:val="-3"/>
        </w:rPr>
        <w:t xml:space="preserve">2017 </w:t>
      </w:r>
      <w:r>
        <w:rPr>
          <w:spacing w:val="-3"/>
        </w:rPr>
        <w:t>年至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2021 </w:t>
      </w:r>
      <w:r>
        <w:rPr>
          <w:spacing w:val="-3"/>
        </w:rPr>
        <w:t>年，中国的盲盒</w:t>
      </w:r>
      <w:r>
        <w:t xml:space="preserve"> </w:t>
      </w:r>
      <w:r>
        <w:rPr>
          <w:spacing w:val="-3"/>
        </w:rPr>
        <w:t>市场大幅增长，复合年增长率为</w:t>
      </w:r>
      <w:r>
        <w:rPr>
          <w:spacing w:val="-1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122%</w:t>
      </w:r>
      <w:r>
        <w:rPr>
          <w:spacing w:val="-3"/>
        </w:rPr>
        <w:t>，整体潮玩市场年复合增长率为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33%</w:t>
      </w:r>
      <w:r>
        <w:rPr>
          <w:spacing w:val="-3"/>
        </w:rPr>
        <w:t>，盲盒带</w:t>
      </w:r>
      <w:r>
        <w:t xml:space="preserve"> </w:t>
      </w:r>
      <w:r>
        <w:rPr>
          <w:spacing w:val="-4"/>
        </w:rPr>
        <w:t>动整体潮玩市场保持较快增长。</w:t>
      </w:r>
      <w:r>
        <w:rPr>
          <w:rFonts w:ascii="Times New Roman" w:eastAsia="Times New Roman" w:hAnsi="Times New Roman" w:cs="Times New Roman"/>
          <w:spacing w:val="-4"/>
        </w:rPr>
        <w:t xml:space="preserve">2019 </w:t>
      </w:r>
      <w:r>
        <w:rPr>
          <w:spacing w:val="-4"/>
        </w:rPr>
        <w:t>年中国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GDP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spacing w:val="-4"/>
        </w:rPr>
        <w:t>突破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4"/>
        </w:rPr>
        <w:t>万美元，居民精神</w:t>
      </w:r>
      <w:r>
        <w:rPr>
          <w:spacing w:val="-5"/>
        </w:rPr>
        <w:t>消费的需</w:t>
      </w:r>
      <w:r>
        <w:t xml:space="preserve"> </w:t>
      </w:r>
      <w:r>
        <w:t>求提升。根据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</w:rPr>
        <w:t>Frost&amp;Sullivan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t>，</w:t>
      </w:r>
      <w:r>
        <w:rPr>
          <w:rFonts w:ascii="Times New Roman" w:eastAsia="Times New Roman" w:hAnsi="Times New Roman" w:cs="Times New Roman"/>
        </w:rPr>
        <w:t>20</w:t>
      </w:r>
      <w:r>
        <w:rPr>
          <w:rFonts w:ascii="Times New Roman" w:eastAsia="Times New Roman" w:hAnsi="Times New Roman" w:cs="Times New Roman"/>
          <w:spacing w:val="-1"/>
        </w:rPr>
        <w:t xml:space="preserve">22 </w:t>
      </w:r>
      <w:r>
        <w:rPr>
          <w:spacing w:val="-1"/>
        </w:rPr>
        <w:t>年到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2026 </w:t>
      </w:r>
      <w:r>
        <w:rPr>
          <w:spacing w:val="-1"/>
        </w:rPr>
        <w:t>年预计中国潮玩行业将以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24%</w:t>
      </w:r>
      <w:r>
        <w:rPr>
          <w:spacing w:val="-1"/>
        </w:rPr>
        <w:t>的复合</w:t>
      </w:r>
      <w:r>
        <w:t xml:space="preserve"> </w:t>
      </w:r>
      <w:r>
        <w:rPr>
          <w:spacing w:val="-4"/>
        </w:rPr>
        <w:t>增速继续增长，</w:t>
      </w:r>
      <w:r>
        <w:rPr>
          <w:spacing w:val="-2"/>
        </w:rPr>
        <w:t xml:space="preserve"> </w:t>
      </w:r>
      <w:r>
        <w:rPr>
          <w:spacing w:val="-4"/>
        </w:rPr>
        <w:t>预计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2026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spacing w:val="-4"/>
        </w:rPr>
        <w:t>年整体潮玩市场规模将超过</w:t>
      </w:r>
      <w:r>
        <w:rPr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1100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-4"/>
        </w:rPr>
        <w:t>亿元，盲盒市场规模有</w:t>
      </w:r>
      <w:r>
        <w:t xml:space="preserve"> </w:t>
      </w:r>
      <w:r>
        <w:rPr>
          <w:spacing w:val="-1"/>
        </w:rPr>
        <w:t>望达到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424 </w:t>
      </w:r>
      <w:r>
        <w:rPr>
          <w:spacing w:val="-1"/>
        </w:rPr>
        <w:t>亿元。</w:t>
      </w:r>
    </w:p>
    <w:p>
      <w:pPr>
        <w:spacing w:line="456" w:lineRule="auto"/>
        <w:rPr>
          <w:rFonts w:ascii="Arial"/>
          <w:sz w:val="21"/>
        </w:rPr>
      </w:pPr>
    </w:p>
    <w:p>
      <w:pPr>
        <w:pStyle w:val="BodyText"/>
        <w:spacing w:before="69" w:line="218" w:lineRule="auto"/>
        <w:ind w:left="2864"/>
      </w:pPr>
      <w:r>
        <w:rPr>
          <w:color w:val="000080"/>
          <w:spacing w:val="-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</w:rPr>
        <w:t>1</w:t>
      </w:r>
      <w:r>
        <w:rPr>
          <w:color w:val="000080"/>
          <w:spacing w:val="-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</w:rPr>
        <w:t xml:space="preserve">2021 </w:t>
      </w:r>
      <w:r>
        <w:rPr>
          <w:color w:val="000080"/>
          <w:spacing w:val="-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年中国潮玩市场规模约为</w:t>
      </w:r>
      <w:r>
        <w:rPr>
          <w:color w:val="000080"/>
          <w:spacing w:val="-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</w:rPr>
        <w:t xml:space="preserve">345 </w:t>
      </w:r>
      <w:r>
        <w:rPr>
          <w:color w:val="000080"/>
          <w:spacing w:val="-1"/>
          <w14:textOutline w14:w="3831">
            <w14:solidFill>
              <w14:srgbClr w14:val="000080"/>
            </w14:solidFill>
            <w14:prstDash w14:val="solid"/>
            <w14:round/>
          </w14:textOutline>
        </w:rPr>
        <w:t>亿元（单位：十亿元）</w:t>
      </w:r>
    </w:p>
    <w:tbl>
      <w:tblPr>
        <w:tblStyle w:val="TableNormal0"/>
        <w:tblW w:w="7627" w:type="dxa"/>
        <w:tblInd w:w="28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060"/>
        <w:gridCol w:w="982"/>
        <w:gridCol w:w="844"/>
        <w:gridCol w:w="2741"/>
      </w:tblGrid>
      <w:tr>
        <w:tblPrEx>
          <w:tblW w:w="7627" w:type="dxa"/>
          <w:tblInd w:w="28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754"/>
        </w:trPr>
        <w:tc>
          <w:tcPr>
            <w:tcW w:w="7627" w:type="dxa"/>
            <w:gridSpan w:val="4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1" w:line="3626" w:lineRule="exact"/>
            </w:pPr>
            <w:r>
              <w:rPr>
                <w:position w:val="-72"/>
              </w:rPr>
              <w:drawing>
                <wp:inline distT="0" distB="0" distL="0" distR="0">
                  <wp:extent cx="4843145" cy="2302763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3145" cy="2302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627" w:type="dxa"/>
          <w:tblInd w:w="2829" w:type="dxa"/>
          <w:tblLayout w:type="fixed"/>
        </w:tblPrEx>
        <w:trPr>
          <w:trHeight w:val="1096"/>
        </w:trPr>
        <w:tc>
          <w:tcPr>
            <w:tcW w:w="7627" w:type="dxa"/>
            <w:gridSpan w:val="4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5" w:line="217" w:lineRule="auto"/>
              <w:ind w:left="5"/>
            </w:pPr>
            <w:r>
              <w:rPr>
                <w:spacing w:val="-5"/>
              </w:rPr>
              <w:t>数据来源：</w:t>
            </w:r>
            <w:r>
              <w:rPr>
                <w:spacing w:val="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Frost&amp;Sullivan</w:t>
            </w:r>
            <w:r>
              <w:rPr>
                <w:spacing w:val="-5"/>
              </w:rPr>
              <w:t>、开源证券</w:t>
            </w:r>
            <w:r>
              <w:rPr>
                <w:spacing w:val="-6"/>
              </w:rPr>
              <w:t>研究所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8" w:lineRule="auto"/>
              <w:ind w:left="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color w:val="000080"/>
                <w:spacing w:val="-1"/>
                <w:sz w:val="21"/>
                <w:szCs w:val="21"/>
                <w14:textOutline w14:w="3831">
                  <w14:solidFill>
                    <w14:srgbClr w14:val="000080"/>
                  </w14:solidFill>
                  <w14:prstDash w14:val="solid"/>
                  <w14:round/>
                </w14:textOutline>
              </w:rPr>
              <w:t>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80"/>
                <w:spacing w:val="-1"/>
                <w:sz w:val="21"/>
                <w:szCs w:val="21"/>
              </w:rPr>
              <w:t>2</w:t>
            </w:r>
            <w:r>
              <w:rPr>
                <w:color w:val="000080"/>
                <w:spacing w:val="-1"/>
                <w:sz w:val="21"/>
                <w:szCs w:val="21"/>
                <w14:textOutline w14:w="3831">
                  <w14:solidFill>
                    <w14:srgbClr w14:val="00008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80"/>
                <w:spacing w:val="-1"/>
                <w:sz w:val="21"/>
                <w:szCs w:val="21"/>
              </w:rPr>
              <w:t xml:space="preserve">2021 </w:t>
            </w:r>
            <w:r>
              <w:rPr>
                <w:color w:val="000080"/>
                <w:spacing w:val="-1"/>
                <w:sz w:val="21"/>
                <w:szCs w:val="21"/>
                <w14:textOutline w14:w="3831">
                  <w14:solidFill>
                    <w14:srgbClr w14:val="000080"/>
                  </w14:solidFill>
                  <w14:prstDash w14:val="solid"/>
                  <w14:round/>
                </w14:textOutline>
              </w:rPr>
              <w:t>年盲盒销售规模占潮玩市场的</w:t>
            </w:r>
            <w:r>
              <w:rPr>
                <w:color w:val="000080"/>
                <w:spacing w:val="-4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80"/>
                <w:spacing w:val="-1"/>
                <w:sz w:val="21"/>
                <w:szCs w:val="21"/>
              </w:rPr>
              <w:t>28%</w:t>
            </w:r>
          </w:p>
        </w:tc>
      </w:tr>
      <w:tr>
        <w:tblPrEx>
          <w:tblW w:w="7627" w:type="dxa"/>
          <w:tblInd w:w="2829" w:type="dxa"/>
          <w:tblLayout w:type="fixed"/>
        </w:tblPrEx>
        <w:trPr>
          <w:trHeight w:val="1455"/>
        </w:trPr>
        <w:tc>
          <w:tcPr>
            <w:tcW w:w="3060" w:type="dxa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2" w:lineRule="auto"/>
              <w:ind w:left="1749"/>
              <w:rPr>
                <w:rFonts w:ascii="Times New Roman" w:eastAsia="Times New Roman" w:hAnsi="Times New Roman" w:cs="Times New Roman"/>
              </w:rPr>
            </w:pPr>
            <w:r>
              <w:pict>
                <v:group id="_x0000_s1030" style="width:95.65pt;height:95.55pt;margin-top:-19.65pt;margin-left:136.31pt;position:absolute;z-index:-251653120" coordorigin="0,0" coordsize="1913,1911" filled="f" stroked="f">
                  <v:shape id="_x0000_s1031" style="width:953;height:1139;left:959;position:absolute" coordorigin="0,0" coordsize="953,1139" path="m,c526,,952,426,952,952c952,1014,946,1077,934,1138l,952l,xe" filled="t" fillcolor="#0070c0" stroked="f"/>
                  <v:shape id="_x0000_s1032" style="width:1013;height:958;left:881;position:absolute;top:952" coordorigin="0,0" coordsize="1013,958" path="m1012,185c918,660,482,989,,949l77,l1012,185xe" filled="t" fillcolor="red" stroked="f"/>
                  <v:shape id="_x0000_s1033" style="width:843;height:950;left:117;position:absolute;top:952" coordorigin="0,0" coordsize="843,950" path="m764,949c440,922,152,733,,446l842,l764,949xe" filled="t" fillcolor="#ffc000" stroked="f"/>
                  <v:shape id="_x0000_s1034" style="width:960;height:589;position:absolute;top:810" coordorigin="0,0" coordsize="960,589" path="m117,588c22,408,-12,201,17,l959,142l117,588xe" filled="t" fillcolor="#00b0f0" stroked="f"/>
                  <v:shape id="_x0000_s1035" style="width:943;height:612;left:17;position:absolute;top:341" coordorigin="0,0" coordsize="943,612" path="m,468c25,296,99,133,211,l942,611l,468xe" filled="t" fillcolor="#929292" stroked="f"/>
                  <v:shape id="_x0000_s1036" style="width:730;height:953;left:228;position:absolute" coordorigin="0,0" coordsize="730,953" path="m,341c181,124,448,,730,l730,952l,341xe" filled="t" fillcolor="yellow" stroked="f"/>
                </v:group>
              </w:pict>
            </w:r>
            <w:r>
              <w:rPr>
                <w:spacing w:val="-3"/>
              </w:rPr>
              <w:t>艺术玩具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, 9%</w:t>
            </w:r>
          </w:p>
        </w:tc>
        <w:tc>
          <w:tcPr>
            <w:tcW w:w="982" w:type="dxa"/>
            <w:tcBorders>
              <w:top w:val="single" w:sz="2" w:space="0" w:color="000000"/>
            </w:tcBorders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53" w:lineRule="exact"/>
              <w:ind w:left="202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  <w:position w:val="5"/>
              </w:rPr>
              <w:t>其他</w:t>
            </w:r>
            <w:r>
              <w:rPr>
                <w:rFonts w:ascii="Times New Roman" w:eastAsia="Times New Roman" w:hAnsi="Times New Roman" w:cs="Times New Roman"/>
                <w:spacing w:val="-2"/>
                <w:position w:val="5"/>
              </w:rPr>
              <w:t>,</w:t>
            </w:r>
          </w:p>
          <w:p>
            <w:pPr>
              <w:spacing w:line="186" w:lineRule="auto"/>
              <w:ind w:left="25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14%</w:t>
            </w:r>
          </w:p>
        </w:tc>
        <w:tc>
          <w:tcPr>
            <w:tcW w:w="844" w:type="dxa"/>
            <w:tcBorders>
              <w:top w:val="single" w:sz="2" w:space="0" w:color="000000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>
              <w:pict>
                <v:rect id="_x0000_s1037" style="width:4.6pt;height:0.5pt;margin-top:58.98pt;margin-left:-5.5pt;mso-position-horizontal-relative:right-margin-area;mso-position-vertical-relative:top-margin-area;position:absolute;z-index:251664384" filled="t" fillcolor="black" stroked="f"/>
              </w:pict>
            </w: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300" w:lineRule="exact"/>
              <w:ind w:firstLine="378"/>
            </w:pPr>
            <w:r>
              <w:rPr>
                <w:position w:val="-6"/>
              </w:rPr>
              <w:pict>
                <v:shape id="_x0000_i1038" style="width:17.95pt;height:15.05pt;mso-position-horizontal-relative:char;mso-position-vertical-relative:line" coordorigin="0,0" coordsize="359,301" path="m3,3l355,296e" filled="f" strokecolor="black" strokeweight="0.48pt">
                  <w10:wrap type="none"/>
                </v:shape>
              </w:pict>
            </w:r>
          </w:p>
        </w:tc>
        <w:tc>
          <w:tcPr>
            <w:tcW w:w="2741" w:type="dxa"/>
            <w:tcBorders>
              <w:top w:val="single" w:sz="2" w:space="0" w:color="00000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2" w:lineRule="auto"/>
              <w:ind w:left="18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盲盒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, 28%</w:t>
            </w:r>
          </w:p>
        </w:tc>
      </w:tr>
    </w:tbl>
    <w:p>
      <w:pPr>
        <w:sectPr>
          <w:headerReference w:type="default" r:id="rId28"/>
          <w:footerReference w:type="default" r:id="rId29"/>
          <w:pgSz w:w="11907" w:h="16839"/>
          <w:pgMar w:top="1307" w:right="667" w:bottom="1125" w:left="746" w:header="396" w:footer="839" w:gutter="0"/>
          <w:pgNumType w:start="12"/>
          <w:cols w:space="708"/>
        </w:sectPr>
      </w:pPr>
    </w:p>
    <w:tbl>
      <w:tblPr>
        <w:tblStyle w:val="TableNormal1"/>
        <w:tblW w:w="7627" w:type="dxa"/>
        <w:tblInd w:w="28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060"/>
        <w:gridCol w:w="583"/>
        <w:gridCol w:w="399"/>
        <w:gridCol w:w="844"/>
        <w:gridCol w:w="2741"/>
      </w:tblGrid>
      <w:tr>
        <w:tblPrEx>
          <w:tblW w:w="7627" w:type="dxa"/>
          <w:tblInd w:w="28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455"/>
        </w:trPr>
        <w:tc>
          <w:tcPr>
            <w:tcW w:w="3060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2" w:lineRule="auto"/>
              <w:ind w:left="1929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娃娃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,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10%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8" w:lineRule="auto"/>
              <w:ind w:left="1485"/>
            </w:pPr>
            <w:r>
              <w:rPr>
                <w:position w:val="1"/>
              </w:rPr>
              <w:drawing>
                <wp:inline distT="0" distB="0" distL="0" distR="0">
                  <wp:extent cx="56387" cy="57911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7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0"/>
              </w:rPr>
              <w:t xml:space="preserve"> </w:t>
            </w:r>
            <w:r>
              <w:rPr>
                <w:spacing w:val="-3"/>
              </w:rPr>
              <w:t>盲盒</w:t>
            </w:r>
            <w:r>
              <w:rPr>
                <w:spacing w:val="74"/>
              </w:rPr>
              <w:t xml:space="preserve"> </w:t>
            </w:r>
            <w:r>
              <w:rPr>
                <w:position w:val="1"/>
              </w:rPr>
              <w:drawing>
                <wp:inline distT="0" distB="0" distL="0" distR="0">
                  <wp:extent cx="56388" cy="57911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3"/>
              </w:rPr>
              <w:t xml:space="preserve"> </w:t>
            </w:r>
            <w:r>
              <w:rPr>
                <w:spacing w:val="-3"/>
              </w:rPr>
              <w:t>建筑模型</w:t>
            </w:r>
          </w:p>
        </w:tc>
        <w:tc>
          <w:tcPr>
            <w:tcW w:w="982" w:type="dxa"/>
            <w:gridSpan w:val="2"/>
            <w:tcBorders>
              <w:top w:val="single" w:sz="2" w:space="0" w:color="000000"/>
            </w:tcBorders>
            <w:vAlign w:val="top"/>
          </w:tcPr>
          <w:p/>
        </w:tc>
        <w:tc>
          <w:tcPr>
            <w:tcW w:w="844" w:type="dxa"/>
            <w:tcBorders>
              <w:top w:val="single" w:sz="2" w:space="0" w:color="000000"/>
            </w:tcBorders>
            <w:vAlign w:val="top"/>
          </w:tcPr>
          <w:p/>
        </w:tc>
        <w:tc>
          <w:tcPr>
            <w:tcW w:w="2741" w:type="dxa"/>
            <w:tcBorders>
              <w:top w:val="single" w:sz="2" w:space="0" w:color="000000"/>
            </w:tcBorders>
            <w:vAlign w:val="top"/>
          </w:tcPr>
          <w:p/>
        </w:tc>
      </w:tr>
      <w:tr>
        <w:tblPrEx>
          <w:tblW w:w="7627" w:type="dxa"/>
          <w:tblInd w:w="2829" w:type="dxa"/>
          <w:tblLayout w:type="fixed"/>
        </w:tblPrEx>
        <w:trPr>
          <w:trHeight w:val="1100"/>
        </w:trPr>
        <w:tc>
          <w:tcPr>
            <w:tcW w:w="30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5" w:lineRule="auto"/>
              <w:ind w:left="179" w:right="54" w:hanging="49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手办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16%</w:t>
            </w:r>
          </w:p>
        </w:tc>
        <w:tc>
          <w:tcPr>
            <w:tcW w:w="3984" w:type="dxa"/>
            <w:gridSpan w:val="3"/>
            <w:vAlign w:val="top"/>
          </w:tcPr>
          <w:p>
            <w:pPr>
              <w:pStyle w:val="TableText"/>
              <w:spacing w:before="246" w:line="254" w:lineRule="exact"/>
              <w:ind w:left="53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5"/>
              </w:rPr>
              <w:t>建筑模型</w:t>
            </w:r>
            <w:r>
              <w:rPr>
                <w:rFonts w:ascii="Times New Roman" w:eastAsia="Times New Roman" w:hAnsi="Times New Roman" w:cs="Times New Roman"/>
                <w:spacing w:val="-1"/>
                <w:position w:val="5"/>
              </w:rPr>
              <w:t>,</w:t>
            </w:r>
          </w:p>
          <w:p>
            <w:pPr>
              <w:spacing w:line="186" w:lineRule="auto"/>
              <w:ind w:left="26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23%</w:t>
            </w:r>
          </w:p>
        </w:tc>
      </w:tr>
      <w:tr>
        <w:tblPrEx>
          <w:tblW w:w="7627" w:type="dxa"/>
          <w:tblInd w:w="2829" w:type="dxa"/>
          <w:tblLayout w:type="fixed"/>
        </w:tblPrEx>
        <w:trPr>
          <w:trHeight w:val="884"/>
        </w:trPr>
        <w:tc>
          <w:tcPr>
            <w:tcW w:w="3060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67" w:type="dxa"/>
            <w:gridSpan w:val="4"/>
            <w:tcBorders>
              <w:bottom w:val="single" w:sz="2" w:space="0" w:color="00000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7" w:lineRule="auto"/>
              <w:ind w:left="88"/>
            </w:pPr>
            <w:r>
              <w:rPr>
                <w:position w:val="1"/>
              </w:rPr>
              <w:drawing>
                <wp:inline distT="0" distB="0" distL="0" distR="0">
                  <wp:extent cx="57911" cy="57911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6"/>
              </w:rPr>
              <w:t xml:space="preserve"> </w:t>
            </w:r>
            <w:r>
              <w:rPr>
                <w:spacing w:val="-5"/>
              </w:rPr>
              <w:t>手办</w:t>
            </w:r>
            <w:r>
              <w:rPr>
                <w:spacing w:val="73"/>
                <w:w w:val="101"/>
              </w:rPr>
              <w:t xml:space="preserve"> </w:t>
            </w:r>
            <w:r>
              <w:rPr>
                <w:position w:val="1"/>
              </w:rPr>
              <w:drawing>
                <wp:inline distT="0" distB="0" distL="0" distR="0">
                  <wp:extent cx="57911" cy="57911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5"/>
              </w:rPr>
              <w:t xml:space="preserve"> </w:t>
            </w:r>
            <w:r>
              <w:rPr>
                <w:spacing w:val="-5"/>
              </w:rPr>
              <w:t>娃娃</w:t>
            </w:r>
            <w:r>
              <w:rPr>
                <w:spacing w:val="73"/>
              </w:rPr>
              <w:t xml:space="preserve"> </w:t>
            </w:r>
            <w:r>
              <w:rPr>
                <w:position w:val="1"/>
              </w:rPr>
              <w:drawing>
                <wp:inline distT="0" distB="0" distL="0" distR="0">
                  <wp:extent cx="57911" cy="57911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艺术玩具</w:t>
            </w:r>
            <w:r>
              <w:rPr>
                <w:spacing w:val="74"/>
              </w:rPr>
              <w:t xml:space="preserve"> </w:t>
            </w:r>
            <w:r>
              <w:rPr>
                <w:position w:val="1"/>
              </w:rPr>
              <w:drawing>
                <wp:inline distT="0" distB="0" distL="0" distR="0">
                  <wp:extent cx="56388" cy="57911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1"/>
              </w:rPr>
              <w:t xml:space="preserve"> </w:t>
            </w:r>
            <w:r>
              <w:rPr>
                <w:spacing w:val="-5"/>
              </w:rPr>
              <w:t>其他</w:t>
            </w:r>
          </w:p>
        </w:tc>
      </w:tr>
    </w:tbl>
    <w:p>
      <w:pPr>
        <w:pStyle w:val="BodyText"/>
        <w:spacing w:before="63" w:line="217" w:lineRule="auto"/>
        <w:ind w:left="2835"/>
        <w:rPr>
          <w:sz w:val="18"/>
          <w:szCs w:val="18"/>
        </w:rPr>
      </w:pPr>
      <w:r>
        <w:rPr>
          <w:spacing w:val="-5"/>
          <w:sz w:val="18"/>
          <w:szCs w:val="18"/>
        </w:rPr>
        <w:t>数据来源：</w:t>
      </w:r>
      <w:r>
        <w:rPr>
          <w:spacing w:val="3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8"/>
          <w:szCs w:val="18"/>
        </w:rPr>
        <w:t>Frost&amp;Sullivan</w:t>
      </w:r>
      <w:r>
        <w:rPr>
          <w:spacing w:val="-5"/>
          <w:sz w:val="18"/>
          <w:szCs w:val="18"/>
        </w:rPr>
        <w:t>、开源证券</w:t>
      </w:r>
      <w:r>
        <w:rPr>
          <w:spacing w:val="-6"/>
          <w:sz w:val="18"/>
          <w:szCs w:val="18"/>
        </w:rPr>
        <w:t>研究所</w:t>
      </w:r>
    </w:p>
    <w:p>
      <w:pPr>
        <w:spacing w:line="217" w:lineRule="auto"/>
        <w:rPr>
          <w:sz w:val="18"/>
          <w:szCs w:val="18"/>
        </w:rPr>
        <w:sectPr>
          <w:headerReference w:type="default" r:id="rId36"/>
          <w:footerReference w:type="default" r:id="rId37"/>
          <w:type w:val="nextPage"/>
          <w:pgSz w:w="11907" w:h="16839"/>
          <w:pgMar w:top="1307" w:right="667" w:bottom="1125" w:left="746" w:header="396" w:footer="839" w:gutter="0"/>
          <w:pgNumType w:start="13"/>
          <w:cols w:space="708"/>
          <w:titlePg w:val="0"/>
        </w:sectPr>
      </w:pPr>
    </w:p>
    <w:p>
      <w:pPr>
        <w:pStyle w:val="BodyText"/>
        <w:spacing w:before="201" w:line="213" w:lineRule="auto"/>
        <w:ind w:left="2815"/>
        <w:outlineLvl w:val="1"/>
      </w:pPr>
      <w:r>
        <w:pict>
          <v:shape id="_x0000_s1039" style="width:255.2pt;height:0.5pt;margin-top:299.09pt;margin-left:36.84pt;mso-position-horizontal-relative:page;mso-position-vertical-relative:page;position:absolute;z-index:251669504" coordorigin="0,0" coordsize="5103,10" o:allowincell="f" path="m,9l5103,9l5103,l,l,9xe" filled="t" fillcolor="black" stroked="f"/>
        </w:pict>
      </w:r>
      <w:r>
        <w:pict>
          <v:shape id="_x0000_s1040" style="width:255.2pt;height:0.5pt;margin-top:439.99pt;margin-left:36.84pt;mso-position-horizontal-relative:page;mso-position-vertical-relative:page;position:absolute;z-index:251667456" coordorigin="0,0" coordsize="5103,10" o:allowincell="f" path="m,9l5103,9l5103,l,l,9xe" filled="t" fillcolor="black" stroked="f"/>
        </w:pict>
      </w:r>
      <w:r>
        <w:pict>
          <v:shape id="_x0000_s1041" style="width:2.9pt;height:79.45pt;margin-top:313.56pt;margin-left:65.16pt;mso-position-horizontal-relative:page;mso-position-vertical-relative:page;position:absolute;z-index:251666432" coordorigin="0,0" coordsize="58,1588" o:allowincell="f" path="m4,1588l4,4m4,1324l57,1324m4,1060l57,1060m4,796l57,796m4,532l57,532m4,268l57,268m4,4l57,4e" filled="f" strokecolor="black" strokeweight="0.48pt"/>
        </w:pict>
      </w:r>
      <w:r>
        <w:pict>
          <v:shape id="_x0000_s1042" type="#_x0000_t202" style="width:10.95pt;height:76pt;margin-top:322.78pt;margin-left:47.91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50</w:t>
                  </w:r>
                </w:p>
                <w:p>
                  <w:pPr>
                    <w:spacing w:before="103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40</w:t>
                  </w:r>
                </w:p>
                <w:p>
                  <w:pPr>
                    <w:spacing w:before="102" w:line="186" w:lineRule="auto"/>
                    <w:ind w:left="2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30</w:t>
                  </w:r>
                </w:p>
                <w:p>
                  <w:pPr>
                    <w:spacing w:before="103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20</w:t>
                  </w:r>
                </w:p>
                <w:p>
                  <w:pPr>
                    <w:spacing w:before="103" w:line="186" w:lineRule="auto"/>
                    <w:ind w:left="3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10</w:t>
                  </w:r>
                </w:p>
                <w:p>
                  <w:pPr>
                    <w:spacing w:before="104" w:line="186" w:lineRule="auto"/>
                    <w:ind w:left="11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43" style="width:216.85pt;height:3pt;margin-top:390.24pt;margin-left:65.16pt;mso-position-horizontal-relative:page;mso-position-vertical-relative:page;position:absolute;z-index:251671552" coordorigin="0,0" coordsize="4337,60" o:allowincell="f" path="m4,55l57,55m4,55l4332,55m4,l4,55m1087,l1087,55m2167,l2167,55m3249,l3249,55m4332,l4332,55e" filled="f" strokecolor="black" strokeweight="0.48pt"/>
        </w:pict>
      </w:r>
      <w:r>
        <w:pict>
          <v:shape id="_x0000_s1044" style="width:255.2pt;height:0.5pt;margin-top:299.09pt;margin-left:304.73pt;mso-position-horizontal-relative:page;mso-position-vertical-relative:page;position:absolute;z-index:251670528" coordorigin="0,0" coordsize="5103,10" o:allowincell="f" path="m,9l5103,9l5103,l,l,9xe" filled="t" fillcolor="black" stroked="f"/>
        </w:pict>
      </w:r>
      <w:r>
        <w:pict>
          <v:shape id="_x0000_s1045" style="width:255.2pt;height:0.5pt;margin-top:439.99pt;margin-left:304.73pt;mso-position-horizontal-relative:page;mso-position-vertical-relative:page;position:absolute;z-index:251668480" coordorigin="0,0" coordsize="5103,10" o:allowincell="f" path="m,9l5103,9l5103,l,l,9xe" filled="t" fillcolor="black" stroked="f"/>
        </w:pict>
      </w:r>
      <w:bookmarkStart w:id="3" w:name="bookmark153"/>
      <w:bookmarkEnd w:id="3"/>
      <w:bookmarkStart w:id="4" w:name="bookmark42"/>
      <w:bookmarkEnd w:id="4"/>
      <w:bookmarkStart w:id="5" w:name="bookmark4"/>
      <w:bookmarkEnd w:id="5"/>
      <w:bookmarkStart w:id="6" w:name="bookmark5"/>
      <w:bookmarkEnd w:id="6"/>
      <w:r>
        <w:rPr>
          <w:rFonts w:ascii="Times New Roman" w:eastAsia="Times New Roman" w:hAnsi="Times New Roman" w:cs="Times New Roman"/>
          <w:b/>
          <w:bCs/>
          <w:color w:val="000080"/>
          <w:spacing w:val="-6"/>
        </w:rPr>
        <w:t>1.1.2</w:t>
      </w:r>
      <w:r>
        <w:rPr>
          <w:rFonts w:ascii="Times New Roman" w:eastAsia="Times New Roman" w:hAnsi="Times New Roman" w:cs="Times New Roman"/>
          <w:b/>
          <w:bCs/>
          <w:color w:val="000080"/>
          <w:spacing w:val="-25"/>
        </w:rPr>
        <w:t xml:space="preserve"> </w:t>
      </w:r>
      <w:r>
        <w:rPr>
          <w:color w:val="000080"/>
          <w:spacing w:val="-6"/>
          <w14:textOutline w14:w="3831">
            <w14:solidFill>
              <w14:srgbClr w14:val="000080"/>
            </w14:solidFill>
            <w14:prstDash w14:val="solid"/>
            <w14:round/>
          </w14:textOutline>
        </w:rPr>
        <w:t>、</w:t>
      </w:r>
      <w:r>
        <w:rPr>
          <w:color w:val="000080"/>
          <w:spacing w:val="-25"/>
        </w:rPr>
        <w:t xml:space="preserve"> </w:t>
      </w:r>
      <w:r>
        <w:rPr>
          <w:color w:val="000080"/>
          <w:spacing w:val="-6"/>
          <w14:textOutline w14:w="3831">
            <w14:solidFill>
              <w14:srgbClr w14:val="000080"/>
            </w14:solidFill>
            <w14:prstDash w14:val="solid"/>
            <w14:round/>
          </w14:textOutline>
        </w:rPr>
        <w:t>消费客群：</w:t>
      </w:r>
      <w:r>
        <w:rPr>
          <w:color w:val="000080"/>
          <w:spacing w:val="-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6"/>
        </w:rPr>
        <w:t>15-40</w:t>
      </w:r>
      <w:r>
        <w:rPr>
          <w:rFonts w:ascii="Times New Roman" w:eastAsia="Times New Roman" w:hAnsi="Times New Roman" w:cs="Times New Roman"/>
          <w:b/>
          <w:bCs/>
          <w:color w:val="000080"/>
          <w:spacing w:val="17"/>
        </w:rPr>
        <w:t xml:space="preserve"> </w:t>
      </w:r>
      <w:r>
        <w:rPr>
          <w:color w:val="000080"/>
          <w:spacing w:val="-6"/>
          <w14:textOutline w14:w="3831">
            <w14:solidFill>
              <w14:srgbClr w14:val="000080"/>
            </w14:solidFill>
            <w14:prstDash w14:val="solid"/>
            <w14:round/>
          </w14:textOutline>
        </w:rPr>
        <w:t>岁为主，渗透率持续提升</w:t>
      </w:r>
    </w:p>
    <w:p>
      <w:pPr>
        <w:pStyle w:val="BodyText"/>
        <w:spacing w:before="226" w:line="256" w:lineRule="auto"/>
        <w:ind w:left="2805" w:right="65" w:firstLine="422"/>
        <w:jc w:val="both"/>
      </w:pPr>
      <w:r>
        <w:rPr>
          <w:spacing w:val="-1"/>
        </w:rPr>
        <w:t>传统玩具通常供儿童玩耍，而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潮流玩具则以整体介于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15</w:t>
      </w:r>
      <w:r>
        <w:rPr>
          <w:rFonts w:ascii="Times New Roman" w:eastAsia="Times New Roman" w:hAnsi="Times New Roman" w:cs="Times New Roman"/>
          <w:b/>
          <w:bCs/>
          <w:spacing w:val="28"/>
          <w:w w:val="101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至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40</w:t>
      </w:r>
      <w:r>
        <w:rPr>
          <w:rFonts w:ascii="Times New Roman" w:eastAsia="Times New Roman" w:hAnsi="Times New Roman" w:cs="Times New Roman"/>
          <w:b/>
          <w:bCs/>
          <w:spacing w:val="32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岁</w:t>
      </w:r>
      <w:r>
        <w:rPr>
          <w:spacing w:val="-2"/>
        </w:rPr>
        <w:t>、追求从表达</w:t>
      </w:r>
      <w:r>
        <w:t xml:space="preserve"> </w:t>
      </w:r>
      <w:r>
        <w:rPr>
          <w:spacing w:val="2"/>
        </w:rPr>
        <w:t>个性和态度以及和他人分享挚爱获得情感价值的年轻人为目标受众</w:t>
      </w:r>
      <w:r>
        <w:rPr>
          <w:spacing w:val="1"/>
        </w:rPr>
        <w:t>，且大多具有一</w:t>
      </w:r>
      <w:r>
        <w:t xml:space="preserve"> </w:t>
      </w:r>
      <w:r>
        <w:rPr>
          <w:spacing w:val="-1"/>
        </w:rPr>
        <w:t>定收藏价值。</w:t>
      </w:r>
    </w:p>
    <w:p>
      <w:pPr>
        <w:pStyle w:val="BodyText"/>
        <w:spacing w:before="217" w:line="264" w:lineRule="auto"/>
        <w:ind w:left="2804" w:right="62" w:firstLine="432"/>
        <w:jc w:val="both"/>
      </w:pP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潮玩渗透率约为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6.2%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，且具备高复购、强粘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性。</w:t>
      </w:r>
      <w:r>
        <w:rPr>
          <w:spacing w:val="-1"/>
        </w:rPr>
        <w:t>根据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2021</w:t>
      </w:r>
      <w:r>
        <w:rPr>
          <w:rFonts w:ascii="Times New Roman" w:eastAsia="Times New Roman" w:hAnsi="Times New Roman" w:cs="Times New Roman"/>
          <w:spacing w:val="26"/>
          <w:w w:val="101"/>
        </w:rPr>
        <w:t xml:space="preserve"> </w:t>
      </w:r>
      <w:r>
        <w:rPr>
          <w:spacing w:val="-1"/>
        </w:rPr>
        <w:t>年人口普查，中国</w:t>
      </w:r>
      <w:r>
        <w:t xml:space="preserve"> </w:t>
      </w:r>
      <w:r>
        <w:rPr>
          <w:rFonts w:ascii="Times New Roman" w:eastAsia="Times New Roman" w:hAnsi="Times New Roman" w:cs="Times New Roman"/>
          <w:spacing w:val="-5"/>
        </w:rPr>
        <w:t>15-40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-5"/>
        </w:rPr>
        <w:t>岁人口数量约为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4.9 </w:t>
      </w:r>
      <w:r>
        <w:rPr>
          <w:spacing w:val="-5"/>
        </w:rPr>
        <w:t>亿，</w:t>
      </w:r>
      <w:r>
        <w:rPr>
          <w:spacing w:val="-37"/>
        </w:rPr>
        <w:t xml:space="preserve"> </w:t>
      </w:r>
      <w:r>
        <w:rPr>
          <w:spacing w:val="-5"/>
        </w:rPr>
        <w:t>另据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Statista </w:t>
      </w:r>
      <w:r>
        <w:rPr>
          <w:spacing w:val="-5"/>
        </w:rPr>
        <w:t>数据，</w:t>
      </w:r>
      <w:r>
        <w:rPr>
          <w:spacing w:val="-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2020 </w:t>
      </w:r>
      <w:r>
        <w:rPr>
          <w:spacing w:val="-5"/>
        </w:rPr>
        <w:t>年中</w:t>
      </w:r>
      <w:r>
        <w:rPr>
          <w:spacing w:val="-6"/>
        </w:rPr>
        <w:t>国潮玩客群约为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3000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6"/>
        </w:rPr>
        <w:t>万</w:t>
      </w:r>
      <w:r>
        <w:t xml:space="preserve"> </w:t>
      </w:r>
      <w:r>
        <w:t>人，经测算潮玩渗透率约为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6.2%</w:t>
      </w:r>
      <w:r>
        <w:t>，伴随潮流文化传播及精神需求</w:t>
      </w:r>
      <w:r>
        <w:rPr>
          <w:spacing w:val="-1"/>
        </w:rPr>
        <w:t>的增加，渗透率仍</w:t>
      </w:r>
      <w:r>
        <w:t xml:space="preserve"> </w:t>
      </w:r>
      <w:r>
        <w:rPr>
          <w:spacing w:val="-1"/>
        </w:rPr>
        <w:t>有较大提升空间，预计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2030 </w:t>
      </w:r>
      <w:r>
        <w:rPr>
          <w:spacing w:val="-1"/>
        </w:rPr>
        <w:t>年中国潮玩客群数</w:t>
      </w:r>
      <w:r>
        <w:rPr>
          <w:spacing w:val="-2"/>
        </w:rPr>
        <w:t>量有望增至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4900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2"/>
        </w:rPr>
        <w:t>万人。截至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2023 </w:t>
      </w:r>
      <w:r>
        <w:rPr>
          <w:spacing w:val="-2"/>
        </w:rPr>
        <w:t>年</w:t>
      </w:r>
      <w:r>
        <w:t xml:space="preserve"> </w:t>
      </w:r>
      <w:r>
        <w:rPr>
          <w:rFonts w:ascii="Times New Roman" w:eastAsia="Times New Roman" w:hAnsi="Times New Roman" w:cs="Times New Roman"/>
          <w:spacing w:val="-5"/>
        </w:rPr>
        <w:t>6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-5"/>
        </w:rPr>
        <w:t>月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30  </w:t>
      </w:r>
      <w:r>
        <w:rPr>
          <w:spacing w:val="-5"/>
        </w:rPr>
        <w:t>日，泡泡玛特会员人数已突破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3</w:t>
      </w:r>
      <w:r>
        <w:rPr>
          <w:rFonts w:ascii="Times New Roman" w:eastAsia="Times New Roman" w:hAnsi="Times New Roman" w:cs="Times New Roman"/>
          <w:spacing w:val="-6"/>
        </w:rPr>
        <w:t>000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6"/>
        </w:rPr>
        <w:t>万人，</w:t>
      </w:r>
      <w:r>
        <w:rPr>
          <w:spacing w:val="-28"/>
        </w:rPr>
        <w:t xml:space="preserve"> </w:t>
      </w:r>
      <w:r>
        <w:rPr>
          <w:spacing w:val="-6"/>
        </w:rPr>
        <w:t>复购率达到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44.5%</w:t>
      </w:r>
      <w:r>
        <w:rPr>
          <w:spacing w:val="-6"/>
        </w:rPr>
        <w:t>，且会员销售额</w:t>
      </w:r>
      <w:r>
        <w:t xml:space="preserve"> </w:t>
      </w:r>
      <w:r>
        <w:rPr>
          <w:spacing w:val="-1"/>
        </w:rPr>
        <w:t>贡献占比达到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92.2%</w:t>
      </w:r>
      <w:r>
        <w:rPr>
          <w:spacing w:val="-1"/>
        </w:rPr>
        <w:t>，具备较强用户粘性。</w:t>
      </w:r>
    </w:p>
    <w:p>
      <w:pPr>
        <w:spacing w:before="7"/>
      </w:pPr>
    </w:p>
    <w:p>
      <w:pPr>
        <w:spacing w:before="6"/>
      </w:pPr>
    </w:p>
    <w:p>
      <w:pPr>
        <w:sectPr>
          <w:headerReference w:type="default" r:id="rId38"/>
          <w:footerReference w:type="default" r:id="rId39"/>
          <w:pgSz w:w="11907" w:h="16839"/>
          <w:pgMar w:top="1307" w:right="667" w:bottom="1125" w:left="736" w:header="396" w:footer="839" w:gutter="0"/>
          <w:pgNumType w:start="14"/>
          <w:cols w:num="1" w:space="708" w:equalWidth="0">
            <w:col w:w="10503" w:space="0"/>
          </w:cols>
        </w:sectPr>
      </w:pPr>
    </w:p>
    <w:p>
      <w:pPr>
        <w:pStyle w:val="BodyText"/>
        <w:spacing w:before="42" w:line="218" w:lineRule="auto"/>
        <w:ind w:left="33"/>
      </w:pPr>
      <w:r>
        <w:rPr>
          <w:color w:val="000080"/>
          <w:spacing w:val="-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</w:rPr>
        <w:t>3</w:t>
      </w:r>
      <w:r>
        <w:rPr>
          <w:color w:val="000080"/>
          <w:spacing w:val="-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</w:rPr>
        <w:t xml:space="preserve">2030 </w:t>
      </w:r>
      <w:r>
        <w:rPr>
          <w:color w:val="000080"/>
          <w:spacing w:val="-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年中国潮玩客群数量有望增至</w:t>
      </w:r>
      <w:r>
        <w:rPr>
          <w:color w:val="000080"/>
          <w:spacing w:val="-4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</w:rPr>
        <w:t>4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</w:rPr>
        <w:t>900</w:t>
      </w:r>
      <w:r>
        <w:rPr>
          <w:rFonts w:ascii="Times New Roman" w:eastAsia="Times New Roman" w:hAnsi="Times New Roman" w:cs="Times New Roman"/>
          <w:b/>
          <w:bCs/>
          <w:color w:val="000080"/>
          <w:spacing w:val="13"/>
          <w:w w:val="101"/>
        </w:rPr>
        <w:t xml:space="preserve"> </w:t>
      </w:r>
      <w:r>
        <w:rPr>
          <w:color w:val="000080"/>
          <w:spacing w:val="-2"/>
          <w14:textOutline w14:w="3831">
            <w14:solidFill>
              <w14:srgbClr w14:val="000080"/>
            </w14:solidFill>
            <w14:prstDash w14:val="solid"/>
            <w14:round/>
          </w14:textOutline>
        </w:rPr>
        <w:t>万人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52" w:line="186" w:lineRule="auto"/>
        <w:ind w:left="246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shape id="_x0000_s1046" type="#_x0000_t202" style="width:11.9pt;height:10.95pt;margin-top:5.75pt;margin-left:212.13pt;position:absolute;z-index:251681792" filled="f" stroked="f">
            <o:lock v:ext="edit" aspectratio="f"/>
            <v:textbox inset="0,0,0,0">
              <w:txbxContent>
                <w:p>
                  <w:pPr>
                    <w:spacing w:before="19" w:line="185" w:lineRule="auto"/>
                    <w:ind w:left="20"/>
                    <w:rPr>
                      <w:rFonts w:ascii="Calibri" w:eastAsia="Calibri" w:hAnsi="Calibri" w:cs="Calibri"/>
                      <w:sz w:val="19"/>
                      <w:szCs w:val="19"/>
                    </w:rPr>
                  </w:pPr>
                  <w:r>
                    <w:rPr>
                      <w:rFonts w:ascii="Calibri" w:eastAsia="Calibri" w:hAnsi="Calibri" w:cs="Calibri"/>
                      <w:spacing w:val="2"/>
                      <w:sz w:val="19"/>
                      <w:szCs w:val="19"/>
                    </w:rPr>
                    <w:t>49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60</w:t>
      </w:r>
    </w:p>
    <w:p>
      <w:pPr>
        <w:spacing w:before="160" w:line="1328" w:lineRule="exact"/>
        <w:ind w:firstLine="895"/>
      </w:pPr>
      <w:r>
        <w:rPr>
          <w:position w:val="-26"/>
        </w:rPr>
        <w:pict>
          <v:group id="_x0000_i1047" style="width:184pt;height:66.4pt;mso-position-horizontal-relative:char;mso-position-vertical-relative:line" coordorigin="0,0" coordsize="3680,1328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8" type="#_x0000_t75" style="width:3680;height:1293;position:absolute;top:34" filled="f" stroked="f">
              <v:imagedata r:id="rId40" o:title=""/>
            </v:shape>
            <v:shape id="_x0000_s1049" type="#_x0000_t202" style="width:3720;height:136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185" w:lineRule="auto"/>
                      <w:ind w:left="2305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2"/>
                        <w:sz w:val="19"/>
                        <w:szCs w:val="19"/>
                      </w:rPr>
                      <w:t>40</w:t>
                    </w:r>
                  </w:p>
                  <w:p>
                    <w:pPr>
                      <w:spacing w:before="85" w:line="185" w:lineRule="auto"/>
                      <w:ind w:left="1228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1"/>
                        <w:sz w:val="19"/>
                        <w:szCs w:val="19"/>
                      </w:rPr>
                      <w:t>30</w:t>
                    </w:r>
                  </w:p>
                  <w:p>
                    <w:pPr>
                      <w:spacing w:before="111" w:line="185" w:lineRule="auto"/>
                      <w:ind w:left="154"/>
                      <w:rPr>
                        <w:rFonts w:ascii="Calibri" w:eastAsia="Calibri" w:hAnsi="Calibri" w:cs="Calibr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spacing w:val="-2"/>
                        <w:sz w:val="19"/>
                        <w:szCs w:val="19"/>
                      </w:rPr>
                      <w:t>19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47" w:line="186" w:lineRule="auto"/>
        <w:ind w:left="936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2015                2020  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     2025E              2030E</w:t>
      </w:r>
    </w:p>
    <w:p>
      <w:pPr>
        <w:pStyle w:val="BodyText"/>
        <w:spacing w:before="193" w:line="218" w:lineRule="auto"/>
        <w:ind w:left="1502"/>
        <w:rPr>
          <w:sz w:val="18"/>
          <w:szCs w:val="18"/>
        </w:rPr>
      </w:pPr>
      <w:r>
        <w:rPr>
          <w:position w:val="1"/>
          <w:sz w:val="18"/>
          <w:szCs w:val="18"/>
        </w:rPr>
        <w:drawing>
          <wp:inline distT="0" distB="0" distL="0" distR="0">
            <wp:extent cx="57911" cy="56388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0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中国潮玩客群数量（百万）</w:t>
      </w:r>
    </w:p>
    <w:p>
      <w:pPr>
        <w:pStyle w:val="BodyText"/>
        <w:spacing w:before="300" w:line="185" w:lineRule="auto"/>
        <w:ind w:left="4"/>
        <w:rPr>
          <w:sz w:val="18"/>
          <w:szCs w:val="18"/>
        </w:rPr>
      </w:pPr>
      <w:r>
        <w:rPr>
          <w:spacing w:val="-5"/>
          <w:sz w:val="18"/>
          <w:szCs w:val="18"/>
        </w:rPr>
        <w:t>数据来源：</w:t>
      </w:r>
      <w:r>
        <w:rPr>
          <w:spacing w:val="-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8"/>
          <w:szCs w:val="18"/>
        </w:rPr>
        <w:t>Statista</w:t>
      </w:r>
      <w:r>
        <w:rPr>
          <w:spacing w:val="-5"/>
          <w:sz w:val="18"/>
          <w:szCs w:val="18"/>
        </w:rPr>
        <w:t>、开源证券研究所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53" w:lineRule="auto"/>
        <w:ind w:left="13" w:right="41" w:firstLine="19"/>
        <w:rPr>
          <w:rFonts w:ascii="Times New Roman" w:eastAsia="Times New Roman" w:hAnsi="Times New Roman" w:cs="Times New Roman"/>
        </w:rPr>
      </w:pPr>
      <w:r>
        <w:rPr>
          <w:color w:val="000080"/>
          <w:spacing w:val="-6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6"/>
        </w:rPr>
        <w:t>4</w:t>
      </w:r>
      <w:r>
        <w:rPr>
          <w:color w:val="000080"/>
          <w:spacing w:val="-6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6"/>
        </w:rPr>
        <w:t>2023H1</w:t>
      </w:r>
      <w:r>
        <w:rPr>
          <w:rFonts w:ascii="Times New Roman" w:eastAsia="Times New Roman" w:hAnsi="Times New Roman" w:cs="Times New Roman"/>
          <w:b/>
          <w:bCs/>
          <w:color w:val="000080"/>
          <w:spacing w:val="21"/>
          <w:w w:val="101"/>
        </w:rPr>
        <w:t xml:space="preserve"> </w:t>
      </w:r>
      <w:r>
        <w:rPr>
          <w:color w:val="000080"/>
          <w:spacing w:val="-6"/>
          <w14:textOutline w14:w="3831">
            <w14:solidFill>
              <w14:srgbClr w14:val="000080"/>
            </w14:solidFill>
            <w14:prstDash w14:val="solid"/>
            <w14:round/>
          </w14:textOutline>
        </w:rPr>
        <w:t>泡泡玛特会员人数扩大至</w:t>
      </w:r>
      <w:r>
        <w:rPr>
          <w:color w:val="000080"/>
          <w:spacing w:val="-4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6"/>
        </w:rPr>
        <w:t>3039</w:t>
      </w:r>
      <w:r>
        <w:rPr>
          <w:rFonts w:ascii="Times New Roman" w:eastAsia="Times New Roman" w:hAnsi="Times New Roman" w:cs="Times New Roman"/>
          <w:b/>
          <w:bCs/>
          <w:color w:val="000080"/>
          <w:spacing w:val="14"/>
        </w:rPr>
        <w:t xml:space="preserve"> </w:t>
      </w:r>
      <w:r>
        <w:rPr>
          <w:color w:val="000080"/>
          <w:spacing w:val="-6"/>
          <w14:textOutline w14:w="3831">
            <w14:solidFill>
              <w14:srgbClr w14:val="000080"/>
            </w14:solidFill>
            <w14:prstDash w14:val="solid"/>
            <w14:round/>
          </w14:textOutline>
        </w:rPr>
        <w:t>万人，</w:t>
      </w:r>
      <w:r>
        <w:rPr>
          <w:color w:val="000080"/>
          <w:spacing w:val="-53"/>
        </w:rPr>
        <w:t xml:space="preserve"> </w:t>
      </w:r>
      <w:r>
        <w:rPr>
          <w:color w:val="000080"/>
          <w:spacing w:val="-6"/>
          <w14:textOutline w14:w="3831">
            <w14:solidFill>
              <w14:srgbClr w14:val="000080"/>
            </w14:solidFill>
            <w14:prstDash w14:val="solid"/>
            <w14:round/>
          </w14:textOutline>
        </w:rPr>
        <w:t>复购</w:t>
      </w:r>
      <w:r>
        <w:rPr>
          <w:color w:val="000080"/>
        </w:rPr>
        <w:t xml:space="preserve"> </w:t>
      </w:r>
      <w:r>
        <w:rPr>
          <w:color w:val="000080"/>
          <w:spacing w:val="-3"/>
          <w14:textOutline w14:w="3831">
            <w14:solidFill>
              <w14:srgbClr w14:val="000080"/>
            </w14:solidFill>
            <w14:prstDash w14:val="solid"/>
            <w14:round/>
          </w14:textOutline>
        </w:rPr>
        <w:t>率为</w:t>
      </w:r>
      <w:r>
        <w:rPr>
          <w:color w:val="000080"/>
          <w:spacing w:val="-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</w:rPr>
        <w:t>44.5%</w:t>
      </w:r>
    </w:p>
    <w:p>
      <w:pPr>
        <w:spacing w:line="217" w:lineRule="exact"/>
      </w:pPr>
    </w:p>
    <w:tbl>
      <w:tblPr>
        <w:tblStyle w:val="TableNormal2"/>
        <w:tblW w:w="4897" w:type="dxa"/>
        <w:tblInd w:w="24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76"/>
        <w:gridCol w:w="4124"/>
        <w:gridCol w:w="297"/>
      </w:tblGrid>
      <w:tr>
        <w:tblPrEx>
          <w:tblW w:w="4897" w:type="dxa"/>
          <w:tblInd w:w="24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29"/>
        </w:trPr>
        <w:tc>
          <w:tcPr>
            <w:tcW w:w="476" w:type="dxa"/>
            <w:vAlign w:val="top"/>
          </w:tcPr>
          <w:p>
            <w:pPr>
              <w:spacing w:before="12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4,000</w:t>
            </w:r>
          </w:p>
          <w:p>
            <w:pPr>
              <w:spacing w:before="144" w:line="186" w:lineRule="auto"/>
              <w:ind w:left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3,000</w:t>
            </w:r>
          </w:p>
          <w:p>
            <w:pPr>
              <w:spacing w:before="144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2,000</w:t>
            </w:r>
          </w:p>
          <w:p>
            <w:pPr>
              <w:spacing w:before="144" w:line="186" w:lineRule="auto"/>
              <w:ind w:left="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1,000</w:t>
            </w:r>
          </w:p>
          <w:p>
            <w:pPr>
              <w:spacing w:before="143" w:line="186" w:lineRule="auto"/>
              <w:ind w:left="3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124" w:type="dxa"/>
            <w:vAlign w:val="top"/>
          </w:tcPr>
          <w:tbl>
            <w:tblPr>
              <w:tblStyle w:val="TableNormal2"/>
              <w:tblW w:w="3966" w:type="dxa"/>
              <w:tblInd w:w="76" w:type="dxa"/>
              <w:tblBorders>
                <w:top w:val="single" w:sz="2" w:space="0" w:color="000000"/>
                <w:left w:val="single" w:sz="2" w:space="0" w:color="000000"/>
                <w:bottom w:val="single" w:sz="4" w:space="0" w:color="000000"/>
                <w:right w:val="single" w:sz="2" w:space="0" w:color="000000"/>
              </w:tblBorders>
              <w:tblLayout w:type="fixed"/>
            </w:tblPr>
            <w:tblGrid>
              <w:gridCol w:w="3966"/>
            </w:tblGrid>
            <w:tr>
              <w:tblPrEx>
                <w:tblW w:w="3966" w:type="dxa"/>
                <w:tblInd w:w="76" w:type="dxa"/>
                <w:tblBorders>
                  <w:top w:val="single" w:sz="2" w:space="0" w:color="000000"/>
                  <w:left w:val="single" w:sz="2" w:space="0" w:color="000000"/>
                  <w:bottom w:val="single" w:sz="4" w:space="0" w:color="000000"/>
                  <w:right w:val="single" w:sz="2" w:space="0" w:color="000000"/>
                </w:tblBorders>
                <w:tblLayout w:type="fixed"/>
              </w:tblPrEx>
              <w:trPr>
                <w:trHeight w:val="1285"/>
              </w:trPr>
              <w:tc>
                <w:tcPr>
                  <w:tcW w:w="3966" w:type="dxa"/>
                  <w:vAlign w:val="top"/>
                </w:tcPr>
                <w:tbl>
                  <w:tblPr>
                    <w:tblStyle w:val="TableNormal2"/>
                    <w:tblW w:w="3961" w:type="dxa"/>
                    <w:tblInd w:w="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1180"/>
                    <w:gridCol w:w="603"/>
                    <w:gridCol w:w="482"/>
                    <w:gridCol w:w="1184"/>
                    <w:gridCol w:w="512"/>
                  </w:tblGrid>
                  <w:tr>
                    <w:tblPrEx>
                      <w:tblW w:w="3961" w:type="dxa"/>
                      <w:tblInd w:w="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1273"/>
                    </w:trPr>
                    <w:tc>
                      <w:tcPr>
                        <w:tcW w:w="1180" w:type="dxa"/>
                        <w:vAlign w:val="top"/>
                      </w:tcPr>
                      <w:p>
                        <w:pPr>
                          <w:spacing w:line="36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9" w:lineRule="exact"/>
                        </w:pPr>
                        <w:r>
                          <w:drawing>
                            <wp:inline distT="0" distB="0" distL="0" distR="0">
                              <wp:extent cx="33401" cy="6095"/>
                              <wp:effectExtent l="0" t="0" r="0" b="0"/>
                              <wp:docPr id="30" name="IM 3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" name="IM 3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3401" cy="60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spacing w:line="29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9" w:lineRule="exact"/>
                        </w:pPr>
                        <w:r>
                          <w:drawing>
                            <wp:inline distT="0" distB="0" distL="0" distR="0">
                              <wp:extent cx="33401" cy="6095"/>
                              <wp:effectExtent l="0" t="0" r="0" b="0"/>
                              <wp:docPr id="32" name="IM 3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2" name="IM 3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3401" cy="60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spacing w:line="29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9" w:lineRule="exact"/>
                        </w:pPr>
                        <w:r>
                          <w:drawing>
                            <wp:inline distT="0" distB="0" distL="0" distR="0">
                              <wp:extent cx="33401" cy="6095"/>
                              <wp:effectExtent l="0" t="0" r="0" b="0"/>
                              <wp:docPr id="34" name="IM 3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4" name="IM 3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3401" cy="609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spacing w:before="43" w:line="194" w:lineRule="auto"/>
                          <w:ind w:left="210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pacing w:val="-3"/>
                            <w:sz w:val="16"/>
                            <w:szCs w:val="16"/>
                          </w:rPr>
                          <w:t>30</w:t>
                        </w:r>
                        <w:r>
                          <w:rPr>
                            <w:rFonts w:ascii="Calibri" w:eastAsia="Calibri" w:hAnsi="Calibri" w:cs="Calibri"/>
                            <w:spacing w:val="1"/>
                            <w:sz w:val="16"/>
                            <w:szCs w:val="16"/>
                          </w:rPr>
                          <w:t xml:space="preserve">           </w:t>
                        </w:r>
                        <w:r>
                          <w:rPr>
                            <w:rFonts w:ascii="Calibri" w:eastAsia="Calibri" w:hAnsi="Calibri" w:cs="Calibri"/>
                            <w:spacing w:val="-3"/>
                            <w:sz w:val="16"/>
                            <w:szCs w:val="16"/>
                          </w:rPr>
                          <w:t>70</w:t>
                        </w:r>
                      </w:p>
                      <w:p>
                        <w:pPr>
                          <w:spacing w:before="46" w:line="26" w:lineRule="exact"/>
                          <w:ind w:left="561"/>
                        </w:pPr>
                        <w:r>
                          <w:rPr>
                            <w:position w:val="-1"/>
                          </w:rPr>
                          <w:drawing>
                            <wp:inline distT="0" distB="0" distL="0" distR="0">
                              <wp:extent cx="365759" cy="16076"/>
                              <wp:effectExtent l="0" t="0" r="0" b="0"/>
                              <wp:docPr id="36" name="IM 3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6" name="IM 3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65759" cy="1607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603" w:type="dxa"/>
                        <w:vAlign w:val="top"/>
                      </w:tcPr>
                      <w:p>
                        <w:pPr>
                          <w:spacing w:before="118" w:line="182" w:lineRule="auto"/>
                          <w:ind w:left="43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pict>
                            <v:rect id="_x0000_s1050" style="width:5.55pt;height:5.55pt;margin-top:17.57pt;margin-left:-21.1pt;mso-position-horizontal-relative:right-margin-area;mso-position-vertical-relative:top-margin-area;position:absolute;z-index:251683840" filled="t" fillcolor="#ed7d31" stroked="f"/>
                          </w:pict>
                        </w:r>
                        <w:r>
                          <w:rPr>
                            <w:rFonts w:ascii="Calibri" w:eastAsia="Calibri" w:hAnsi="Calibri" w:cs="Calibri"/>
                            <w:spacing w:val="-1"/>
                            <w:sz w:val="16"/>
                            <w:szCs w:val="16"/>
                          </w:rPr>
                          <w:t>58.0%</w:t>
                        </w:r>
                      </w:p>
                      <w:p>
                        <w:pPr>
                          <w:spacing w:line="33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3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49" w:line="179" w:lineRule="auto"/>
                          <w:ind w:left="123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pacing w:val="-2"/>
                            <w:sz w:val="16"/>
                            <w:szCs w:val="16"/>
                          </w:rPr>
                          <w:t>220</w:t>
                        </w:r>
                      </w:p>
                      <w:p>
                        <w:pPr>
                          <w:spacing w:before="84" w:line="45" w:lineRule="exact"/>
                          <w:ind w:left="118"/>
                        </w:pPr>
                        <w:r>
                          <w:rPr>
                            <w:position w:val="-1"/>
                          </w:rPr>
                          <w:drawing>
                            <wp:inline distT="0" distB="0" distL="0" distR="0">
                              <wp:extent cx="257555" cy="28268"/>
                              <wp:effectExtent l="0" t="0" r="0" b="0"/>
                              <wp:docPr id="38" name="IM 3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8" name="IM 3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7555" cy="2826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482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line="2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49" w:line="179" w:lineRule="auto"/>
                          <w:ind w:left="85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pacing w:val="-2"/>
                            <w:sz w:val="16"/>
                            <w:szCs w:val="16"/>
                          </w:rPr>
                          <w:t>740</w:t>
                        </w:r>
                      </w:p>
                      <w:p>
                        <w:pPr>
                          <w:spacing w:before="84" w:line="203" w:lineRule="exact"/>
                          <w:ind w:left="79"/>
                        </w:pPr>
                        <w:r>
                          <w:rPr>
                            <w:position w:val="-4"/>
                          </w:rPr>
                          <w:drawing>
                            <wp:inline distT="0" distB="0" distL="0" distR="0">
                              <wp:extent cx="150876" cy="128852"/>
                              <wp:effectExtent l="0" t="0" r="0" b="0"/>
                              <wp:docPr id="40" name="IM 4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0" name="IM 4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0876" cy="12885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184" w:type="dxa"/>
                        <w:tcBorders>
                          <w:left w:val="single" w:sz="2" w:space="0" w:color="000000"/>
                        </w:tcBorders>
                        <w:vAlign w:val="top"/>
                      </w:tcPr>
                      <w:p>
                        <w:pPr>
                          <w:spacing w:line="174" w:lineRule="auto"/>
                          <w:ind w:left="754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pict>
                            <v:rect id="_x0000_s1051" style="width:5.55pt;height:5.55pt;margin-top:23.09pt;margin-left:-19.44pt;mso-position-horizontal-relative:right-margin-area;mso-position-vertical-relative:top-margin-area;position:absolute;z-index:251682816" filled="t" fillcolor="#ed7d31" stroked="f"/>
                          </w:pict>
                        </w:r>
                        <w:r>
                          <w:drawing>
                            <wp:anchor distT="0" distB="0" distL="0" distR="0" simplePos="0" relativeHeight="251674624" behindDoc="1" locked="0" layoutInCell="1" allowOverlap="1">
                              <wp:simplePos x="0" y="0"/>
                              <wp:positionH relativeFrom="rightMargin">
                                <wp:posOffset>-288289</wp:posOffset>
                              </wp:positionH>
                              <wp:positionV relativeFrom="topMargin">
                                <wp:posOffset>313487</wp:posOffset>
                              </wp:positionV>
                              <wp:extent cx="150875" cy="505967"/>
                              <wp:effectExtent l="0" t="0" r="0" b="0"/>
                              <wp:wrapNone/>
                              <wp:docPr id="42" name="IM 4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2" name="IM 4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0875" cy="50596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shape id="_x0000_s1052" style="width:28.8pt;height:2.65pt;margin-top:61.88pt;margin-left:-31.1pt;mso-position-horizontal-relative:right-margin-area;mso-position-vertical-relative:top-margin-area;position:absolute;z-index:251686912" coordorigin="0,0" coordsize="575,53" path="m4,l4,52m571,l571,52e" filled="f" strokecolor="black" strokeweight="0.48pt"/>
                          </w:pict>
                        </w:r>
                        <w:r>
                          <w:rPr>
                            <w:rFonts w:ascii="Calibri" w:eastAsia="Calibri" w:hAnsi="Calibri" w:cs="Calibri"/>
                            <w:spacing w:val="-1"/>
                            <w:sz w:val="16"/>
                            <w:szCs w:val="16"/>
                          </w:rPr>
                          <w:t>50.7%</w:t>
                        </w:r>
                      </w:p>
                      <w:p>
                        <w:pPr>
                          <w:spacing w:line="105" w:lineRule="exact"/>
                          <w:ind w:left="88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pacing w:val="-2"/>
                            <w:position w:val="-2"/>
                            <w:sz w:val="16"/>
                            <w:szCs w:val="16"/>
                          </w:rPr>
                          <w:t>56.5%</w:t>
                        </w:r>
                      </w:p>
                      <w:p>
                        <w:pPr>
                          <w:spacing w:line="219" w:lineRule="auto"/>
                          <w:ind w:left="672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pict>
                            <v:shape id="_x0000_s1053" style="width:5.4pt;height:17.45pt;margin-top:-3.8pt;margin-left:42.14pt;position:absolute;z-index:251685888" coordorigin="0,0" coordsize="108,349" path="m4,346l103,1e" filled="f" strokecolor="black" strokeweight="0.48pt"/>
                          </w:pict>
                        </w:r>
                        <w:r>
                          <w:rPr>
                            <w:rFonts w:ascii="Calibri" w:eastAsia="Calibri" w:hAnsi="Calibri" w:cs="Calibri"/>
                            <w:spacing w:val="-2"/>
                            <w:sz w:val="16"/>
                            <w:szCs w:val="16"/>
                          </w:rPr>
                          <w:t>2,600</w:t>
                        </w:r>
                      </w:p>
                      <w:p>
                        <w:pPr>
                          <w:spacing w:before="14" w:line="223" w:lineRule="auto"/>
                          <w:ind w:left="110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mc:AlternateContent>
                            <mc:Choice Requires="wps">
                              <w:drawing>
                                <wp:anchor distT="0" distB="0" distL="0" distR="0" simplePos="0" relativeHeight="251673600" behindDoc="1" locked="0" layoutInCell="1" allowOverlap="1">
                                  <wp:simplePos x="0" y="0"/>
                                  <wp:positionH relativeFrom="column">
                                    <wp:posOffset>143700</wp:posOffset>
                                  </wp:positionH>
                                  <wp:positionV relativeFrom="paragraph">
                                    <wp:posOffset>-32306</wp:posOffset>
                                  </wp:positionV>
                                  <wp:extent cx="70485" cy="70485"/>
                                  <wp:effectExtent l="0" t="0" r="0" b="0"/>
                                  <wp:wrapNone/>
                                  <wp:docPr id="44" name="Rect 44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 xmlns:wps="http://schemas.microsoft.com/office/word/2010/wordprocessingShape">
                                        <wps:cNvSpPr/>
                                        <wps:spPr>
                                          <a:xfrm>
                                            <a:off x="143700" y="-32306"/>
                                            <a:ext cx="70485" cy="704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ED7D31"/>
                                          </a:solidFill>
                                          <a:ln w="0">
                                            <a:noFill/>
                                          </a:ln>
                                        </wps:spPr>
                                        <wps:style>
                                          <a:lnRef idx="0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      </wps:wsp>
                                    </a:graphicData>
                                  </a:graphic>
                                </wp:anchor>
                              </w:drawing>
                            </mc:Choice>
                            <mc:Fallback>
                              <w:pict>
                                <v:rect id="Rect 44" o:spid="_x0000_s1054" style="width:5.55pt;height:5.55pt;margin-top:-2.54pt;margin-left:11.31pt;mso-wrap-distance-bottom:0;mso-wrap-distance-left:0;mso-wrap-distance-right:0;mso-wrap-distance-top:0;position:absolute;v-text-anchor:top;z-index:-251643904" fillcolor="#ed7d31" stroked="f"/>
                              </w:pict>
                            </mc:Fallback>
                          </mc:AlternateContent>
                        </w:r>
                        <w:r>
                          <w:rPr>
                            <w:rFonts w:ascii="Calibri" w:eastAsia="Calibri" w:hAnsi="Calibri" w:cs="Calibri"/>
                            <w:spacing w:val="-3"/>
                            <w:sz w:val="16"/>
                            <w:szCs w:val="16"/>
                          </w:rPr>
                          <w:t>1,958</w:t>
                        </w:r>
                      </w:p>
                      <w:p>
                        <w:pPr>
                          <w:spacing w:before="68" w:line="573" w:lineRule="exact"/>
                          <w:ind w:firstLine="161"/>
                        </w:pPr>
                        <w:r>
                          <w:rPr>
                            <w:position w:val="-11"/>
                          </w:rPr>
                          <w:drawing>
                            <wp:inline distT="0" distB="0" distL="0" distR="0">
                              <wp:extent cx="150875" cy="363548"/>
                              <wp:effectExtent l="0" t="0" r="0" b="0"/>
                              <wp:docPr id="46" name="IM 4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6" name="IM 4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0875" cy="36354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12" w:type="dxa"/>
                        <w:vAlign w:val="top"/>
                      </w:tcPr>
                      <w:p>
                        <w:pPr>
                          <w:spacing w:before="111" w:line="222" w:lineRule="auto"/>
                          <w:ind w:left="35" w:right="79" w:firstLine="21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drawing>
                            <wp:anchor distT="0" distB="0" distL="0" distR="0" simplePos="0" relativeHeight="251675648" behindDoc="1" locked="0" layoutInCell="1" allowOverlap="1">
                              <wp:simplePos x="0" y="0"/>
                              <wp:positionH relativeFrom="column">
                                <wp:posOffset>71373</wp:posOffset>
                              </wp:positionH>
                              <wp:positionV relativeFrom="paragraph">
                                <wp:posOffset>231168</wp:posOffset>
                              </wp:positionV>
                              <wp:extent cx="147828" cy="588263"/>
                              <wp:effectExtent l="0" t="0" r="0" b="0"/>
                              <wp:wrapNone/>
                              <wp:docPr id="48" name="IM 4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8" name="IM 4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47828" cy="58826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pict>
                            <v:shape id="_x0000_s1055" style="width:2.65pt;height:31pt;margin-top:18.56pt;margin-left:-2.58pt;mso-position-horizontal-relative:right-margin-area;mso-position-vertical-relative:top-margin-area;position:absolute;z-index:251684864" coordorigin="0,0" coordsize="53,620" path="m,614l52,614m,309l52,309m,4l52,4e" filled="f" strokecolor="black" strokeweight="0.48pt"/>
                          </w:pict>
                        </w:r>
                        <w:r>
                          <w:rPr>
                            <w:rFonts w:ascii="Calibri" w:eastAsia="Calibri" w:hAnsi="Calibri" w:cs="Calibri"/>
                            <w:spacing w:val="-2"/>
                            <w:sz w:val="16"/>
                            <w:szCs w:val="16"/>
                          </w:rPr>
                          <w:t>3,039</w:t>
                        </w:r>
                        <w:r>
                          <w:rPr>
                            <w:rFonts w:ascii="Calibri" w:eastAsia="Calibri" w:hAnsi="Calibri" w:cs="Calibri"/>
                            <w:spacing w:val="1"/>
                            <w:sz w:val="16"/>
                            <w:szCs w:val="16"/>
                          </w:rPr>
                          <w:t xml:space="preserve">  </w:t>
                        </w:r>
                        <w:r>
                          <w:rPr>
                            <w:rFonts w:ascii="Calibri" w:eastAsia="Calibri" w:hAnsi="Calibri" w:cs="Calibri"/>
                            <w:spacing w:val="-1"/>
                            <w:sz w:val="16"/>
                            <w:szCs w:val="16"/>
                          </w:rPr>
                          <w:t>44.5%</w:t>
                        </w:r>
                      </w:p>
                    </w:tc>
                  </w:tr>
                </w:tbl>
                <w:p>
                  <w:pPr>
                    <w:spacing w:line="14" w:lineRule="auto"/>
                    <w:rPr>
                      <w:rFonts w:ascii="Arial"/>
                      <w:sz w:val="2"/>
                    </w:rPr>
                  </w:pPr>
                </w:p>
              </w:tc>
            </w:tr>
          </w:tbl>
          <w:p>
            <w:pPr>
              <w:spacing w:before="153" w:line="470" w:lineRule="exact"/>
              <w:ind w:firstLine="2914"/>
            </w:pPr>
            <w:r>
              <w:drawing>
                <wp:anchor distT="0" distB="0" distL="0" distR="0" simplePos="0" relativeHeight="251676672" behindDoc="0" locked="0" layoutInCell="1" allowOverlap="1">
                  <wp:simplePos x="0" y="0"/>
                  <wp:positionH relativeFrom="rightMargin">
                    <wp:posOffset>-2206549</wp:posOffset>
                  </wp:positionH>
                  <wp:positionV relativeFrom="topMargin">
                    <wp:posOffset>920929</wp:posOffset>
                  </wp:positionV>
                  <wp:extent cx="192913" cy="202057"/>
                  <wp:effectExtent l="0" t="0" r="0" b="0"/>
                  <wp:wrapNone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13" cy="202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0768" behindDoc="0" locked="0" layoutInCell="1" allowOverlap="1">
                  <wp:simplePos x="0" y="0"/>
                  <wp:positionH relativeFrom="rightMargin">
                    <wp:posOffset>-1846885</wp:posOffset>
                  </wp:positionH>
                  <wp:positionV relativeFrom="topMargin">
                    <wp:posOffset>922071</wp:posOffset>
                  </wp:positionV>
                  <wp:extent cx="183261" cy="200914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261" cy="2009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9744" behindDoc="0" locked="0" layoutInCell="1" allowOverlap="1">
                  <wp:simplePos x="0" y="0"/>
                  <wp:positionH relativeFrom="rightMargin">
                    <wp:posOffset>-1487347</wp:posOffset>
                  </wp:positionH>
                  <wp:positionV relativeFrom="topMargin">
                    <wp:posOffset>922198</wp:posOffset>
                  </wp:positionV>
                  <wp:extent cx="191008" cy="200787"/>
                  <wp:effectExtent l="0" t="0" r="0" b="0"/>
                  <wp:wrapNone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008" cy="200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8720" behindDoc="0" locked="0" layoutInCell="1" allowOverlap="1">
                  <wp:simplePos x="0" y="0"/>
                  <wp:positionH relativeFrom="rightMargin">
                    <wp:posOffset>-1127811</wp:posOffset>
                  </wp:positionH>
                  <wp:positionV relativeFrom="topMargin">
                    <wp:posOffset>924485</wp:posOffset>
                  </wp:positionV>
                  <wp:extent cx="194817" cy="198501"/>
                  <wp:effectExtent l="0" t="0" r="0" b="0"/>
                  <wp:wrapNone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817" cy="198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7696" behindDoc="0" locked="0" layoutInCell="1" allowOverlap="1">
                  <wp:simplePos x="0" y="0"/>
                  <wp:positionH relativeFrom="rightMargin">
                    <wp:posOffset>-2566086</wp:posOffset>
                  </wp:positionH>
                  <wp:positionV relativeFrom="topMargin">
                    <wp:posOffset>912547</wp:posOffset>
                  </wp:positionV>
                  <wp:extent cx="184404" cy="210439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04" cy="210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9"/>
              </w:rPr>
              <w:drawing>
                <wp:inline distT="0" distB="0" distL="0" distR="0">
                  <wp:extent cx="553720" cy="298704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720" cy="298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26" w:line="173" w:lineRule="auto"/>
              <w:ind w:left="781"/>
            </w:pPr>
            <w:r>
              <w:rPr>
                <w:position w:val="1"/>
              </w:rPr>
              <w:drawing>
                <wp:inline distT="0" distB="0" distL="0" distR="0">
                  <wp:extent cx="57911" cy="52985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1" cy="52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1"/>
              </w:rPr>
              <w:t xml:space="preserve"> </w:t>
            </w:r>
            <w:r>
              <w:rPr>
                <w:spacing w:val="-12"/>
              </w:rPr>
              <w:t>会员人数（万人）</w:t>
            </w:r>
            <w:r>
              <w:rPr>
                <w:spacing w:val="11"/>
              </w:rPr>
              <w:t xml:space="preserve">   </w:t>
            </w:r>
            <w:r>
              <w:drawing>
                <wp:inline distT="0" distB="0" distL="0" distR="0">
                  <wp:extent cx="70103" cy="65873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03" cy="6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2"/>
              </w:rPr>
              <w:t xml:space="preserve"> </w:t>
            </w:r>
            <w:r>
              <w:rPr>
                <w:spacing w:val="-12"/>
              </w:rPr>
              <w:t>复购率</w:t>
            </w:r>
          </w:p>
        </w:tc>
        <w:tc>
          <w:tcPr>
            <w:tcW w:w="297" w:type="dxa"/>
            <w:vAlign w:val="top"/>
          </w:tcPr>
          <w:p>
            <w:pPr>
              <w:spacing w:before="13" w:line="353" w:lineRule="auto"/>
              <w:ind w:left="79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0.8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0.6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0.4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0.2</w:t>
            </w:r>
          </w:p>
          <w:p>
            <w:pPr>
              <w:spacing w:line="186" w:lineRule="auto"/>
              <w:ind w:left="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</w:tr>
    </w:tbl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59" w:line="185" w:lineRule="auto"/>
        <w:ind w:left="4"/>
        <w:rPr>
          <w:sz w:val="18"/>
          <w:szCs w:val="18"/>
        </w:rPr>
      </w:pPr>
      <w:r>
        <w:rPr>
          <w:spacing w:val="-5"/>
          <w:sz w:val="18"/>
          <w:szCs w:val="18"/>
        </w:rPr>
        <w:t>数据来源：</w:t>
      </w:r>
      <w:r>
        <w:rPr>
          <w:spacing w:val="-5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泡泡玛特公司公告、开源证券研究所</w:t>
      </w:r>
    </w:p>
    <w:p>
      <w:pPr>
        <w:spacing w:line="185" w:lineRule="auto"/>
        <w:rPr>
          <w:sz w:val="18"/>
          <w:szCs w:val="18"/>
        </w:rPr>
        <w:sectPr>
          <w:headerReference w:type="default" r:id="rId59"/>
          <w:footerReference w:type="default" r:id="rId60"/>
          <w:type w:val="continuous"/>
          <w:pgSz w:w="11907" w:h="16839"/>
          <w:pgMar w:top="1307" w:right="667" w:bottom="1125" w:left="736" w:header="396" w:footer="839" w:gutter="0"/>
          <w:pgNumType w:start="15"/>
          <w:cols w:num="2" w:space="708" w:equalWidth="0">
            <w:col w:w="5258" w:space="100"/>
            <w:col w:w="5145" w:space="0"/>
          </w:cols>
        </w:sectPr>
      </w:pP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69" w:line="213" w:lineRule="auto"/>
        <w:ind w:left="2815"/>
        <w:outlineLvl w:val="1"/>
      </w:pPr>
      <w:r>
        <w:rPr>
          <w:rFonts w:ascii="Times New Roman" w:eastAsia="Times New Roman" w:hAnsi="Times New Roman" w:cs="Times New Roman"/>
          <w:b/>
          <w:bCs/>
          <w:color w:val="000080"/>
          <w:spacing w:val="-6"/>
        </w:rPr>
        <w:t>1.1.3</w:t>
      </w:r>
      <w:r>
        <w:rPr>
          <w:rFonts w:ascii="Times New Roman" w:eastAsia="Times New Roman" w:hAnsi="Times New Roman" w:cs="Times New Roman"/>
          <w:b/>
          <w:bCs/>
          <w:color w:val="000080"/>
          <w:spacing w:val="-31"/>
        </w:rPr>
        <w:t xml:space="preserve"> </w:t>
      </w:r>
      <w:r>
        <w:rPr>
          <w:color w:val="000080"/>
          <w:spacing w:val="-6"/>
          <w14:textOutline w14:w="3831">
            <w14:solidFill>
              <w14:srgbClr w14:val="000080"/>
            </w14:solidFill>
            <w14:prstDash w14:val="solid"/>
            <w14:round/>
          </w14:textOutline>
        </w:rPr>
        <w:t>、</w:t>
      </w:r>
      <w:r>
        <w:rPr>
          <w:color w:val="000080"/>
          <w:spacing w:val="-33"/>
        </w:rPr>
        <w:t xml:space="preserve"> </w:t>
      </w:r>
      <w:r>
        <w:rPr>
          <w:color w:val="000080"/>
          <w:spacing w:val="-6"/>
          <w14:textOutline w14:w="3831">
            <w14:solidFill>
              <w14:srgbClr w14:val="000080"/>
            </w14:solidFill>
            <w14:prstDash w14:val="solid"/>
            <w14:round/>
          </w14:textOutline>
        </w:rPr>
        <w:t>竞争格局：全产业链玩家壁垒深厚</w:t>
      </w:r>
      <w:r>
        <w:rPr>
          <w:color w:val="000080"/>
          <w:spacing w:val="-7"/>
          <w14:textOutline w14:w="3831">
            <w14:solidFill>
              <w14:srgbClr w14:val="000080"/>
            </w14:solidFill>
            <w14:prstDash w14:val="solid"/>
            <w14:round/>
          </w14:textOutline>
        </w:rPr>
        <w:t>，</w:t>
      </w:r>
      <w:r>
        <w:rPr>
          <w:color w:val="000080"/>
          <w:spacing w:val="54"/>
        </w:rPr>
        <w:t xml:space="preserve"> </w:t>
      </w:r>
      <w:r>
        <w:rPr>
          <w:color w:val="000080"/>
          <w:spacing w:val="-7"/>
          <w14:textOutline w14:w="3831">
            <w14:solidFill>
              <w14:srgbClr w14:val="000080"/>
            </w14:solidFill>
            <w14:prstDash w14:val="solid"/>
            <w14:round/>
          </w14:textOutline>
        </w:rPr>
        <w:t>部分尾部玩家出清</w:t>
      </w:r>
    </w:p>
    <w:p>
      <w:pPr>
        <w:pStyle w:val="BodyText"/>
        <w:spacing w:before="224" w:line="256" w:lineRule="auto"/>
        <w:ind w:left="2806" w:right="65" w:firstLine="423"/>
        <w:jc w:val="both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布局潮玩上下游全产业链，且线下零售门店成规模的玩家较少，其中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TOPTOY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以三丽鸥、迪士尼等第三方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IP</w:t>
      </w:r>
      <w:r>
        <w:rPr>
          <w:rFonts w:ascii="Times New Roman" w:eastAsia="Times New Roman" w:hAnsi="Times New Roman" w:cs="Times New Roman"/>
          <w:b/>
          <w:bCs/>
          <w:spacing w:val="15"/>
          <w:w w:val="101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为主，并逐步拓展“中国积木”领域，而泡泡玛特第</w:t>
      </w:r>
      <w: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三方授权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IP</w:t>
      </w:r>
      <w:r>
        <w:rPr>
          <w:rFonts w:ascii="Times New Roman" w:eastAsia="Times New Roman" w:hAnsi="Times New Roman" w:cs="Times New Roman"/>
          <w:b/>
          <w:bCs/>
          <w:spacing w:val="19"/>
          <w:w w:val="101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的销售额仅占比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15%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。</w:t>
      </w:r>
    </w:p>
    <w:p>
      <w:pPr>
        <w:pStyle w:val="BodyText"/>
        <w:spacing w:before="220" w:line="216" w:lineRule="auto"/>
        <w:ind w:left="3"/>
      </w:pPr>
      <w:r>
        <w:rPr>
          <w:color w:val="000080"/>
          <w:spacing w:val="1"/>
          <w14:textOutline w14:w="3831">
            <w14:solidFill>
              <w14:srgbClr w14:val="000080"/>
            </w14:solidFill>
            <w14:prstDash w14:val="solid"/>
            <w14:round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000080"/>
          <w:spacing w:val="1"/>
        </w:rPr>
        <w:t>1</w:t>
      </w:r>
      <w:r>
        <w:rPr>
          <w:color w:val="000080"/>
          <w:spacing w:val="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：潮玩行业竞争格局分为全产业链玩家、上游设</w:t>
      </w:r>
      <w:r>
        <w:rPr>
          <w:color w:val="000080"/>
          <w14:textOutline w14:w="3831">
            <w14:solidFill>
              <w14:srgbClr w14:val="000080"/>
            </w14:solidFill>
            <w14:prstDash w14:val="solid"/>
            <w14:round/>
          </w14:textOutline>
        </w:rPr>
        <w:t>计玩家、下游零售玩家</w:t>
      </w:r>
    </w:p>
    <w:tbl>
      <w:tblPr>
        <w:tblStyle w:val="TableNormal2"/>
        <w:tblW w:w="1046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34"/>
        <w:gridCol w:w="953"/>
        <w:gridCol w:w="1896"/>
        <w:gridCol w:w="1947"/>
        <w:gridCol w:w="1935"/>
        <w:gridCol w:w="1896"/>
      </w:tblGrid>
      <w:tr>
        <w:tblPrEx>
          <w:tblW w:w="1046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6"/>
        </w:trPr>
        <w:tc>
          <w:tcPr>
            <w:tcW w:w="1834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26" w:lineRule="auto"/>
              <w:ind w:left="743"/>
            </w:pPr>
            <w:r>
              <w:rPr>
                <w:color w:val="FFFFFF"/>
                <w:spacing w:val="-4"/>
                <w14:textOutline w14:w="326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定位</w:t>
            </w:r>
          </w:p>
        </w:tc>
        <w:tc>
          <w:tcPr>
            <w:tcW w:w="953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4" w:line="214" w:lineRule="auto"/>
              <w:ind w:left="301"/>
            </w:pPr>
            <w:r>
              <w:rPr>
                <w:color w:val="FFFFFF"/>
                <w:spacing w:val="-4"/>
                <w14:textOutline w14:w="326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品牌</w:t>
            </w:r>
          </w:p>
        </w:tc>
        <w:tc>
          <w:tcPr>
            <w:tcW w:w="1896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18" w:lineRule="auto"/>
              <w:ind w:left="599"/>
            </w:pPr>
            <w:r>
              <w:rPr>
                <w:color w:val="FFFFFF"/>
                <w:spacing w:val="-5"/>
                <w14:textOutline w14:w="326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线下渠道</w:t>
            </w:r>
          </w:p>
        </w:tc>
        <w:tc>
          <w:tcPr>
            <w:tcW w:w="1947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spacing w:before="101" w:line="186" w:lineRule="auto"/>
              <w:ind w:left="79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APP</w:t>
            </w:r>
          </w:p>
        </w:tc>
        <w:tc>
          <w:tcPr>
            <w:tcW w:w="1935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spacing w:before="104" w:line="183" w:lineRule="auto"/>
              <w:ind w:left="8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IP</w:t>
            </w:r>
          </w:p>
        </w:tc>
        <w:tc>
          <w:tcPr>
            <w:tcW w:w="1896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26" w:lineRule="auto"/>
              <w:ind w:left="774"/>
            </w:pPr>
            <w:r>
              <w:rPr>
                <w:color w:val="FFFFFF"/>
                <w:spacing w:val="-4"/>
                <w14:textOutline w14:w="326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定位</w:t>
            </w:r>
          </w:p>
        </w:tc>
      </w:tr>
    </w:tbl>
    <w:p>
      <w:pPr>
        <w:sectPr>
          <w:headerReference w:type="default" r:id="rId61"/>
          <w:footerReference w:type="default" r:id="rId62"/>
          <w:type w:val="continuous"/>
          <w:pgSz w:w="11907" w:h="16839"/>
          <w:pgMar w:top="1307" w:right="667" w:bottom="1125" w:left="736" w:header="396" w:footer="839" w:gutter="0"/>
          <w:pgNumType w:start="16"/>
          <w:cols w:num="1" w:space="708" w:equalWidth="0">
            <w:col w:w="10503" w:space="0"/>
          </w:cols>
        </w:sectPr>
      </w:pPr>
    </w:p>
    <w:tbl>
      <w:tblPr>
        <w:tblStyle w:val="TableNormal3"/>
        <w:tblW w:w="1046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34"/>
        <w:gridCol w:w="953"/>
        <w:gridCol w:w="1896"/>
        <w:gridCol w:w="1947"/>
        <w:gridCol w:w="1935"/>
        <w:gridCol w:w="1896"/>
      </w:tblGrid>
      <w:tr>
        <w:tblPrEx>
          <w:tblW w:w="1046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6"/>
        </w:trPr>
        <w:tc>
          <w:tcPr>
            <w:tcW w:w="1834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5" w:lineRule="auto"/>
              <w:ind w:left="558"/>
            </w:pPr>
            <w:r>
              <w:rPr>
                <w:spacing w:val="-3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全产业链</w:t>
            </w:r>
          </w:p>
        </w:tc>
        <w:tc>
          <w:tcPr>
            <w:tcW w:w="953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25" w:line="220" w:lineRule="auto"/>
              <w:ind w:left="124"/>
            </w:pPr>
            <w:r>
              <w:rPr>
                <w:spacing w:val="-4"/>
              </w:rPr>
              <w:t>泡泡玛特</w:t>
            </w:r>
          </w:p>
        </w:tc>
        <w:tc>
          <w:tcPr>
            <w:tcW w:w="189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4" w:line="219" w:lineRule="auto"/>
              <w:ind w:left="451"/>
            </w:pPr>
            <w:r>
              <w:rPr>
                <w:spacing w:val="-15"/>
              </w:rPr>
              <w:t>门店：</w:t>
            </w:r>
            <w:r>
              <w:rPr>
                <w:spacing w:val="-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340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-15"/>
              </w:rPr>
              <w:t>家</w:t>
            </w:r>
          </w:p>
        </w:tc>
        <w:tc>
          <w:tcPr>
            <w:tcW w:w="1947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25" w:line="228" w:lineRule="auto"/>
              <w:ind w:left="802"/>
            </w:pPr>
            <w:r>
              <w:rPr>
                <w:spacing w:val="-5"/>
              </w:rPr>
              <w:t>葩趣</w:t>
            </w:r>
          </w:p>
        </w:tc>
        <w:tc>
          <w:tcPr>
            <w:tcW w:w="1935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25" w:line="217" w:lineRule="auto"/>
              <w:ind w:left="310"/>
              <w:rPr>
                <w:rFonts w:ascii="Times New Roman" w:eastAsia="Times New Roman" w:hAnsi="Times New Roman" w:cs="Times New Roman"/>
              </w:rPr>
            </w:pPr>
            <w:r>
              <w:rPr>
                <w:spacing w:val="-6"/>
              </w:rPr>
              <w:t>自有及独家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IP40+</w:t>
            </w:r>
          </w:p>
        </w:tc>
        <w:tc>
          <w:tcPr>
            <w:tcW w:w="1896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66" w:lineRule="auto"/>
              <w:ind w:left="768" w:right="56" w:hanging="720"/>
            </w:pPr>
            <w:r>
              <w:rPr>
                <w:rFonts w:ascii="Times New Roman" w:eastAsia="Times New Roman" w:hAnsi="Times New Roman" w:cs="Times New Roman"/>
                <w:spacing w:val="-6"/>
              </w:rPr>
              <w:t>(1)</w:t>
            </w:r>
            <w:r>
              <w:rPr>
                <w:spacing w:val="-6"/>
              </w:rPr>
              <w:t>上游</w:t>
            </w:r>
            <w:r>
              <w:rPr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IP  </w:t>
            </w:r>
            <w:r>
              <w:rPr>
                <w:spacing w:val="-6"/>
              </w:rPr>
              <w:t>获取、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IP</w:t>
            </w:r>
            <w:r>
              <w:rPr>
                <w:rFonts w:ascii="Times New Roman" w:eastAsia="Times New Roman" w:hAnsi="Times New Roman" w:cs="Times New Roman"/>
                <w:spacing w:val="50"/>
                <w:w w:val="102"/>
              </w:rPr>
              <w:t xml:space="preserve"> </w:t>
            </w:r>
            <w:r>
              <w:rPr>
                <w:spacing w:val="-6"/>
              </w:rPr>
              <w:t>设</w:t>
            </w:r>
            <w:r>
              <w:t xml:space="preserve"> </w:t>
            </w:r>
            <w:r>
              <w:rPr>
                <w:spacing w:val="-13"/>
              </w:rPr>
              <w:t>计，</w:t>
            </w:r>
          </w:p>
          <w:p>
            <w:pPr>
              <w:pStyle w:val="TableText"/>
              <w:spacing w:before="104" w:line="213" w:lineRule="auto"/>
              <w:ind w:left="165"/>
            </w:pPr>
            <w:r>
              <w:rPr>
                <w:rFonts w:ascii="Times New Roman" w:eastAsia="Times New Roman" w:hAnsi="Times New Roman" w:cs="Times New Roman"/>
                <w:spacing w:val="-7"/>
              </w:rPr>
              <w:t>(2)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 </w:t>
            </w:r>
            <w:r>
              <w:rPr>
                <w:spacing w:val="-7"/>
              </w:rPr>
              <w:t>中游设计生产，</w:t>
            </w:r>
          </w:p>
          <w:p>
            <w:pPr>
              <w:pStyle w:val="TableText"/>
              <w:spacing w:before="105" w:line="275" w:lineRule="auto"/>
              <w:ind w:left="97" w:right="95" w:firstLine="23"/>
            </w:pPr>
            <w:r>
              <w:rPr>
                <w:rFonts w:ascii="Times New Roman" w:eastAsia="Times New Roman" w:hAnsi="Times New Roman" w:cs="Times New Roman"/>
                <w:spacing w:val="-1"/>
              </w:rPr>
              <w:t>(3)</w:t>
            </w:r>
            <w:r>
              <w:rPr>
                <w:spacing w:val="-1"/>
              </w:rPr>
              <w:t>下游自营线上线下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渠道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+</w:t>
            </w:r>
            <w:r>
              <w:rPr>
                <w:spacing w:val="-2"/>
              </w:rPr>
              <w:t>经销商经销渠道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317"/>
        </w:trPr>
        <w:tc>
          <w:tcPr>
            <w:tcW w:w="18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3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5" w:line="217" w:lineRule="auto"/>
              <w:ind w:left="110"/>
            </w:pPr>
            <w:r>
              <w:rPr>
                <w:spacing w:val="-13"/>
              </w:rPr>
              <w:t>机器人商店：</w:t>
            </w:r>
            <w:r>
              <w:rPr>
                <w:spacing w:val="47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2185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-13"/>
              </w:rPr>
              <w:t>家</w:t>
            </w:r>
          </w:p>
        </w:tc>
        <w:tc>
          <w:tcPr>
            <w:tcW w:w="1947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5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1" w:type="dxa"/>
          <w:tblInd w:w="0" w:type="dxa"/>
          <w:tblLayout w:type="fixed"/>
        </w:tblPrEx>
        <w:trPr>
          <w:trHeight w:val="941"/>
        </w:trPr>
        <w:tc>
          <w:tcPr>
            <w:tcW w:w="18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9" w:lineRule="auto"/>
              <w:ind w:left="189"/>
            </w:pPr>
            <w:r>
              <w:rPr>
                <w:rFonts w:ascii="Times New Roman" w:eastAsia="Times New Roman" w:hAnsi="Times New Roman" w:cs="Times New Roman"/>
                <w:spacing w:val="-5"/>
              </w:rPr>
              <w:t>IP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-5"/>
              </w:rPr>
              <w:t>小站</w:t>
            </w:r>
          </w:p>
        </w:tc>
        <w:tc>
          <w:tcPr>
            <w:tcW w:w="189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7" w:lineRule="auto"/>
              <w:ind w:left="224"/>
            </w:pPr>
            <w:r>
              <w:rPr>
                <w:spacing w:val="-2"/>
              </w:rPr>
              <w:t>机器人商店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657 </w:t>
            </w:r>
            <w:r>
              <w:rPr>
                <w:spacing w:val="-2"/>
              </w:rPr>
              <w:t>个</w:t>
            </w:r>
          </w:p>
        </w:tc>
        <w:tc>
          <w:tcPr>
            <w:tcW w:w="194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9" w:lineRule="auto"/>
              <w:ind w:left="688"/>
            </w:pPr>
            <w:r>
              <w:rPr>
                <w:rFonts w:ascii="Times New Roman" w:eastAsia="Times New Roman" w:hAnsi="Times New Roman" w:cs="Times New Roman"/>
                <w:spacing w:val="-5"/>
              </w:rPr>
              <w:t>IP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-5"/>
              </w:rPr>
              <w:t>小站</w:t>
            </w:r>
          </w:p>
        </w:tc>
        <w:tc>
          <w:tcPr>
            <w:tcW w:w="193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12" w:lineRule="auto"/>
              <w:ind w:left="274"/>
            </w:pPr>
            <w:r>
              <w:rPr>
                <w:spacing w:val="-6"/>
              </w:rPr>
              <w:t>自有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IP 5 </w:t>
            </w:r>
            <w:r>
              <w:rPr>
                <w:spacing w:val="-6"/>
              </w:rPr>
              <w:t>个，独家</w:t>
            </w:r>
          </w:p>
          <w:p>
            <w:pPr>
              <w:pStyle w:val="TableText"/>
              <w:spacing w:before="105" w:line="212" w:lineRule="auto"/>
              <w:ind w:left="76"/>
            </w:pPr>
            <w:r>
              <w:rPr>
                <w:rFonts w:ascii="Times New Roman" w:eastAsia="Times New Roman" w:hAnsi="Times New Roman" w:cs="Times New Roman"/>
                <w:spacing w:val="-3"/>
              </w:rPr>
              <w:t>IP30+</w:t>
            </w:r>
            <w:r>
              <w:rPr>
                <w:spacing w:val="-3"/>
              </w:rPr>
              <w:t>，合作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IP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3"/>
              </w:rPr>
              <w:t>总数超</w:t>
            </w:r>
          </w:p>
          <w:p>
            <w:pPr>
              <w:pStyle w:val="TableText"/>
              <w:spacing w:before="104" w:line="217" w:lineRule="auto"/>
              <w:ind w:left="607"/>
            </w:pPr>
            <w:r>
              <w:rPr>
                <w:spacing w:val="-2"/>
              </w:rPr>
              <w:t>过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200 </w:t>
            </w:r>
            <w:r>
              <w:rPr>
                <w:spacing w:val="-2"/>
              </w:rPr>
              <w:t>个</w:t>
            </w:r>
          </w:p>
        </w:tc>
        <w:tc>
          <w:tcPr>
            <w:tcW w:w="189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1" w:type="dxa"/>
          <w:tblInd w:w="0" w:type="dxa"/>
          <w:tblLayout w:type="fixed"/>
        </w:tblPrEx>
        <w:trPr>
          <w:trHeight w:val="628"/>
        </w:trPr>
        <w:tc>
          <w:tcPr>
            <w:tcW w:w="183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2" w:line="190" w:lineRule="auto"/>
              <w:ind w:left="2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52toys</w:t>
            </w:r>
          </w:p>
        </w:tc>
        <w:tc>
          <w:tcPr>
            <w:tcW w:w="189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2" w:line="219" w:lineRule="auto"/>
              <w:ind w:left="578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</w:rPr>
              <w:t xml:space="preserve"> </w:t>
            </w:r>
            <w:r>
              <w:rPr>
                <w:spacing w:val="-8"/>
              </w:rPr>
              <w:t>家门店</w:t>
            </w:r>
          </w:p>
        </w:tc>
        <w:tc>
          <w:tcPr>
            <w:tcW w:w="194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3" w:line="218" w:lineRule="auto"/>
              <w:ind w:left="789"/>
            </w:pPr>
            <w:r>
              <w:rPr>
                <w:spacing w:val="-2"/>
              </w:rPr>
              <w:t>蛋趣</w:t>
            </w:r>
          </w:p>
        </w:tc>
        <w:tc>
          <w:tcPr>
            <w:tcW w:w="193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68" w:lineRule="auto"/>
              <w:ind w:left="872" w:right="53" w:hanging="785"/>
            </w:pPr>
            <w:r>
              <w:rPr>
                <w:spacing w:val="-8"/>
              </w:rPr>
              <w:t>自有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IP15 </w:t>
            </w:r>
            <w:r>
              <w:rPr>
                <w:spacing w:val="-8"/>
              </w:rPr>
              <w:t>个，合作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IP11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t>个</w:t>
            </w:r>
          </w:p>
        </w:tc>
        <w:tc>
          <w:tcPr>
            <w:tcW w:w="189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1" w:type="dxa"/>
          <w:tblInd w:w="0" w:type="dxa"/>
          <w:tblLayout w:type="fixed"/>
        </w:tblPrEx>
        <w:trPr>
          <w:trHeight w:val="316"/>
        </w:trPr>
        <w:tc>
          <w:tcPr>
            <w:tcW w:w="1834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0" w:line="186" w:lineRule="auto"/>
              <w:ind w:left="10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TOP TOY</w:t>
            </w:r>
          </w:p>
        </w:tc>
        <w:tc>
          <w:tcPr>
            <w:tcW w:w="189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19" w:lineRule="auto"/>
              <w:ind w:left="537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118</w:t>
            </w:r>
            <w:r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>
              <w:rPr>
                <w:spacing w:val="-8"/>
              </w:rPr>
              <w:t>家门店</w:t>
            </w:r>
          </w:p>
        </w:tc>
        <w:tc>
          <w:tcPr>
            <w:tcW w:w="194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0" w:line="186" w:lineRule="auto"/>
              <w:ind w:left="6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TOPTOY</w:t>
            </w:r>
          </w:p>
        </w:tc>
        <w:tc>
          <w:tcPr>
            <w:tcW w:w="193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17" w:lineRule="auto"/>
              <w:ind w:left="545"/>
            </w:pPr>
            <w:r>
              <w:rPr>
                <w:spacing w:val="-9"/>
              </w:rPr>
              <w:t>自研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IP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8 </w:t>
            </w:r>
            <w:r>
              <w:rPr>
                <w:spacing w:val="-9"/>
              </w:rPr>
              <w:t>个</w:t>
            </w:r>
          </w:p>
        </w:tc>
        <w:tc>
          <w:tcPr>
            <w:tcW w:w="1896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461" w:type="dxa"/>
          <w:tblInd w:w="0" w:type="dxa"/>
          <w:tblLayout w:type="fixed"/>
        </w:tblPrEx>
        <w:trPr>
          <w:trHeight w:val="627"/>
        </w:trPr>
        <w:tc>
          <w:tcPr>
            <w:tcW w:w="1834" w:type="dxa"/>
            <w:vMerge w:val="restart"/>
            <w:tcBorders>
              <w:top w:val="single" w:sz="2" w:space="0" w:color="000000"/>
              <w:bottom w:val="nil"/>
            </w:tcBorders>
            <w:shd w:val="clear" w:color="auto" w:fill="DBE5F1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1" w:lineRule="auto"/>
              <w:ind w:left="147"/>
            </w:pPr>
            <w:r>
              <w:rPr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上游设计及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IP </w:t>
            </w:r>
            <w:r>
              <w:rPr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运营</w:t>
            </w:r>
          </w:p>
        </w:tc>
        <w:tc>
          <w:tcPr>
            <w:tcW w:w="9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BE5F1"/>
            <w:vAlign w:val="top"/>
          </w:tcPr>
          <w:p>
            <w:pPr>
              <w:pStyle w:val="TableText"/>
              <w:spacing w:before="67" w:line="271" w:lineRule="auto"/>
              <w:ind w:left="382" w:right="125" w:hanging="265"/>
            </w:pPr>
            <w:r>
              <w:rPr>
                <w:spacing w:val="-3"/>
              </w:rPr>
              <w:t>寻找独角</w:t>
            </w:r>
            <w:r>
              <w:rPr>
                <w:spacing w:val="1"/>
              </w:rPr>
              <w:t xml:space="preserve"> </w:t>
            </w:r>
            <w:r>
              <w:t>兽</w:t>
            </w:r>
          </w:p>
        </w:tc>
        <w:tc>
          <w:tcPr>
            <w:tcW w:w="189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BE5F1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2" w:line="86" w:lineRule="exact"/>
              <w:ind w:left="9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19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BE5F1"/>
            <w:vAlign w:val="top"/>
          </w:tcPr>
          <w:p>
            <w:pPr>
              <w:spacing w:before="254" w:line="190" w:lineRule="auto"/>
              <w:ind w:left="37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Finding Unicorn</w:t>
            </w:r>
          </w:p>
        </w:tc>
        <w:tc>
          <w:tcPr>
            <w:tcW w:w="19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BE5F1"/>
            <w:vAlign w:val="top"/>
          </w:tcPr>
          <w:p>
            <w:pPr>
              <w:pStyle w:val="TableText"/>
              <w:spacing w:before="224" w:line="212" w:lineRule="auto"/>
              <w:ind w:left="113"/>
            </w:pPr>
            <w:r>
              <w:rPr>
                <w:spacing w:val="-5"/>
              </w:rPr>
              <w:t>自有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IP5 </w:t>
            </w:r>
            <w:r>
              <w:rPr>
                <w:spacing w:val="-5"/>
              </w:rPr>
              <w:t>个，卓大王等</w:t>
            </w:r>
          </w:p>
        </w:tc>
        <w:tc>
          <w:tcPr>
            <w:tcW w:w="1896" w:type="dxa"/>
            <w:vMerge w:val="restart"/>
            <w:tcBorders>
              <w:top w:val="single" w:sz="2" w:space="0" w:color="000000"/>
              <w:bottom w:val="nil"/>
            </w:tcBorders>
            <w:shd w:val="clear" w:color="auto" w:fill="DBE5F1"/>
            <w:vAlign w:val="top"/>
          </w:tcPr>
          <w:p>
            <w:pPr>
              <w:pStyle w:val="TableText"/>
              <w:spacing w:before="228" w:line="268" w:lineRule="auto"/>
              <w:ind w:left="495" w:right="57" w:hanging="408"/>
            </w:pPr>
            <w:r>
              <w:rPr>
                <w:spacing w:val="-22"/>
              </w:rPr>
              <w:t>自研、孵化、运营</w:t>
            </w:r>
            <w:r>
              <w:rPr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>IP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</w:rPr>
              <w:t xml:space="preserve">  </w:t>
            </w:r>
            <w:r>
              <w:rPr>
                <w:spacing w:val="-22"/>
              </w:rPr>
              <w:t>以</w:t>
            </w:r>
            <w:r>
              <w:t xml:space="preserve"> </w:t>
            </w:r>
            <w:r>
              <w:rPr>
                <w:spacing w:val="-2"/>
              </w:rPr>
              <w:t>及设计生产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321"/>
        </w:trPr>
        <w:tc>
          <w:tcPr>
            <w:tcW w:w="1834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BE5F1"/>
            <w:vAlign w:val="top"/>
          </w:tcPr>
          <w:p>
            <w:pPr>
              <w:pStyle w:val="TableText"/>
              <w:spacing w:before="69" w:line="217" w:lineRule="auto"/>
              <w:ind w:left="300"/>
            </w:pPr>
            <w:r>
              <w:rPr>
                <w:spacing w:val="-4"/>
              </w:rPr>
              <w:t>若来</w:t>
            </w:r>
          </w:p>
        </w:tc>
        <w:tc>
          <w:tcPr>
            <w:tcW w:w="189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BE5F1"/>
            <w:vAlign w:val="top"/>
          </w:tcPr>
          <w:p>
            <w:pPr>
              <w:spacing w:before="177" w:line="86" w:lineRule="exact"/>
              <w:ind w:left="9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19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BE5F1"/>
            <w:vAlign w:val="top"/>
          </w:tcPr>
          <w:p>
            <w:pPr>
              <w:pStyle w:val="TableText"/>
              <w:spacing w:before="69" w:line="226" w:lineRule="auto"/>
              <w:ind w:left="589"/>
              <w:rPr>
                <w:rFonts w:ascii="Times New Roman" w:eastAsia="Times New Roman" w:hAnsi="Times New Roman" w:cs="Times New Roman"/>
              </w:rPr>
            </w:pPr>
            <w:r>
              <w:rPr>
                <w:spacing w:val="-4"/>
              </w:rPr>
              <w:t>若吧</w:t>
            </w:r>
            <w:r>
              <w:rPr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APP</w:t>
            </w:r>
          </w:p>
        </w:tc>
        <w:tc>
          <w:tcPr>
            <w:tcW w:w="19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BE5F1"/>
            <w:vAlign w:val="top"/>
          </w:tcPr>
          <w:p>
            <w:pPr>
              <w:pStyle w:val="TableText"/>
              <w:spacing w:before="70" w:line="212" w:lineRule="auto"/>
              <w:ind w:left="209"/>
            </w:pPr>
            <w:r>
              <w:rPr>
                <w:spacing w:val="-4"/>
              </w:rPr>
              <w:t>自有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IP3+</w:t>
            </w:r>
            <w:r>
              <w:rPr>
                <w:spacing w:val="-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Nanci </w:t>
            </w:r>
            <w:r>
              <w:rPr>
                <w:spacing w:val="-4"/>
              </w:rPr>
              <w:t>等</w:t>
            </w:r>
          </w:p>
        </w:tc>
        <w:tc>
          <w:tcPr>
            <w:tcW w:w="1896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63"/>
          <w:footerReference w:type="default" r:id="rId64"/>
          <w:type w:val="nextPage"/>
          <w:pgSz w:w="11907" w:h="16839"/>
          <w:pgMar w:top="1307" w:right="667" w:bottom="1125" w:left="736" w:header="396" w:footer="839" w:gutter="0"/>
          <w:pgNumType w:start="17"/>
          <w:cols w:num="1" w:space="708" w:equalWidth="0">
            <w:col w:w="10503" w:space="0"/>
          </w:cols>
          <w:titlePg w:val="0"/>
        </w:sectPr>
      </w:pPr>
    </w:p>
    <w:p>
      <w:pPr>
        <w:pStyle w:val="BodyText"/>
        <w:spacing w:before="149" w:line="322" w:lineRule="exact"/>
      </w:pPr>
      <w:r>
        <w:pict>
          <v:shape id="_x0000_s1056" style="width:381.35pt;height:0.5pt;margin-top:332.21pt;margin-left:178.82pt;mso-position-horizontal-relative:page;mso-position-vertical-relative:page;position:absolute;z-index:251693056" coordorigin="0,0" coordsize="7627,10" o:allowincell="f" path="m,9l2756,9l2756,l,l,9xem2756,9l2765,9l2765,l2756,l2756,9xem2765,9l3730,9l3730,l2765,l2765,9xem3730,9l3740,9l3740,l3730,l3730,9xem3740,9l4704,9l4704,l3740,l3740,9xem4705,9l4714,9l4714,l4705,l4705,9xem4714,9l5677,9l5677,l4714,l4714,9xem5677,9l5687,9l5687,l5677,l5677,9xem5687,9l6651,9l6651,l5687,l5687,9xem6651,9l6661,9l6661,l6651,l6651,9xem6661,9l7626,9l7626,l6661,l6661,9xe" filled="t" fillcolor="black" stroked="f"/>
        </w:pict>
      </w:r>
      <w:r>
        <w:pict>
          <v:shape id="_x0000_s1057" style="width:381.35pt;height:0.5pt;margin-top:348.41pt;margin-left:178.82pt;mso-position-horizontal-relative:page;mso-position-vertical-relative:page;position:absolute;z-index:251689984" coordorigin="0,0" coordsize="7627,10" o:allowincell="f" path="m,9l2756,9l2756,l,l,9xem2756,9l2765,9l2765,l2756,l2756,9xem2765,9l3730,9l3730,l2765,l2765,9xem3730,9l3740,9l3740,l3730,l3730,9xem3740,9l4704,9l4704,l3740,l3740,9xem4705,9l4714,9l4714,l4705,l4705,9xem4714,9l5677,9l5677,l4714,l4714,9xem5677,9l5687,9l5687,l5677,l5677,9xem5687,9l6651,9l6651,l5687,l5687,9xem6651,9l6661,9l6661,l6651,l6651,9xem6661,9l7626,9l7626,l6661,l6661,9xe" filled="t" fillcolor="black" stroked="f"/>
        </w:pict>
      </w:r>
      <w:r>
        <w:pict>
          <v:shape id="_x0000_s1058" style="width:381.35pt;height:0.5pt;margin-top:364.49pt;margin-left:178.82pt;mso-position-horizontal-relative:page;mso-position-vertical-relative:page;position:absolute;z-index:251691008" coordorigin="0,0" coordsize="7627,10" o:allowincell="f" path="m,9l2756,9l2756,l,l,9xem2756,9l2765,9l2765,l2756,l2756,9xem2765,9l3730,9l3730,l2765,l2765,9xem3730,9l3740,9l3740,l3730,l3730,9xem3740,9l4704,9l4704,l3740,l3740,9xem4705,9l4714,9l4714,l4705,l4705,9xem4714,9l5677,9l5677,l4714,l4714,9xem5677,9l5687,9l5687,l5677,l5677,9xem5687,9l6651,9l6651,l5687,l5687,9xem6651,9l6661,9l6661,l6651,l6651,9xem6661,9l7626,9l7626,l6661,l6661,9xe" filled="t" fillcolor="black" stroked="f"/>
        </w:pict>
      </w:r>
      <w:r>
        <w:pict>
          <v:shape id="_x0000_s1059" style="width:381.35pt;height:0.5pt;margin-top:380.57pt;margin-left:178.82pt;mso-position-horizontal-relative:page;mso-position-vertical-relative:page;position:absolute;z-index:251692032" coordorigin="0,0" coordsize="7627,10" o:allowincell="f" path="m,9l2756,9l2756,l,l,9xem2756,9l2765,9l2765,l2756,l2756,9xem2765,9l3730,9l3730,l2765,l2765,9xem3730,9l3740,9l3740,l3730,l3730,9xem3740,9l4704,9l4704,l3740,l3740,9xem4705,9l4714,9l4714,l4705,l4705,9xem4714,9l5677,9l5677,l4714,l4714,9xem5677,9l5687,9l5687,l5677,l5677,9xem5687,9l6651,9l6651,l5687,l5687,9xem6651,9l6661,9l6661,l6651,l6651,9xem6661,9l7626,9l7626,l6661,l6661,9xe" filled="t" fillcolor="black" stroked="f"/>
        </w:pict>
      </w:r>
      <w:r>
        <w:pict>
          <v:shape id="_x0000_s1060" style="width:381.35pt;height:0.5pt;margin-top:396.65pt;margin-left:178.82pt;mso-position-horizontal-relative:page;mso-position-vertical-relative:page;position:absolute;z-index:251694080" coordorigin="0,0" coordsize="7627,10" o:allowincell="f" path="m,9l2756,9l2756,l,l,9xem2756,9l2765,9l2765,l2756,l2756,9xem2765,9l3730,9l3730,l2765,l2765,9xem3730,9l3740,9l3740,l3730,l3730,9xem3740,9l4704,9l4704,l3740,l3740,9xem4705,9l4714,9l4714,l4705,l4705,9xem4714,9l5677,9l5677,l4714,l4714,9xem5677,9l5687,9l5687,l5677,l5677,9xem5687,9l6651,9l6651,l5687,l5687,9xem6651,9l6661,9l6661,l6651,l6651,9xem6661,9l7626,9l7626,l6661,l6661,9xe" filled="t" fillcolor="black" stroked="f"/>
        </w:pict>
      </w:r>
      <w:r>
        <w:pict>
          <v:shape id="_x0000_s1061" style="width:382.05pt;height:0.5pt;margin-top:412.73pt;margin-left:178.1pt;mso-position-horizontal-relative:page;mso-position-vertical-relative:page;position:absolute;z-index:251688960" coordorigin="0,0" coordsize="7640,10" o:allowincell="f" path="m,9l2770,9l2770,l,l,9xem2756,9l2765,9l2765,l2756,l2756,9xem2765,9l3744,9l3744,l2765,l2765,9xem3730,9l3740,9l3740,l3730,l3730,9xem3740,9l4719,9l4719,l3740,l3740,9xem4704,9l4714,9l4714,l4704,l4704,9xem4714,9l5691,9l5691,l4714,l4714,9xem5677,9l5687,9l5687,l5677,l5677,9xem5687,9l6666,9l6666,l5687,l5687,9xem6652,9l6661,9l6661,l6652,l6652,9xem6661,9l7640,9l7640,l6661,l6661,9xe" filled="t" fillcolor="black" stroked="f"/>
        </w:pict>
      </w:r>
      <w:r>
        <w:pict>
          <v:shape id="_x0000_s1062" style="width:381.35pt;height:0.5pt;margin-top:475.63pt;margin-left:178.82pt;mso-position-horizontal-relative:page;mso-position-vertical-relative:page;position:absolute;z-index:251695104" coordorigin="0,0" coordsize="7627,10" o:allowincell="f" path="m,9l7626,9l7626,l,l,9xe" filled="t" fillcolor="black" stroked="f"/>
        </w:pict>
      </w:r>
      <w:r>
        <w:pict>
          <v:shape id="_x0000_s1063" style="width:381.35pt;height:0.5pt;margin-top:647.86pt;margin-left:178.82pt;mso-position-horizontal-relative:page;mso-position-vertical-relative:page;position:absolute;z-index:251696128" coordorigin="0,0" coordsize="7627,10" o:allowincell="f" path="m,9l7626,9l7626,l,l,9xe" filled="t" fillcolor="black" stroked="f"/>
        </w:pict>
      </w:r>
      <w:r>
        <w:pict>
          <v:group id="_x0000_s1064" style="width:325.95pt;height:84.15pt;margin-top:494.64pt;margin-left:210.72pt;mso-position-horizontal-relative:page;mso-position-vertical-relative:page;position:absolute;z-index:251687936" coordorigin="0,0" coordsize="6519,1683" o:allowincell="f" filled="f" stroked="f">
            <v:shape id="_x0000_s1065" style="width:6519;height:1683;position:absolute" coordorigin="0,0" coordsize="6519,1683" path="m4,1677l4,4m4,1677l60,1677m4,1344l60,1344m4,1008l60,1008m4,674l60,674m4,340l60,340m4,4l60,4m4,1677l6513,1677m4,1624l4,1677m331,1624l331,1677m657,1624l657,1677m981,1624l981,1677m1308,1624l1308,1677m1631,1624l1631,1677m1958,1624l1958,1677m2282,1624l2282,1677m2608,1624l2608,1677m2932,1624l2932,1677m3259,1624l3259,1677m3585,1624l3585,1677m3909,1624l3909,1677m4236,1624l4236,1677m4560,1624l4560,1677m4886,1624l4886,1677m5210,1624l5210,1677m5536,1624l5536,1677m5860,1624l5860,1677m6187,1624l6187,1677m6513,1624l6513,1677e" filled="f" strokecolor="black" strokeweight="0.48pt"/>
            <v:shape id="_x0000_s1066" style="width:6212;height:681;left:153;position:absolute;top:141" coordorigin="0,0" coordsize="6212,681" path="m15,665l339,661l665,627l989,603l1316,548l1640,449l1966,423l2293,505l2617,409l2943,411l3267,418l3593,279l3917,205l4244,15l4570,20l4894,32l5221,68l5545,267l5871,382l6195,514e" filled="f" strokecolor="#0070c0" strokeweight="1.56pt">
              <v:stroke endcap="round"/>
            </v:shape>
          </v:group>
        </w:pict>
      </w:r>
      <w:r>
        <w:rPr>
          <w:position w:val="-6"/>
        </w:rPr>
        <w:pict>
          <v:group id="_x0000_i1067" style="width:523.1pt;height:16.1pt;mso-position-horizontal-relative:char;mso-position-vertical-relative:line" coordorigin="0,0" coordsize="10461,322" filled="f" stroked="f">
            <v:rect id="_x0000_s1068" style="width:10461;height:312;position:absolute;top:9" filled="t" fillcolor="#dbe5f1" stroked="f"/>
            <v:shape id="_x0000_s1069" type="#_x0000_t202" style="width:1783;height:220;left:6721;position:absolute;top:53" filled="f" stroked="f">
              <o:lock v:ext="edit" aspectratio="f"/>
              <v:textbox inset="0,0,0,0">
                <w:txbxContent>
                  <w:p>
                    <w:pPr>
                      <w:spacing w:before="20" w:line="212" w:lineRule="auto"/>
                      <w:ind w:left="20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spacing w:val="-11"/>
                        <w:sz w:val="18"/>
                        <w:szCs w:val="18"/>
                      </w:rPr>
                      <w:t>自有</w:t>
                    </w:r>
                    <w:r>
                      <w:rPr>
                        <w:rFonts w:ascii="KaiTi" w:eastAsia="KaiTi" w:hAnsi="KaiTi" w:cs="KaiTi"/>
                        <w:spacing w:val="-1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1"/>
                        <w:sz w:val="18"/>
                        <w:szCs w:val="18"/>
                      </w:rPr>
                      <w:t>IP</w:t>
                    </w:r>
                    <w:r>
                      <w:rPr>
                        <w:rFonts w:ascii="Times New Roman" w:eastAsia="Times New Roman" w:hAnsi="Times New Roman" w:cs="Times New Roman"/>
                        <w:spacing w:val="17"/>
                        <w:w w:val="10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1"/>
                        <w:sz w:val="18"/>
                        <w:szCs w:val="18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11"/>
                        <w:sz w:val="18"/>
                        <w:szCs w:val="18"/>
                      </w:rPr>
                      <w:t>个，</w:t>
                    </w:r>
                    <w:r>
                      <w:rPr>
                        <w:rFonts w:ascii="KaiTi" w:eastAsia="KaiTi" w:hAnsi="KaiTi" w:cs="KaiTi"/>
                        <w:spacing w:val="-1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1"/>
                        <w:sz w:val="18"/>
                        <w:szCs w:val="18"/>
                      </w:rPr>
                      <w:t>Laura</w:t>
                    </w:r>
                    <w:r>
                      <w:rPr>
                        <w:rFonts w:ascii="Times New Roman" w:eastAsia="Times New Roman" w:hAnsi="Times New Roman" w:cs="Times New Roman"/>
                        <w:spacing w:val="9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11"/>
                        <w:sz w:val="18"/>
                        <w:szCs w:val="18"/>
                      </w:rPr>
                      <w:t>等</w:t>
                    </w:r>
                  </w:p>
                </w:txbxContent>
              </v:textbox>
            </v:shape>
            <v:shape id="_x0000_s1070" style="width:10461;height:10;position:absolute" coordorigin="0,0" coordsize="10461,10" path="m,9l1834,9l1834,l,l,9xem1833,9l1843,9l1843,l1833,l1833,9xem1843,9l2786,9l2786,l1843,l1843,9xem2786,9l2796,9l2796,l2786,l2786,9xem2796,9l4683,9l4683,l2796,l2796,9xem4683,9l4693,9l4693,l4683,l4683,9xem4692,9l6630,9l6630,l4692,l4692,9xem6630,9l6639,9l6639,l6630,l6630,9xem6639,9l8565,9l8565,l6639,l6639,9xem8565,9l8574,9l8574,l8565,l8565,9xem8574,9l10461,9l10461,l8574,l8574,9xe" filled="t" fillcolor="black" stroked="f"/>
            <v:shape id="_x0000_s1071" type="#_x0000_t202" style="width:582;height:203;left:2013;position:absolute;top:83" filled="f" stroked="f">
              <o:lock v:ext="edit" aspectratio="f"/>
              <v:textbox inset="0,0,0,0">
                <w:txbxContent>
                  <w:p>
                    <w:pPr>
                      <w:spacing w:before="19" w:line="190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18"/>
                        <w:szCs w:val="18"/>
                      </w:rPr>
                      <w:t>Toycity</w:t>
                    </w:r>
                  </w:p>
                </w:txbxContent>
              </v:textbox>
            </v:shape>
            <v:shape id="_x0000_s1072" type="#_x0000_t202" style="width:93;height:54;left:5607;position:absolute;top:161" filled="f" stroked="f">
              <o:lock v:ext="edit" aspectratio="f"/>
              <v:textbox inset="0,0,0,0">
                <w:txbxContent>
                  <w:p>
                    <w:pPr>
                      <w:spacing w:before="20" w:line="85" w:lineRule="exact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-1"/>
                        <w:sz w:val="18"/>
                        <w:szCs w:val="18"/>
                      </w:rPr>
                      <w:t>-</w:t>
                    </w:r>
                  </w:p>
                </w:txbxContent>
              </v:textbox>
            </v:shape>
            <v:shape id="_x0000_s1073" type="#_x0000_t202" style="width:93;height:54;left:3684;position:absolute;top:161" filled="f" stroked="f">
              <o:lock v:ext="edit" aspectratio="f"/>
              <v:textbox inset="0,0,0,0">
                <w:txbxContent>
                  <w:p>
                    <w:pPr>
                      <w:spacing w:before="20" w:line="85" w:lineRule="exact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-1"/>
                        <w:sz w:val="18"/>
                        <w:szCs w:val="18"/>
                      </w:rPr>
                      <w:t>-</w:t>
                    </w:r>
                  </w:p>
                </w:txbxContent>
              </v:textbox>
            </v:shape>
            <w10:wrap type="none"/>
          </v:group>
        </w:pict>
      </w:r>
    </w:p>
    <w:tbl>
      <w:tblPr>
        <w:tblStyle w:val="TableNormal4"/>
        <w:tblW w:w="1046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34"/>
        <w:gridCol w:w="1102"/>
        <w:gridCol w:w="1885"/>
        <w:gridCol w:w="1920"/>
        <w:gridCol w:w="1824"/>
        <w:gridCol w:w="1896"/>
      </w:tblGrid>
      <w:tr>
        <w:tblPrEx>
          <w:tblW w:w="1046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9"/>
        </w:trPr>
        <w:tc>
          <w:tcPr>
            <w:tcW w:w="1834" w:type="dxa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8" w:line="219" w:lineRule="auto"/>
              <w:ind w:left="123"/>
            </w:pPr>
            <w:r>
              <w:rPr>
                <w:spacing w:val="-3"/>
              </w:rPr>
              <w:t>酷乐潮玩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20" w:lineRule="auto"/>
              <w:ind w:left="279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全国门店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300+</w:t>
            </w:r>
          </w:p>
        </w:tc>
        <w:tc>
          <w:tcPr>
            <w:tcW w:w="192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8" w:line="219" w:lineRule="auto"/>
              <w:ind w:left="482"/>
            </w:pPr>
            <w:r>
              <w:rPr>
                <w:spacing w:val="-3"/>
              </w:rPr>
              <w:t>酷乐潮玩</w:t>
            </w:r>
          </w:p>
        </w:tc>
        <w:tc>
          <w:tcPr>
            <w:tcW w:w="18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6" w:line="85" w:lineRule="exact"/>
              <w:ind w:left="8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1896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73" w:line="217" w:lineRule="auto"/>
              <w:ind w:left="140"/>
            </w:pPr>
            <w:r>
              <w:rPr>
                <w:spacing w:val="-2"/>
              </w:rPr>
              <w:t>主要覆盖下游销售环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630"/>
        </w:trPr>
        <w:tc>
          <w:tcPr>
            <w:tcW w:w="183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216" w:lineRule="auto"/>
              <w:ind w:left="560"/>
            </w:pPr>
            <w:r>
              <w:rPr>
                <w:spacing w:val="-3"/>
                <w14:textOutline w14:w="3265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下游零售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5" w:line="312" w:lineRule="exact"/>
              <w:ind w:left="116"/>
            </w:pPr>
            <w:r>
              <w:rPr>
                <w:spacing w:val="-2"/>
                <w:position w:val="10"/>
              </w:rPr>
              <w:t>九木杂物</w:t>
            </w:r>
          </w:p>
          <w:p>
            <w:pPr>
              <w:pStyle w:val="TableText"/>
              <w:spacing w:line="222" w:lineRule="auto"/>
              <w:ind w:left="385"/>
            </w:pPr>
            <w:r>
              <w:t>社</w:t>
            </w: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1" w:line="219" w:lineRule="auto"/>
              <w:ind w:left="369"/>
            </w:pPr>
            <w:r>
              <w:rPr>
                <w:spacing w:val="-7"/>
              </w:rPr>
              <w:t>门店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531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-7"/>
              </w:rPr>
              <w:t>家</w:t>
            </w:r>
          </w:p>
        </w:tc>
        <w:tc>
          <w:tcPr>
            <w:tcW w:w="192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51" w:line="86" w:lineRule="exact"/>
              <w:ind w:left="8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18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51" w:line="86" w:lineRule="exact"/>
              <w:ind w:left="8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189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267" w:lineRule="auto"/>
              <w:ind w:left="678" w:right="57" w:hanging="621"/>
            </w:pPr>
            <w:r>
              <w:rPr>
                <w:spacing w:val="-8"/>
              </w:rPr>
              <w:t>节，</w:t>
            </w:r>
            <w:r>
              <w:rPr>
                <w:spacing w:val="-30"/>
              </w:rPr>
              <w:t xml:space="preserve"> </w:t>
            </w:r>
            <w:r>
              <w:rPr>
                <w:spacing w:val="-8"/>
              </w:rPr>
              <w:t>产品来自于上述潮</w:t>
            </w:r>
            <w:r>
              <w:t xml:space="preserve"> </w:t>
            </w:r>
            <w:r>
              <w:rPr>
                <w:spacing w:val="-2"/>
              </w:rPr>
              <w:t>玩品牌</w:t>
            </w:r>
          </w:p>
        </w:tc>
      </w:tr>
    </w:tbl>
    <w:p>
      <w:pPr>
        <w:pStyle w:val="BodyText"/>
        <w:spacing w:before="63" w:line="215" w:lineRule="auto"/>
        <w:ind w:left="14"/>
        <w:rPr>
          <w:sz w:val="18"/>
          <w:szCs w:val="18"/>
        </w:rPr>
      </w:pPr>
      <w:r>
        <w:rPr>
          <w:spacing w:val="-5"/>
          <w:sz w:val="18"/>
          <w:szCs w:val="18"/>
        </w:rPr>
        <w:t>资料来源：</w:t>
      </w:r>
      <w:r>
        <w:rPr>
          <w:spacing w:val="-5"/>
          <w:sz w:val="18"/>
          <w:szCs w:val="18"/>
        </w:rPr>
        <w:t xml:space="preserve"> </w:t>
      </w:r>
      <w:r>
        <w:rPr>
          <w:spacing w:val="-5"/>
          <w:sz w:val="18"/>
          <w:szCs w:val="18"/>
        </w:rPr>
        <w:t>各公司官网及公告、开源证券研究所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68" w:line="266" w:lineRule="auto"/>
        <w:ind w:left="2810" w:firstLine="439"/>
        <w:jc w:val="both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大浪淘沙，强者恒强。</w:t>
      </w:r>
      <w:r>
        <w:rPr>
          <w:spacing w:val="-1"/>
        </w:rPr>
        <w:t>经历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2019-2021  </w:t>
      </w:r>
      <w:r>
        <w:rPr>
          <w:spacing w:val="-1"/>
        </w:rPr>
        <w:t>年的快速增长期后，潮玩行业尾部玩家</w:t>
      </w:r>
      <w:r>
        <w:rPr>
          <w:spacing w:val="-1"/>
        </w:rPr>
        <w:t xml:space="preserve">  </w:t>
      </w:r>
      <w:r>
        <w:rPr>
          <w:spacing w:val="-4"/>
        </w:rPr>
        <w:t>出清。根据久谦数据，</w:t>
      </w:r>
      <w:r>
        <w:rPr>
          <w:spacing w:val="-52"/>
        </w:rPr>
        <w:t xml:space="preserve"> </w:t>
      </w:r>
      <w:r>
        <w:rPr>
          <w:spacing w:val="-4"/>
        </w:rPr>
        <w:t>截至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2023Q1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-4"/>
        </w:rPr>
        <w:t>全国共</w:t>
      </w:r>
      <w:r>
        <w:rPr>
          <w:spacing w:val="-5"/>
        </w:rPr>
        <w:t>有潮玩店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3055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5"/>
        </w:rPr>
        <w:t>家，较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2021 </w:t>
      </w:r>
      <w:r>
        <w:rPr>
          <w:spacing w:val="-5"/>
        </w:rPr>
        <w:t>年的高点减少</w:t>
      </w:r>
      <w:r>
        <w:rPr>
          <w:spacing w:val="-5"/>
        </w:rPr>
        <w:t xml:space="preserve">  </w:t>
      </w:r>
      <w:r>
        <w:rPr>
          <w:spacing w:val="-6"/>
        </w:rPr>
        <w:t>约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1500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spacing w:val="-6"/>
        </w:rPr>
        <w:t>家。上市公司中，名创优品的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Top </w:t>
      </w:r>
      <w:r>
        <w:rPr>
          <w:rFonts w:ascii="Times New Roman" w:eastAsia="Times New Roman" w:hAnsi="Times New Roman" w:cs="Times New Roman"/>
          <w:spacing w:val="-7"/>
        </w:rPr>
        <w:t xml:space="preserve">Toy 2023H1 </w:t>
      </w:r>
      <w:r>
        <w:rPr>
          <w:spacing w:val="-7"/>
        </w:rPr>
        <w:t>仅净增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1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7"/>
        </w:rPr>
        <w:t>家门店，</w:t>
      </w:r>
      <w:r>
        <w:rPr>
          <w:spacing w:val="-54"/>
        </w:rPr>
        <w:t xml:space="preserve"> </w:t>
      </w:r>
      <w:r>
        <w:rPr>
          <w:spacing w:val="-7"/>
        </w:rPr>
        <w:t>处于产品结</w:t>
      </w:r>
      <w:r>
        <w:t xml:space="preserve">  </w:t>
      </w:r>
      <w:r>
        <w:rPr>
          <w:spacing w:val="-1"/>
        </w:rPr>
        <w:t>构调整期。九木杂物社门店数量领先，以文创产品销售为主，暂未孵化自有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IP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spacing w:val="-1"/>
        </w:rPr>
        <w:t>。</w:t>
      </w:r>
      <w:r>
        <w:rPr>
          <w:rFonts w:ascii="Times New Roman" w:eastAsia="Times New Roman" w:hAnsi="Times New Roman" w:cs="Times New Roman"/>
          <w:spacing w:val="-1"/>
        </w:rPr>
        <w:t xml:space="preserve">IP    </w:t>
      </w:r>
      <w:r>
        <w:rPr>
          <w:spacing w:val="-5"/>
        </w:rPr>
        <w:t>小站机器人商店数量持续减少，</w:t>
      </w:r>
      <w:r>
        <w:rPr>
          <w:rFonts w:ascii="Times New Roman" w:eastAsia="Times New Roman" w:hAnsi="Times New Roman" w:cs="Times New Roman"/>
          <w:spacing w:val="-5"/>
        </w:rPr>
        <w:t xml:space="preserve">2023H1 </w:t>
      </w:r>
      <w:r>
        <w:rPr>
          <w:spacing w:val="-5"/>
        </w:rPr>
        <w:t>关闭</w:t>
      </w:r>
      <w:r>
        <w:rPr>
          <w:rFonts w:ascii="Times New Roman" w:eastAsia="Times New Roman" w:hAnsi="Times New Roman" w:cs="Times New Roman"/>
          <w:spacing w:val="-5"/>
        </w:rPr>
        <w:t xml:space="preserve">495 </w:t>
      </w:r>
      <w:r>
        <w:rPr>
          <w:spacing w:val="-5"/>
        </w:rPr>
        <w:t>个机器人商店，收入同比减少</w:t>
      </w:r>
      <w:r>
        <w:rPr>
          <w:rFonts w:ascii="Times New Roman" w:eastAsia="Times New Roman" w:hAnsi="Times New Roman" w:cs="Times New Roman"/>
          <w:spacing w:val="-5"/>
        </w:rPr>
        <w:t>55.13%</w:t>
      </w:r>
      <w:r>
        <w:rPr>
          <w:spacing w:val="-5"/>
        </w:rPr>
        <w:t>。</w:t>
      </w:r>
      <w:r>
        <w:t xml:space="preserve"> </w:t>
      </w:r>
      <w:r>
        <w:rPr>
          <w:spacing w:val="-6"/>
        </w:rPr>
        <w:t>泡泡玛特持续拓店、强者恒强，</w:t>
      </w:r>
      <w:r>
        <w:rPr>
          <w:spacing w:val="-6"/>
        </w:rPr>
        <w:t xml:space="preserve"> </w:t>
      </w:r>
      <w:r>
        <w:rPr>
          <w:spacing w:val="-6"/>
        </w:rPr>
        <w:t>受益于零售恢复及小幅开店，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2023H1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6"/>
        </w:rPr>
        <w:t>国内线下渠道</w:t>
      </w:r>
      <w:r>
        <w:rPr>
          <w:spacing w:val="-6"/>
        </w:rPr>
        <w:t xml:space="preserve">  </w:t>
      </w:r>
      <w:r>
        <w:rPr>
          <w:spacing w:val="-2"/>
        </w:rPr>
        <w:t>收入同比增长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32.4%</w:t>
      </w:r>
      <w:r>
        <w:rPr>
          <w:spacing w:val="-2"/>
        </w:rPr>
        <w:t>。</w:t>
      </w:r>
    </w:p>
    <w:p>
      <w:pPr>
        <w:pStyle w:val="BodyText"/>
        <w:spacing w:before="222" w:line="218" w:lineRule="auto"/>
        <w:ind w:left="2804"/>
      </w:pPr>
      <w:r>
        <w:rPr>
          <w:color w:val="000080"/>
          <w14:textOutline w14:w="3831">
            <w14:solidFill>
              <w14:srgbClr w14:val="000080"/>
            </w14:solidFill>
            <w14:prstDash w14:val="solid"/>
            <w14:round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000080"/>
        </w:rPr>
        <w:t>2</w:t>
      </w:r>
      <w:r>
        <w:rPr>
          <w:color w:val="000080"/>
          <w14:textOutline w14:w="3831">
            <w14:solidFill>
              <w14:srgbClr w14:val="000080"/>
            </w14:solidFill>
            <w14:prstDash w14:val="solid"/>
            <w14:round/>
          </w14:textOutline>
        </w:rPr>
        <w:t>：国内潮玩线下门店数增长放缓</w:t>
      </w:r>
    </w:p>
    <w:p>
      <w:pPr>
        <w:spacing w:line="89" w:lineRule="exact"/>
      </w:pPr>
    </w:p>
    <w:p>
      <w:pPr>
        <w:spacing w:line="89" w:lineRule="exact"/>
        <w:sectPr>
          <w:headerReference w:type="default" r:id="rId65"/>
          <w:footerReference w:type="default" r:id="rId66"/>
          <w:pgSz w:w="11907" w:h="16839"/>
          <w:pgMar w:top="1307" w:right="549" w:bottom="1125" w:left="736" w:header="396" w:footer="839" w:gutter="0"/>
          <w:pgNumType w:start="18"/>
          <w:cols w:num="1" w:space="708" w:equalWidth="0">
            <w:col w:w="10621" w:space="0"/>
          </w:cols>
        </w:sectPr>
      </w:pPr>
    </w:p>
    <w:p>
      <w:pPr>
        <w:spacing w:before="25" w:line="124" w:lineRule="exact"/>
        <w:ind w:left="5897"/>
        <w:rPr>
          <w:rFonts w:ascii="Times New Roman" w:eastAsia="Times New Roman" w:hAnsi="Times New Roman" w:cs="Times New Roman"/>
          <w:sz w:val="18"/>
          <w:szCs w:val="18"/>
        </w:rPr>
      </w:pPr>
      <w:r>
        <mc:AlternateContent>
          <mc:Choice Requires="wps">
            <w:drawing>
              <wp:anchor distT="0" distB="0" distL="0" distR="0" simplePos="0" relativeHeight="251698176" behindDoc="1" locked="0" layoutInCell="1" allowOverlap="1">
                <wp:simplePos x="0" y="0"/>
                <wp:positionH relativeFrom="column">
                  <wp:posOffset>1803146</wp:posOffset>
                </wp:positionH>
                <wp:positionV relativeFrom="paragraph">
                  <wp:posOffset>-48715</wp:posOffset>
                </wp:positionV>
                <wp:extent cx="4844415" cy="198120"/>
                <wp:effectExtent l="0" t="0" r="0" b="0"/>
                <wp:wrapNone/>
                <wp:docPr id="68" name="Rect 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803146" y="-48715"/>
                          <a:ext cx="4844415" cy="198120"/>
                        </a:xfrm>
                        <a:prstGeom prst="rect">
                          <a:avLst/>
                        </a:prstGeom>
                        <a:solidFill>
                          <a:srgbClr val="00008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68" o:spid="_x0000_s1074" style="width:381.45pt;height:15.6pt;margin-top:-3.84pt;margin-left:141.98pt;mso-wrap-distance-bottom:0;mso-wrap-distance-left:0;mso-wrap-distance-right:0;mso-wrap-distance-top:0;position:absolute;v-text-anchor:top;z-index:-251619328" fillcolor="navy" stroked="f"/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FFFFFF"/>
          <w:spacing w:val="-1"/>
          <w:position w:val="-2"/>
          <w:sz w:val="18"/>
          <w:szCs w:val="18"/>
        </w:rPr>
        <w:t>2019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" w:line="124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FFFFFF"/>
          <w:spacing w:val="-1"/>
          <w:position w:val="-2"/>
          <w:sz w:val="18"/>
          <w:szCs w:val="18"/>
        </w:rPr>
        <w:t>2020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" w:line="124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FFFFFF"/>
          <w:spacing w:val="-1"/>
          <w:position w:val="-2"/>
          <w:sz w:val="18"/>
          <w:szCs w:val="18"/>
        </w:rPr>
        <w:t>2021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" w:line="124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FFFFFF"/>
          <w:spacing w:val="-1"/>
          <w:position w:val="-2"/>
          <w:sz w:val="18"/>
          <w:szCs w:val="18"/>
        </w:rPr>
        <w:t>2022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" w:line="124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FFFFFF"/>
          <w:spacing w:val="-1"/>
          <w:position w:val="-2"/>
          <w:sz w:val="18"/>
          <w:szCs w:val="18"/>
        </w:rPr>
        <w:t>2023H1</w:t>
      </w:r>
    </w:p>
    <w:p>
      <w:pPr>
        <w:spacing w:line="124" w:lineRule="exact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67"/>
          <w:footerReference w:type="default" r:id="rId68"/>
          <w:type w:val="continuous"/>
          <w:pgSz w:w="11907" w:h="16839"/>
          <w:pgMar w:top="1307" w:right="549" w:bottom="1125" w:left="736" w:header="396" w:footer="839" w:gutter="0"/>
          <w:pgNumType w:start="19"/>
          <w:cols w:num="5" w:space="708" w:equalWidth="0">
            <w:col w:w="6773" w:space="100"/>
            <w:col w:w="875" w:space="100"/>
            <w:col w:w="873" w:space="100"/>
            <w:col w:w="760" w:space="100"/>
            <w:col w:w="943" w:space="0"/>
          </w:cols>
        </w:sectPr>
      </w:pPr>
    </w:p>
    <w:p>
      <w:pPr>
        <w:pStyle w:val="BodyText"/>
        <w:spacing w:before="162" w:line="216" w:lineRule="auto"/>
        <w:ind w:left="3415"/>
        <w:rPr>
          <w:rFonts w:ascii="Times New Roman" w:eastAsia="Times New Roman" w:hAnsi="Times New Roman" w:cs="Times New Roman"/>
          <w:sz w:val="18"/>
          <w:szCs w:val="18"/>
        </w:rPr>
      </w:pPr>
      <w:r>
        <w:rPr>
          <w:spacing w:val="-4"/>
          <w:sz w:val="18"/>
          <w:szCs w:val="18"/>
        </w:rPr>
        <w:t>泡泡玛特（零售店）</w:t>
      </w:r>
      <w:r>
        <w:rPr>
          <w:spacing w:val="-4"/>
          <w:sz w:val="18"/>
          <w:szCs w:val="18"/>
        </w:rPr>
        <w:t xml:space="preserve">            </w:t>
      </w:r>
      <w:r>
        <w:rPr>
          <w:rFonts w:ascii="Times New Roman" w:eastAsia="Times New Roman" w:hAnsi="Times New Roman" w:cs="Times New Roman"/>
          <w:spacing w:val="-4"/>
          <w:sz w:val="18"/>
          <w:szCs w:val="18"/>
        </w:rPr>
        <w:t>114                  186                288                 329                 3</w:t>
      </w:r>
      <w:r>
        <w:rPr>
          <w:rFonts w:ascii="Times New Roman" w:eastAsia="Times New Roman" w:hAnsi="Times New Roman" w:cs="Times New Roman"/>
          <w:spacing w:val="-5"/>
          <w:sz w:val="18"/>
          <w:szCs w:val="18"/>
        </w:rPr>
        <w:t>40</w:t>
      </w:r>
    </w:p>
    <w:p>
      <w:pPr>
        <w:pStyle w:val="BodyText"/>
        <w:spacing w:before="110" w:line="217" w:lineRule="auto"/>
        <w:ind w:left="3235"/>
        <w:rPr>
          <w:rFonts w:ascii="Times New Roman" w:eastAsia="Times New Roman" w:hAnsi="Times New Roman" w:cs="Times New Roman"/>
          <w:sz w:val="18"/>
          <w:szCs w:val="18"/>
        </w:rPr>
      </w:pPr>
      <w:r>
        <w:rPr>
          <w:spacing w:val="-3"/>
          <w:sz w:val="18"/>
          <w:szCs w:val="18"/>
        </w:rPr>
        <w:t>泡泡玛特（机器人商店）</w:t>
      </w:r>
      <w:r>
        <w:rPr>
          <w:spacing w:val="-3"/>
          <w:sz w:val="18"/>
          <w:szCs w:val="18"/>
        </w:rPr>
        <w:t xml:space="preserve">          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 xml:space="preserve">825               1351               1861   </w:t>
      </w:r>
      <w:r>
        <w:rPr>
          <w:rFonts w:ascii="Times New Roman" w:eastAsia="Times New Roman" w:hAnsi="Times New Roman" w:cs="Times New Roman"/>
          <w:spacing w:val="-4"/>
          <w:sz w:val="18"/>
          <w:szCs w:val="18"/>
        </w:rPr>
        <w:t xml:space="preserve">            2067              2185</w:t>
      </w:r>
    </w:p>
    <w:p>
      <w:pPr>
        <w:spacing w:line="119" w:lineRule="exact"/>
      </w:pPr>
    </w:p>
    <w:p>
      <w:pPr>
        <w:spacing w:line="119" w:lineRule="exact"/>
        <w:sectPr>
          <w:headerReference w:type="default" r:id="rId69"/>
          <w:footerReference w:type="default" r:id="rId70"/>
          <w:type w:val="continuous"/>
          <w:pgSz w:w="11907" w:h="16839"/>
          <w:pgMar w:top="1307" w:right="549" w:bottom="1125" w:left="736" w:header="396" w:footer="839" w:gutter="0"/>
          <w:pgNumType w:start="20"/>
          <w:cols w:num="1" w:space="708" w:equalWidth="0">
            <w:col w:w="10621" w:space="0"/>
          </w:cols>
        </w:sectPr>
      </w:pPr>
    </w:p>
    <w:p>
      <w:pPr>
        <w:spacing w:before="25" w:line="124" w:lineRule="exact"/>
        <w:ind w:left="384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3"/>
          <w:position w:val="-2"/>
          <w:sz w:val="18"/>
          <w:szCs w:val="18"/>
        </w:rPr>
        <w:t>TOP TOY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6" w:line="122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position w:val="-2"/>
          <w:sz w:val="18"/>
          <w:szCs w:val="18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" w:line="125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3"/>
          <w:position w:val="-2"/>
          <w:sz w:val="18"/>
          <w:szCs w:val="18"/>
        </w:rPr>
        <w:t>89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" w:line="125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9"/>
          <w:position w:val="-2"/>
          <w:sz w:val="18"/>
          <w:szCs w:val="18"/>
        </w:rPr>
        <w:t>117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3" w:line="125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9"/>
          <w:position w:val="-2"/>
          <w:sz w:val="18"/>
          <w:szCs w:val="18"/>
        </w:rPr>
        <w:t>118</w:t>
      </w:r>
    </w:p>
    <w:p>
      <w:pPr>
        <w:spacing w:line="125" w:lineRule="exact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71"/>
          <w:footerReference w:type="default" r:id="rId72"/>
          <w:type w:val="continuous"/>
          <w:pgSz w:w="11907" w:h="16839"/>
          <w:pgMar w:top="1307" w:right="549" w:bottom="1125" w:left="736" w:header="396" w:footer="839" w:gutter="0"/>
          <w:pgNumType w:start="21"/>
          <w:cols w:num="5" w:space="708" w:equalWidth="0">
            <w:col w:w="6911" w:space="100"/>
            <w:col w:w="834" w:space="100"/>
            <w:col w:w="840" w:space="100"/>
            <w:col w:w="875" w:space="100"/>
            <w:col w:w="763" w:space="0"/>
          </w:cols>
        </w:sectPr>
      </w:pPr>
    </w:p>
    <w:p>
      <w:pPr>
        <w:pStyle w:val="BodyText"/>
        <w:spacing w:before="164" w:line="219" w:lineRule="auto"/>
        <w:ind w:left="376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spacing w:val="-1"/>
          <w:sz w:val="18"/>
          <w:szCs w:val="18"/>
        </w:rPr>
        <w:t>九木杂物社</w:t>
      </w:r>
      <w:r>
        <w:rPr>
          <w:spacing w:val="1"/>
          <w:sz w:val="18"/>
          <w:szCs w:val="18"/>
        </w:rPr>
        <w:t xml:space="preserve">      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261</w:t>
      </w:r>
      <w:r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      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361</w:t>
      </w:r>
      <w:r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      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463</w:t>
      </w:r>
      <w:r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      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489</w:t>
      </w:r>
      <w:r>
        <w:rPr>
          <w:rFonts w:ascii="Times New Roman" w:eastAsia="Times New Roman" w:hAnsi="Times New Roman" w:cs="Times New Roman"/>
          <w:spacing w:val="3"/>
          <w:sz w:val="18"/>
          <w:szCs w:val="18"/>
        </w:rPr>
        <w:t xml:space="preserve">       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531</w:t>
      </w:r>
    </w:p>
    <w:p>
      <w:pPr>
        <w:pStyle w:val="BodyText"/>
        <w:spacing w:before="108" w:line="217" w:lineRule="auto"/>
        <w:ind w:left="330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4"/>
          <w:sz w:val="18"/>
          <w:szCs w:val="18"/>
        </w:rPr>
        <w:t>IP</w:t>
      </w:r>
      <w:r>
        <w:rPr>
          <w:rFonts w:ascii="Times New Roman" w:eastAsia="Times New Roman" w:hAnsi="Times New Roman" w:cs="Times New Roman"/>
          <w:spacing w:val="23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小站（机器人商店）</w:t>
      </w:r>
      <w:r>
        <w:rPr>
          <w:spacing w:val="-4"/>
          <w:sz w:val="18"/>
          <w:szCs w:val="18"/>
        </w:rPr>
        <w:t xml:space="preserve">           </w:t>
      </w:r>
      <w:r>
        <w:rPr>
          <w:rFonts w:ascii="Times New Roman" w:eastAsia="Times New Roman" w:hAnsi="Times New Roman" w:cs="Times New Roman"/>
          <w:spacing w:val="-4"/>
          <w:sz w:val="18"/>
          <w:szCs w:val="18"/>
        </w:rPr>
        <w:t xml:space="preserve">415                1621               1799     </w:t>
      </w:r>
      <w:r>
        <w:rPr>
          <w:rFonts w:ascii="Times New Roman" w:eastAsia="Times New Roman" w:hAnsi="Times New Roman" w:cs="Times New Roman"/>
          <w:spacing w:val="-5"/>
          <w:sz w:val="18"/>
          <w:szCs w:val="18"/>
        </w:rPr>
        <w:t xml:space="preserve">          1152                657</w:t>
      </w:r>
    </w:p>
    <w:p>
      <w:pPr>
        <w:pStyle w:val="BodyText"/>
        <w:spacing w:before="110" w:line="217" w:lineRule="auto"/>
        <w:ind w:left="2806"/>
        <w:rPr>
          <w:sz w:val="18"/>
          <w:szCs w:val="18"/>
        </w:rPr>
      </w:pPr>
      <w:r>
        <w:rPr>
          <w:spacing w:val="-1"/>
          <w:sz w:val="18"/>
          <w:szCs w:val="18"/>
        </w:rPr>
        <w:t>数据来源：各公司公告、开源证券研究所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69" w:line="220" w:lineRule="auto"/>
        <w:ind w:left="2873"/>
      </w:pPr>
      <w:r>
        <w:rPr>
          <w:color w:val="000080"/>
          <w:spacing w:val="-2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</w:rPr>
        <w:t>5</w:t>
      </w:r>
      <w:r>
        <w:rPr>
          <w:color w:val="000080"/>
          <w:spacing w:val="-2"/>
          <w14:textOutline w14:w="3831">
            <w14:solidFill>
              <w14:srgbClr w14:val="000080"/>
            </w14:solidFill>
            <w14:prstDash w14:val="solid"/>
            <w14:round/>
          </w14:textOutline>
        </w:rPr>
        <w:t>：高点至</w:t>
      </w:r>
      <w:r>
        <w:rPr>
          <w:color w:val="000080"/>
          <w:spacing w:val="-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</w:rPr>
        <w:t>2023Q1</w:t>
      </w:r>
      <w:r>
        <w:rPr>
          <w:rFonts w:ascii="Times New Roman" w:eastAsia="Times New Roman" w:hAnsi="Times New Roman" w:cs="Times New Roman"/>
          <w:b/>
          <w:bCs/>
          <w:color w:val="000080"/>
          <w:spacing w:val="31"/>
          <w:w w:val="101"/>
        </w:rPr>
        <w:t xml:space="preserve"> </w:t>
      </w:r>
      <w:r>
        <w:rPr>
          <w:color w:val="000080"/>
          <w:spacing w:val="-2"/>
          <w14:textOutline w14:w="3831">
            <w14:solidFill>
              <w14:srgbClr w14:val="000080"/>
            </w14:solidFill>
            <w14:prstDash w14:val="solid"/>
            <w14:round/>
          </w14:textOutline>
        </w:rPr>
        <w:t>中国潮玩在营门</w:t>
      </w:r>
      <w:r>
        <w:rPr>
          <w:color w:val="000080"/>
          <w:spacing w:val="-3"/>
          <w14:textOutline w14:w="3831">
            <w14:solidFill>
              <w14:srgbClr w14:val="000080"/>
            </w14:solidFill>
            <w14:prstDash w14:val="solid"/>
            <w14:round/>
          </w14:textOutline>
        </w:rPr>
        <w:t>店数减少约</w:t>
      </w:r>
      <w:r>
        <w:rPr>
          <w:color w:val="000080"/>
          <w:spacing w:val="-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</w:rPr>
        <w:t>1500</w:t>
      </w:r>
      <w:r>
        <w:rPr>
          <w:rFonts w:ascii="Times New Roman" w:eastAsia="Times New Roman" w:hAnsi="Times New Roman" w:cs="Times New Roman"/>
          <w:b/>
          <w:bCs/>
          <w:color w:val="000080"/>
          <w:spacing w:val="27"/>
        </w:rPr>
        <w:t xml:space="preserve"> </w:t>
      </w:r>
      <w:r>
        <w:rPr>
          <w:color w:val="000080"/>
          <w:spacing w:val="-3"/>
          <w14:textOutline w14:w="3831">
            <w14:solidFill>
              <w14:srgbClr w14:val="000080"/>
            </w14:solidFill>
            <w14:prstDash w14:val="solid"/>
            <w14:round/>
          </w14:textOutline>
        </w:rPr>
        <w:t>家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51" w:line="186" w:lineRule="auto"/>
        <w:ind w:left="297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5000</w:t>
      </w:r>
    </w:p>
    <w:p>
      <w:pPr>
        <w:spacing w:before="174" w:line="186" w:lineRule="auto"/>
        <w:ind w:left="297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4000</w:t>
      </w:r>
    </w:p>
    <w:p>
      <w:pPr>
        <w:spacing w:before="174" w:line="186" w:lineRule="auto"/>
        <w:ind w:left="297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3000</w:t>
      </w:r>
    </w:p>
    <w:p>
      <w:pPr>
        <w:spacing w:before="175" w:line="186" w:lineRule="auto"/>
        <w:ind w:left="297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2000</w:t>
      </w:r>
    </w:p>
    <w:p>
      <w:pPr>
        <w:spacing w:before="174" w:line="186" w:lineRule="auto"/>
        <w:ind w:left="299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6"/>
          <w:sz w:val="18"/>
          <w:szCs w:val="18"/>
        </w:rPr>
        <w:t>1000</w:t>
      </w:r>
    </w:p>
    <w:p>
      <w:pPr>
        <w:spacing w:before="174" w:line="186" w:lineRule="auto"/>
        <w:ind w:left="324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0</w:t>
      </w:r>
    </w:p>
    <w:p>
      <w:pPr>
        <w:spacing w:before="54" w:line="477" w:lineRule="exact"/>
        <w:ind w:firstLine="3212"/>
      </w:pPr>
      <w:r>
        <w:rPr>
          <w:position w:val="-9"/>
        </w:rPr>
        <w:drawing>
          <wp:inline distT="0" distB="0" distL="0" distR="0">
            <wp:extent cx="4218178" cy="303148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218178" cy="303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6" w:line="213" w:lineRule="auto"/>
        <w:ind w:left="5553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74"/>
          <w:footerReference w:type="default" r:id="rId75"/>
          <w:type w:val="continuous"/>
          <w:pgSz w:w="11907" w:h="16839"/>
          <w:pgMar w:top="1307" w:right="549" w:bottom="1125" w:left="736" w:header="396" w:footer="839" w:gutter="0"/>
          <w:pgNumType w:start="22"/>
          <w:cols w:num="1" w:space="708" w:equalWidth="0">
            <w:col w:w="10621" w:space="0"/>
          </w:cols>
        </w:sectPr>
      </w:pPr>
      <w:r>
        <w:rPr>
          <w:position w:val="4"/>
          <w:sz w:val="18"/>
          <w:szCs w:val="18"/>
        </w:rPr>
        <w:drawing>
          <wp:inline distT="0" distB="0" distL="0" distR="0">
            <wp:extent cx="263652" cy="19811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63652" cy="19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9"/>
          <w:sz w:val="18"/>
          <w:szCs w:val="18"/>
        </w:rPr>
        <w:t xml:space="preserve"> </w:t>
      </w:r>
      <w:r>
        <w:rPr>
          <w:sz w:val="18"/>
          <w:szCs w:val="18"/>
        </w:rPr>
        <w:t>在营潮玩门店数</w:t>
      </w:r>
      <w:r>
        <w:rPr>
          <w:rFonts w:ascii="Times New Roman" w:eastAsia="Times New Roman" w:hAnsi="Times New Roman" w:cs="Times New Roman"/>
          <w:sz w:val="18"/>
          <w:szCs w:val="18"/>
        </w:rPr>
        <w:t>(</w:t>
      </w:r>
      <w:r>
        <w:rPr>
          <w:sz w:val="18"/>
          <w:szCs w:val="18"/>
        </w:rPr>
        <w:t>家</w:t>
      </w:r>
      <w:r>
        <w:rPr>
          <w:rFonts w:ascii="Times New Roman" w:eastAsia="Times New Roman" w:hAnsi="Times New Roman" w:cs="Times New Roman"/>
          <w:sz w:val="18"/>
          <w:szCs w:val="18"/>
        </w:rPr>
        <w:t>)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59" w:line="217" w:lineRule="auto"/>
        <w:ind w:left="2844"/>
        <w:rPr>
          <w:sz w:val="18"/>
          <w:szCs w:val="18"/>
        </w:rPr>
      </w:pPr>
      <w:r>
        <w:rPr>
          <w:spacing w:val="-1"/>
          <w:sz w:val="18"/>
          <w:szCs w:val="18"/>
        </w:rPr>
        <w:t>数据来源：久谦、开源证券研究所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68" w:line="245" w:lineRule="auto"/>
        <w:ind w:left="2802" w:right="183" w:firstLine="441"/>
        <w:jc w:val="both"/>
      </w:pP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泡泡玛特市占率持续提升，龙头地位稳固</w:t>
      </w:r>
      <w:r>
        <w:rPr>
          <w:spacing w:val="-31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。</w:t>
      </w:r>
      <w:r>
        <w:rPr>
          <w:rFonts w:ascii="Times New Roman" w:eastAsia="Times New Roman" w:hAnsi="Times New Roman" w:cs="Times New Roman"/>
          <w:spacing w:val="-2"/>
        </w:rPr>
        <w:t xml:space="preserve">2019 </w:t>
      </w:r>
      <w:r>
        <w:rPr>
          <w:spacing w:val="-2"/>
        </w:rPr>
        <w:t>年泡泡玛特在中国潮玩市场的</w:t>
      </w:r>
      <w:r>
        <w:t xml:space="preserve"> </w:t>
      </w:r>
      <w:r>
        <w:rPr>
          <w:spacing w:val="-1"/>
        </w:rPr>
        <w:t>份额由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8.5%</w:t>
      </w:r>
      <w:r>
        <w:rPr>
          <w:spacing w:val="-1"/>
        </w:rPr>
        <w:t>上升到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13.6%</w:t>
      </w:r>
      <w:r>
        <w:rPr>
          <w:spacing w:val="-1"/>
        </w:rPr>
        <w:t>，</w:t>
      </w:r>
      <w:r>
        <w:rPr>
          <w:rFonts w:ascii="Times New Roman" w:eastAsia="Times New Roman" w:hAnsi="Times New Roman" w:cs="Times New Roman"/>
          <w:spacing w:val="-1"/>
        </w:rPr>
        <w:t>CR5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spacing w:val="-1"/>
        </w:rPr>
        <w:t>集中度由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22.8%</w:t>
      </w:r>
      <w:r>
        <w:rPr>
          <w:spacing w:val="-1"/>
        </w:rPr>
        <w:t>提</w:t>
      </w:r>
      <w:r>
        <w:rPr>
          <w:spacing w:val="-2"/>
        </w:rPr>
        <w:t>升至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26.4%</w:t>
      </w:r>
      <w:r>
        <w:rPr>
          <w:spacing w:val="-2"/>
        </w:rPr>
        <w:t>，泡泡玛特市场份额</w:t>
      </w:r>
      <w:r>
        <w:t xml:space="preserve"> </w:t>
      </w:r>
      <w:r>
        <w:rPr>
          <w:spacing w:val="-3"/>
        </w:rPr>
        <w:t>提升的同时另外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4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-3"/>
        </w:rPr>
        <w:t>家公司份额下降。</w:t>
      </w:r>
    </w:p>
    <w:p>
      <w:pPr>
        <w:spacing w:line="245" w:lineRule="auto"/>
        <w:sectPr>
          <w:headerReference w:type="default" r:id="rId77"/>
          <w:footerReference w:type="default" r:id="rId78"/>
          <w:type w:val="nextPage"/>
          <w:pgSz w:w="11907" w:h="16839"/>
          <w:pgMar w:top="1307" w:right="549" w:bottom="1125" w:left="736" w:header="396" w:footer="839" w:gutter="0"/>
          <w:pgNumType w:start="23"/>
          <w:cols w:num="1" w:space="708" w:equalWidth="0">
            <w:col w:w="10621" w:space="0"/>
          </w:cols>
          <w:titlePg w:val="0"/>
        </w:sectPr>
      </w:pPr>
    </w:p>
    <w:p>
      <w:pPr>
        <w:spacing w:line="155" w:lineRule="exact"/>
      </w:pPr>
      <w:r>
        <w:pict>
          <v:rect id="_x0000_s1075" style="width:255.2pt;height:0.5pt;margin-top:260.54pt;margin-left:36.84pt;mso-position-horizontal-relative:page;mso-position-vertical-relative:page;position:absolute;z-index:251714560" o:allowincell="f" filled="t" fillcolor="black" stroked="f"/>
        </w:pict>
      </w:r>
      <w:r>
        <w:pict>
          <v:rect id="_x0000_s1076" style="width:178pt;height:0.5pt;margin-top:214.32pt;margin-left:351.6pt;mso-position-horizontal-relative:page;mso-position-vertical-relative:page;position:absolute;z-index:251706368" o:allowincell="f" filled="t" fillcolor="black" stroked="f"/>
        </w:pict>
      </w:r>
      <w:r>
        <w:pict>
          <v:shape id="_x0000_s1077" style="width:255.2pt;height:0.5pt;margin-top:104.06pt;margin-left:36.84pt;mso-position-horizontal-relative:page;mso-position-vertical-relative:page;position:absolute;z-index:251703296" coordorigin="0,0" coordsize="5103,10" o:allowincell="f" path="m,9l5103,9l5103,l,l,9xe" filled="t" fillcolor="black" stroked="f"/>
        </w:pict>
      </w:r>
      <w:r>
        <w:pict>
          <v:shape id="_x0000_s1078" type="#_x0000_t202" style="width:35.65pt;height:73pt;margin-top:122.58pt;margin-left:42.52pt;mso-position-horizontal-relative:page;mso-position-vertical-relative:page;position:absolute;z-index:251700224" o:allowincell="f" filled="f" stroked="f">
            <o:lock v:ext="edit" aspectratio="f"/>
            <v:textbox inset="0,0,0,0">
              <w:txbxContent>
                <w:p>
                  <w:pPr>
                    <w:tabs>
                      <w:tab w:val="left" w:pos="215"/>
                    </w:tabs>
                    <w:spacing w:before="20" w:line="364" w:lineRule="auto"/>
                    <w:ind w:left="20" w:right="20"/>
                    <w:jc w:val="right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Pop Mart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LEGO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Hot Toys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Bandai</w:t>
                  </w:r>
                </w:p>
                <w:p>
                  <w:pPr>
                    <w:spacing w:line="189" w:lineRule="auto"/>
                    <w:ind w:right="19"/>
                    <w:jc w:val="right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Funko</w:t>
                  </w:r>
                </w:p>
              </w:txbxContent>
            </v:textbox>
          </v:shape>
        </w:pict>
      </w:r>
      <w:r>
        <w:pict>
          <v:rect id="_x0000_s1079" style="width:15.6pt;height:4.45pt;margin-top:159.12pt;margin-left:351.6pt;mso-position-horizontal-relative:page;mso-position-vertical-relative:page;position:absolute;z-index:251705344" o:allowincell="f" filled="t" fillcolor="#c00000" stroked="f"/>
        </w:pict>
      </w:r>
      <w:r>
        <w:pict>
          <v:rect id="_x0000_s1080" style="width:16.8pt;height:4.35pt;margin-top:149.52pt;margin-left:351.6pt;mso-position-horizontal-relative:page;mso-position-vertical-relative:page;position:absolute;z-index:251704320" o:allowincell="f" filled="t" fillcolor="#c00000" stroked="f"/>
        </w:pict>
      </w:r>
      <w:r>
        <w:pict>
          <v:rect id="_x0000_s1081" style="width:2.3pt;height:0.5pt;margin-top:127.2pt;margin-left:351.6pt;mso-position-horizontal-relative:page;mso-position-vertical-relative:page;position:absolute;z-index:251713536" o:allowincell="f" filled="t" fillcolor="black" stroked="f"/>
        </w:pict>
      </w:r>
      <w:r>
        <w:pict>
          <v:rect id="_x0000_s1082" style="width:2.3pt;height:0.5pt;margin-top:117.48pt;margin-left:351.6pt;mso-position-horizontal-relative:page;mso-position-vertical-relative:page;position:absolute;z-index:251712512" o:allowincell="f" filled="t" fillcolor="black" stroked="f"/>
        </w:pict>
      </w: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4465320</wp:posOffset>
            </wp:positionH>
            <wp:positionV relativeFrom="page">
              <wp:posOffset>1652016</wp:posOffset>
            </wp:positionV>
            <wp:extent cx="1132331" cy="56388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132331" cy="56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3" style="width:2.55pt;height:97.1pt;margin-top:117.72pt;margin-left:351.36pt;mso-position-horizontal-relative:page;mso-position-vertical-relative:page;position:absolute;z-index:251710464" coordorigin="0,0" coordsize="50,1941" o:allowincell="f" path="m4,1936l4,m4,1936l50,1936m4,1744l50,1744m4,1550l50,1550m4,1355l50,1355m4,1164l50,1164m4,969l50,969m4,775l50,775m4,580l50,580e" filled="f" strokecolor="black" strokeweight="0.48pt"/>
        </w:pict>
      </w:r>
      <w:r>
        <w:drawing>
          <wp:anchor distT="0" distB="0" distL="0" distR="0" simplePos="0" relativeHeight="251702272" behindDoc="0" locked="0" layoutInCell="0" allowOverlap="1">
            <wp:simplePos x="0" y="0"/>
            <wp:positionH relativeFrom="page">
              <wp:posOffset>4465320</wp:posOffset>
            </wp:positionH>
            <wp:positionV relativeFrom="page">
              <wp:posOffset>1775460</wp:posOffset>
            </wp:positionV>
            <wp:extent cx="394715" cy="54864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94715" cy="54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0" allowOverlap="1">
            <wp:simplePos x="0" y="0"/>
            <wp:positionH relativeFrom="page">
              <wp:posOffset>4462272</wp:posOffset>
            </wp:positionH>
            <wp:positionV relativeFrom="page">
              <wp:posOffset>2513076</wp:posOffset>
            </wp:positionV>
            <wp:extent cx="80771" cy="211835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80771" cy="21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4" style="width:59.9pt;height:2.65pt;margin-top:211.92pt;margin-left:410.64pt;mso-position-horizontal-relative:page;mso-position-vertical-relative:page;position:absolute;z-index:251708416" coordorigin="0,0" coordsize="1198,53" o:allowincell="f" path="m4,l4,52m1192,l1192,52e" filled="f" strokecolor="black" strokeweight="0.48pt"/>
        </w:pict>
      </w:r>
      <w:r>
        <w:pict>
          <v:shape id="_x0000_s1085" type="#_x0000_t202" style="width:257.2pt;height:159pt;margin-top:103.06pt;margin-left:303.73pt;mso-position-horizontal-relative:page;mso-position-vertical-relative:page;position:absolute;z-index:25170739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5"/>
                    <w:tblW w:w="5103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868"/>
                    <w:gridCol w:w="3297"/>
                    <w:gridCol w:w="938"/>
                  </w:tblGrid>
                  <w:tr>
                    <w:tblPrEx>
                      <w:tblW w:w="5103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2277"/>
                    </w:trPr>
                    <w:tc>
                      <w:tcPr>
                        <w:tcW w:w="868" w:type="dxa"/>
                        <w:tcBorders>
                          <w:top w:val="single" w:sz="2" w:space="0" w:color="000000"/>
                        </w:tcBorders>
                        <w:vAlign w:val="top"/>
                      </w:tcPr>
                      <w:p>
                        <w:pPr>
                          <w:spacing w:line="25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tabs>
                            <w:tab w:val="left" w:pos="342"/>
                            <w:tab w:val="left" w:pos="350"/>
                            <w:tab w:val="left" w:pos="377"/>
                            <w:tab w:val="left" w:pos="395"/>
                            <w:tab w:val="left" w:pos="527"/>
                          </w:tabs>
                          <w:spacing w:before="46" w:line="246" w:lineRule="auto"/>
                          <w:ind w:left="135" w:right="64" w:firstLine="68"/>
                          <w:jc w:val="right"/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6"/>
                            <w:szCs w:val="16"/>
                          </w:rPr>
                          <w:t>Pop Mart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6"/>
                            <w:szCs w:val="16"/>
                          </w:rPr>
                          <w:t>LEGO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8"/>
                            <w:sz w:val="16"/>
                            <w:szCs w:val="16"/>
                          </w:rPr>
                          <w:t>Hot Toys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6"/>
                            <w:szCs w:val="16"/>
                          </w:rPr>
                          <w:t>Bandai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6"/>
                            <w:szCs w:val="16"/>
                          </w:rPr>
                          <w:t>Hasbro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6"/>
                            <w:szCs w:val="16"/>
                          </w:rPr>
                          <w:t>Funko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6"/>
                            <w:szCs w:val="16"/>
                          </w:rPr>
                          <w:t>TOP TOY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6"/>
                            <w:szCs w:val="16"/>
                          </w:rPr>
                          <w:t>Rastar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6"/>
                            <w:szCs w:val="16"/>
                          </w:rPr>
                          <w:t>X11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6"/>
                            <w:szCs w:val="16"/>
                          </w:rPr>
                          <w:t>AP1983</w:t>
                        </w:r>
                      </w:p>
                    </w:tc>
                    <w:tc>
                      <w:tcPr>
                        <w:tcW w:w="3297" w:type="dxa"/>
                        <w:tcBorders>
                          <w:top w:val="single" w:sz="2" w:space="0" w:color="000000"/>
                        </w:tcBorders>
                        <w:vAlign w:val="top"/>
                      </w:tcPr>
                      <w:p>
                        <w:pPr>
                          <w:spacing w:line="32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81" w:lineRule="exact"/>
                          <w:ind w:firstLine="69"/>
                        </w:pPr>
                        <w:r>
                          <w:rPr>
                            <w:position w:val="-1"/>
                          </w:rPr>
                          <w:drawing>
                            <wp:inline distT="0" distB="0" distL="0" distR="0">
                              <wp:extent cx="2049525" cy="51816"/>
                              <wp:effectExtent l="0" t="0" r="0" b="0"/>
                              <wp:docPr id="82" name="IM 8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2" name="IM 8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049525" cy="5181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spacing w:before="98" w:line="182" w:lineRule="auto"/>
                          <w:ind w:left="1977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pacing w:val="-2"/>
                            <w:sz w:val="16"/>
                            <w:szCs w:val="16"/>
                          </w:rPr>
                          <w:t>7.5%</w:t>
                        </w:r>
                      </w:p>
                      <w:p>
                        <w:pPr>
                          <w:spacing w:before="46" w:line="237" w:lineRule="auto"/>
                          <w:ind w:left="815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pacing w:val="-2"/>
                            <w:sz w:val="16"/>
                            <w:szCs w:val="16"/>
                          </w:rPr>
                          <w:t>2.6%</w:t>
                        </w:r>
                      </w:p>
                      <w:p>
                        <w:pPr>
                          <w:spacing w:line="181" w:lineRule="auto"/>
                          <w:ind w:left="535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pacing w:val="-3"/>
                            <w:sz w:val="16"/>
                            <w:szCs w:val="16"/>
                          </w:rPr>
                          <w:t>1.4%</w:t>
                        </w:r>
                      </w:p>
                      <w:p>
                        <w:pPr>
                          <w:spacing w:before="46" w:line="238" w:lineRule="auto"/>
                          <w:ind w:left="511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pacing w:val="-4"/>
                            <w:sz w:val="16"/>
                            <w:szCs w:val="16"/>
                          </w:rPr>
                          <w:t>1.3%</w:t>
                        </w:r>
                      </w:p>
                      <w:p>
                        <w:pPr>
                          <w:spacing w:line="181" w:lineRule="auto"/>
                          <w:ind w:left="69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position w:val="1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167639" cy="54863"/>
                              <wp:effectExtent l="0" t="0" r="0" b="0"/>
                              <wp:docPr id="84" name="IM 8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4" name="IM 8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7639" cy="5486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Calibri" w:eastAsia="Calibri" w:hAnsi="Calibri" w:cs="Calibri"/>
                            <w:spacing w:val="8"/>
                            <w:sz w:val="16"/>
                            <w:szCs w:val="16"/>
                          </w:rPr>
                          <w:t xml:space="preserve">   </w:t>
                        </w:r>
                        <w:r>
                          <w:rPr>
                            <w:rFonts w:ascii="Calibri" w:eastAsia="Calibri" w:hAnsi="Calibri" w:cs="Calibri"/>
                            <w:spacing w:val="-4"/>
                            <w:sz w:val="16"/>
                            <w:szCs w:val="16"/>
                          </w:rPr>
                          <w:t>1.1%</w:t>
                        </w:r>
                      </w:p>
                      <w:p>
                        <w:pPr>
                          <w:spacing w:before="47" w:line="181" w:lineRule="auto"/>
                          <w:ind w:left="69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position w:val="1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167639" cy="54863"/>
                              <wp:effectExtent l="0" t="0" r="0" b="0"/>
                              <wp:docPr id="86" name="IM 8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6" name="IM 8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7639" cy="5486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Calibri" w:eastAsia="Calibri" w:hAnsi="Calibri" w:cs="Calibri"/>
                            <w:spacing w:val="8"/>
                            <w:sz w:val="16"/>
                            <w:szCs w:val="16"/>
                          </w:rPr>
                          <w:t xml:space="preserve">   </w:t>
                        </w:r>
                        <w:r>
                          <w:rPr>
                            <w:rFonts w:ascii="Calibri" w:eastAsia="Calibri" w:hAnsi="Calibri" w:cs="Calibri"/>
                            <w:spacing w:val="-4"/>
                            <w:sz w:val="16"/>
                            <w:szCs w:val="16"/>
                          </w:rPr>
                          <w:t>1.1%</w:t>
                        </w:r>
                      </w:p>
                      <w:p>
                        <w:pPr>
                          <w:spacing w:before="46" w:line="181" w:lineRule="auto"/>
                          <w:ind w:left="69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138683" cy="56388"/>
                              <wp:effectExtent l="0" t="0" r="0" b="0"/>
                              <wp:docPr id="88" name="IM 8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8" name="IM 8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38683" cy="5638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Calibri" w:eastAsia="Calibri" w:hAnsi="Calibri" w:cs="Calibri"/>
                            <w:spacing w:val="5"/>
                            <w:sz w:val="16"/>
                            <w:szCs w:val="16"/>
                          </w:rPr>
                          <w:t xml:space="preserve">   </w:t>
                        </w:r>
                        <w:r>
                          <w:rPr>
                            <w:rFonts w:ascii="Calibri" w:eastAsia="Calibri" w:hAnsi="Calibri" w:cs="Calibri"/>
                            <w:spacing w:val="-2"/>
                            <w:sz w:val="16"/>
                            <w:szCs w:val="16"/>
                          </w:rPr>
                          <w:t>0.9%</w:t>
                        </w:r>
                      </w:p>
                      <w:p>
                        <w:pPr>
                          <w:spacing w:before="46" w:line="238" w:lineRule="auto"/>
                          <w:ind w:left="313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pacing w:val="-2"/>
                            <w:sz w:val="16"/>
                            <w:szCs w:val="16"/>
                          </w:rPr>
                          <w:t>0.5%</w:t>
                        </w:r>
                      </w:p>
                      <w:p>
                        <w:pPr>
                          <w:spacing w:line="181" w:lineRule="auto"/>
                          <w:ind w:left="290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pacing w:val="-2"/>
                            <w:sz w:val="16"/>
                            <w:szCs w:val="16"/>
                          </w:rPr>
                          <w:t>0.4%</w:t>
                        </w:r>
                      </w:p>
                    </w:tc>
                    <w:tc>
                      <w:tcPr>
                        <w:tcW w:w="938" w:type="dxa"/>
                        <w:vMerge w:val="restart"/>
                        <w:tcBorders>
                          <w:top w:val="single" w:sz="2" w:space="0" w:color="000000"/>
                          <w:bottom w:val="nil"/>
                        </w:tcBorders>
                        <w:vAlign w:val="top"/>
                      </w:tcPr>
                      <w:p>
                        <w:pPr>
                          <w:spacing w:line="26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49" w:line="181" w:lineRule="auto"/>
                          <w:ind w:left="134"/>
                          <w:rPr>
                            <w:rFonts w:ascii="Calibri" w:eastAsia="Calibri" w:hAnsi="Calibri" w:cs="Calibr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eastAsia="Calibri" w:hAnsi="Calibri" w:cs="Calibri"/>
                            <w:spacing w:val="-3"/>
                            <w:sz w:val="16"/>
                            <w:szCs w:val="16"/>
                          </w:rPr>
                          <w:t>13.6%</w:t>
                        </w:r>
                      </w:p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52" w:lineRule="exact"/>
                          <w:ind w:left="326"/>
                        </w:pPr>
                        <w:r>
                          <w:rPr>
                            <w:position w:val="-1"/>
                          </w:rPr>
                          <w:drawing>
                            <wp:inline distT="0" distB="0" distL="0" distR="0">
                              <wp:extent cx="6095" cy="33528"/>
                              <wp:effectExtent l="0" t="0" r="0" b="0"/>
                              <wp:docPr id="90" name="IM 9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0" name="IM 9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095" cy="3352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spacing w:before="147" w:line="186" w:lineRule="auto"/>
                          <w:ind w:left="122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5"/>
                            <w:sz w:val="18"/>
                            <w:szCs w:val="18"/>
                          </w:rPr>
                          <w:t>15.0%</w:t>
                        </w:r>
                      </w:p>
                    </w:tc>
                  </w:tr>
                  <w:tr>
                    <w:tblPrEx>
                      <w:tblW w:w="5103" w:type="dxa"/>
                      <w:tblInd w:w="20" w:type="dxa"/>
                      <w:tblLayout w:type="fixed"/>
                    </w:tblPrEx>
                    <w:trPr>
                      <w:trHeight w:val="852"/>
                    </w:trPr>
                    <w:tc>
                      <w:tcPr>
                        <w:tcW w:w="4165" w:type="dxa"/>
                        <w:gridSpan w:val="2"/>
                        <w:tcBorders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75" w:line="186" w:lineRule="auto"/>
                          <w:ind w:left="756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0.0%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 xml:space="preserve">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5.0%                  10.0%</w:t>
                        </w:r>
                      </w:p>
                      <w:p>
                        <w:pPr>
                          <w:pStyle w:val="TableText"/>
                          <w:spacing w:before="194" w:line="212" w:lineRule="auto"/>
                          <w:ind w:left="1004"/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1"/>
                          </w:rPr>
                          <w:drawing>
                            <wp:inline distT="0" distB="0" distL="0" distR="0">
                              <wp:extent cx="56388" cy="57911"/>
                              <wp:effectExtent l="0" t="0" r="0" b="0"/>
                              <wp:docPr id="92" name="IM 9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2" name="IM 9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6388" cy="5791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2021</w:t>
                        </w:r>
                        <w:r>
                          <w:t>年中国潮玩市场份额，按品牌分</w:t>
                        </w:r>
                      </w:p>
                    </w:tc>
                    <w:tc>
                      <w:tcPr>
                        <w:tcW w:w="938" w:type="dxa"/>
                        <w:vMerge/>
                        <w:tcBorders>
                          <w:top w:val="nil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99200" behindDoc="1" locked="0" layoutInCell="0" allowOverlap="1">
            <wp:simplePos x="0" y="0"/>
            <wp:positionH relativeFrom="page">
              <wp:posOffset>467868</wp:posOffset>
            </wp:positionH>
            <wp:positionV relativeFrom="page">
              <wp:posOffset>7525512</wp:posOffset>
            </wp:positionV>
            <wp:extent cx="3060191" cy="1691639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3060191" cy="1691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6" style="width:2.3pt;height:0.5pt;margin-top:136.92pt;margin-left:351.6pt;mso-position-horizontal-relative:page;mso-position-vertical-relative:page;position:absolute;z-index:251711488" coordorigin="0,0" coordsize="45,10" o:allowincell="f" path="m,4l45,4e" filled="f" strokecolor="black" strokeweight="0.48pt"/>
        </w:pict>
      </w:r>
    </w:p>
    <w:p>
      <w:pPr>
        <w:spacing w:line="155" w:lineRule="exact"/>
        <w:sectPr>
          <w:headerReference w:type="default" r:id="rId89"/>
          <w:footerReference w:type="default" r:id="rId90"/>
          <w:pgSz w:w="11907" w:h="16839"/>
          <w:pgMar w:top="1307" w:right="659" w:bottom="1125" w:left="736" w:header="396" w:footer="839" w:gutter="0"/>
          <w:pgNumType w:start="24"/>
          <w:cols w:num="1" w:space="708" w:equalWidth="0">
            <w:col w:w="10511" w:space="0"/>
          </w:cols>
        </w:sectPr>
      </w:pPr>
    </w:p>
    <w:p>
      <w:pPr>
        <w:pStyle w:val="BodyText"/>
        <w:spacing w:before="45" w:line="246" w:lineRule="auto"/>
        <w:ind w:left="9" w:right="166" w:firstLine="24"/>
      </w:pPr>
      <w:bookmarkStart w:id="19" w:name="bookmark6"/>
      <w:bookmarkEnd w:id="19"/>
      <w:bookmarkStart w:id="20" w:name="bookmark7"/>
      <w:bookmarkEnd w:id="20"/>
      <w:bookmarkStart w:id="21" w:name="bookmark44"/>
      <w:bookmarkEnd w:id="21"/>
      <w:bookmarkStart w:id="22" w:name="bookmark45"/>
      <w:bookmarkEnd w:id="22"/>
      <w:r>
        <w:rPr>
          <w:color w:val="000080"/>
          <w:spacing w:val="-2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</w:rPr>
        <w:t>6</w:t>
      </w:r>
      <w:r>
        <w:rPr>
          <w:color w:val="000080"/>
          <w:spacing w:val="-2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</w:rPr>
        <w:t xml:space="preserve">2019 </w:t>
      </w:r>
      <w:r>
        <w:rPr>
          <w:color w:val="000080"/>
          <w:spacing w:val="-2"/>
          <w14:textOutline w14:w="3831">
            <w14:solidFill>
              <w14:srgbClr w14:val="000080"/>
            </w14:solidFill>
            <w14:prstDash w14:val="solid"/>
            <w14:round/>
          </w14:textOutline>
        </w:rPr>
        <w:t>年中国潮玩市场</w:t>
      </w:r>
      <w:r>
        <w:rPr>
          <w:color w:val="000080"/>
          <w:spacing w:val="-4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</w:rPr>
        <w:t>CR5</w:t>
      </w:r>
      <w:r>
        <w:rPr>
          <w:rFonts w:ascii="Times New Roman" w:eastAsia="Times New Roman" w:hAnsi="Times New Roman" w:cs="Times New Roman"/>
          <w:b/>
          <w:bCs/>
          <w:color w:val="000080"/>
          <w:spacing w:val="22"/>
        </w:rPr>
        <w:t xml:space="preserve"> </w:t>
      </w:r>
      <w:r>
        <w:rPr>
          <w:color w:val="000080"/>
          <w:spacing w:val="-2"/>
          <w14:textOutline w14:w="3831">
            <w14:solidFill>
              <w14:srgbClr w14:val="000080"/>
            </w14:solidFill>
            <w14:prstDash w14:val="solid"/>
            <w14:round/>
          </w14:textOutline>
        </w:rPr>
        <w:t>的份额为</w:t>
      </w:r>
      <w:r>
        <w:rPr>
          <w:color w:val="000080"/>
          <w:spacing w:val="-4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</w:rPr>
        <w:t>22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</w:rPr>
        <w:t>.8%</w:t>
      </w:r>
      <w:r>
        <w:rPr>
          <w:color w:val="000080"/>
          <w:spacing w:val="-3"/>
          <w14:textOutline w14:w="3831">
            <w14:solidFill>
              <w14:srgbClr w14:val="000080"/>
            </w14:solidFill>
            <w14:prstDash w14:val="solid"/>
            <w14:round/>
          </w14:textOutline>
        </w:rPr>
        <w:t>，泡泡</w:t>
      </w:r>
      <w:r>
        <w:rPr>
          <w:color w:val="000080"/>
        </w:rPr>
        <w:t xml:space="preserve"> </w:t>
      </w:r>
      <w:r>
        <w:rPr>
          <w:color w:val="000080"/>
          <w:spacing w:val="1"/>
          <w14:textOutline w14:w="3831">
            <w14:solidFill>
              <w14:srgbClr w14:val="000080"/>
            </w14:solidFill>
            <w14:prstDash w14:val="solid"/>
            <w14:round/>
          </w14:textOutline>
        </w:rPr>
        <w:t>玛特位列第一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1579" w:lineRule="exact"/>
        <w:ind w:firstLine="952"/>
      </w:pPr>
      <w:r>
        <w:rPr>
          <w:position w:val="-31"/>
        </w:rPr>
        <w:pict>
          <v:group id="_x0000_i1087" style="width:172.05pt;height:79pt;mso-position-horizontal-relative:char;mso-position-vertical-relative:line" coordorigin="0,0" coordsize="3441,1580" filled="f" stroked="f">
            <v:shape id="_x0000_s1088" type="#_x0000_t75" style="width:2897;height:1383;left:4;position:absolute;top:98" filled="f" stroked="f">
              <v:imagedata r:id="rId91" o:title=""/>
            </v:shape>
            <v:shape id="_x0000_s1089" style="width:3417;height:1580;position:absolute" coordorigin="0,0" coordsize="3417,1580" path="m4,1574l3412,1574m4,1521l4,1574m686,1521l686,1574m1368,1521l1368,1574m2049,1521l2049,1574m2731,1521l2731,1574m3412,1521l3412,1574m4,1574l4,4m4,1574l60,1574m4,1260l60,1260m4,945l60,945m4,631l60,631m4,319l60,319m4,4l60,4e" filled="f" strokecolor="black" strokeweight="0.48pt"/>
            <v:shape id="_x0000_s1090" type="#_x0000_t202" style="width:2787;height:1436;left:674;position:absolute;top:78" filled="f" stroked="f">
              <o:lock v:ext="edit" aspectratio="f"/>
              <v:textbox inset="0,0,0,0">
                <w:txbxContent>
                  <w:p>
                    <w:pPr>
                      <w:spacing w:before="20" w:line="193" w:lineRule="auto"/>
                      <w:ind w:right="20"/>
                      <w:jc w:val="right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19"/>
                        <w:szCs w:val="19"/>
                      </w:rPr>
                      <w:t>8.5%</w:t>
                    </w:r>
                  </w:p>
                  <w:p>
                    <w:pPr>
                      <w:spacing w:before="138" w:line="193" w:lineRule="auto"/>
                      <w:ind w:left="2083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19"/>
                        <w:szCs w:val="19"/>
                      </w:rPr>
                      <w:t>7.7%</w:t>
                    </w:r>
                  </w:p>
                  <w:p>
                    <w:pPr>
                      <w:spacing w:before="138" w:line="193" w:lineRule="auto"/>
                      <w:ind w:left="584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19"/>
                        <w:szCs w:val="19"/>
                      </w:rPr>
                      <w:t>3.3%</w:t>
                    </w:r>
                  </w:p>
                  <w:p>
                    <w:pPr>
                      <w:spacing w:before="138" w:line="193" w:lineRule="auto"/>
                      <w:ind w:left="54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9"/>
                        <w:szCs w:val="19"/>
                      </w:rPr>
                      <w:t>1.7%</w:t>
                    </w:r>
                  </w:p>
                  <w:p>
                    <w:pPr>
                      <w:spacing w:before="138" w:line="193" w:lineRule="auto"/>
                      <w:ind w:left="20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9"/>
                        <w:szCs w:val="19"/>
                      </w:rPr>
                      <w:t>1.6%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41" w:line="186" w:lineRule="auto"/>
        <w:ind w:left="77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0.0%       2.0%       4.0%       6.0%    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8.0%</w:t>
      </w:r>
      <w:r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10.0%</w:t>
      </w:r>
    </w:p>
    <w:p>
      <w:pPr>
        <w:pStyle w:val="BodyText"/>
        <w:spacing w:before="195" w:line="212" w:lineRule="auto"/>
        <w:ind w:left="938"/>
        <w:rPr>
          <w:sz w:val="18"/>
          <w:szCs w:val="18"/>
        </w:rPr>
      </w:pPr>
      <w:r>
        <w:rPr>
          <w:rFonts w:ascii="Times New Roman" w:eastAsia="Times New Roman" w:hAnsi="Times New Roman" w:cs="Times New Roman"/>
          <w:position w:val="1"/>
          <w:sz w:val="18"/>
          <w:szCs w:val="18"/>
        </w:rPr>
        <w:drawing>
          <wp:inline distT="0" distB="0" distL="0" distR="0">
            <wp:extent cx="57911" cy="57911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2019</w:t>
      </w:r>
      <w:r>
        <w:rPr>
          <w:sz w:val="18"/>
          <w:szCs w:val="18"/>
        </w:rPr>
        <w:t>年中国潮玩市场份额，按品牌分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58" w:line="185" w:lineRule="auto"/>
        <w:ind w:left="4"/>
        <w:rPr>
          <w:sz w:val="18"/>
          <w:szCs w:val="18"/>
        </w:rPr>
      </w:pPr>
      <w:r>
        <w:rPr>
          <w:spacing w:val="-4"/>
          <w:sz w:val="18"/>
          <w:szCs w:val="18"/>
        </w:rPr>
        <w:t>数据来源：</w:t>
      </w:r>
      <w:r>
        <w:rPr>
          <w:spacing w:val="-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8"/>
          <w:szCs w:val="18"/>
        </w:rPr>
        <w:t>Frost&amp;Sullivan</w:t>
      </w:r>
      <w:r>
        <w:rPr>
          <w:spacing w:val="-4"/>
          <w:sz w:val="18"/>
          <w:szCs w:val="18"/>
        </w:rPr>
        <w:t>、开源证券研究所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4" w:line="246" w:lineRule="auto"/>
        <w:ind w:left="9" w:right="61" w:firstLine="24"/>
      </w:pPr>
      <w:r>
        <w:rPr>
          <w:color w:val="000080"/>
          <w:spacing w:val="-2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</w:rPr>
        <w:t>7</w:t>
      </w:r>
      <w:r>
        <w:rPr>
          <w:color w:val="000080"/>
          <w:spacing w:val="-2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</w:rPr>
        <w:t xml:space="preserve">2021 </w:t>
      </w:r>
      <w:r>
        <w:rPr>
          <w:color w:val="000080"/>
          <w:spacing w:val="-2"/>
          <w14:textOutline w14:w="3831">
            <w14:solidFill>
              <w14:srgbClr w14:val="000080"/>
            </w14:solidFill>
            <w14:prstDash w14:val="solid"/>
            <w14:round/>
          </w14:textOutline>
        </w:rPr>
        <w:t>年中国潮玩市场</w:t>
      </w:r>
      <w:r>
        <w:rPr>
          <w:color w:val="000080"/>
          <w:spacing w:val="-4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</w:rPr>
        <w:t>CR5</w:t>
      </w:r>
      <w:r>
        <w:rPr>
          <w:rFonts w:ascii="Times New Roman" w:eastAsia="Times New Roman" w:hAnsi="Times New Roman" w:cs="Times New Roman"/>
          <w:b/>
          <w:bCs/>
          <w:color w:val="000080"/>
          <w:spacing w:val="22"/>
        </w:rPr>
        <w:t xml:space="preserve"> </w:t>
      </w:r>
      <w:r>
        <w:rPr>
          <w:color w:val="000080"/>
          <w:spacing w:val="-2"/>
          <w14:textOutline w14:w="3831">
            <w14:solidFill>
              <w14:srgbClr w14:val="000080"/>
            </w14:solidFill>
            <w14:prstDash w14:val="solid"/>
            <w14:round/>
          </w14:textOutline>
        </w:rPr>
        <w:t>的份额为</w:t>
      </w:r>
      <w:r>
        <w:rPr>
          <w:color w:val="000080"/>
          <w:spacing w:val="-4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</w:rPr>
        <w:t>26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</w:rPr>
        <w:t>.4%</w:t>
      </w:r>
      <w:r>
        <w:rPr>
          <w:color w:val="000080"/>
          <w:spacing w:val="-3"/>
          <w14:textOutline w14:w="3831">
            <w14:solidFill>
              <w14:srgbClr w14:val="000080"/>
            </w14:solidFill>
            <w14:prstDash w14:val="solid"/>
            <w14:round/>
          </w14:textOutline>
        </w:rPr>
        <w:t>，泡泡</w:t>
      </w:r>
      <w:r>
        <w:rPr>
          <w:color w:val="000080"/>
        </w:rPr>
        <w:t xml:space="preserve"> </w:t>
      </w:r>
      <w:r>
        <w:rPr>
          <w:color w:val="000080"/>
          <w:spacing w:val="1"/>
          <w14:textOutline w14:w="3831">
            <w14:solidFill>
              <w14:srgbClr w14:val="000080"/>
            </w14:solidFill>
            <w14:prstDash w14:val="solid"/>
            <w14:round/>
          </w14:textOutline>
        </w:rPr>
        <w:t>玛特位列第一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58" w:line="185" w:lineRule="auto"/>
        <w:ind w:left="4"/>
        <w:rPr>
          <w:sz w:val="18"/>
          <w:szCs w:val="18"/>
        </w:rPr>
      </w:pPr>
      <w:r>
        <w:rPr>
          <w:spacing w:val="-4"/>
          <w:sz w:val="18"/>
          <w:szCs w:val="18"/>
        </w:rPr>
        <w:t>数据来源：</w:t>
      </w:r>
      <w:r>
        <w:rPr>
          <w:spacing w:val="-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8"/>
          <w:szCs w:val="18"/>
        </w:rPr>
        <w:t>Frost&amp;Sullivan</w:t>
      </w:r>
      <w:r>
        <w:rPr>
          <w:spacing w:val="-4"/>
          <w:sz w:val="18"/>
          <w:szCs w:val="18"/>
        </w:rPr>
        <w:t>、开源证券研究所</w:t>
      </w:r>
    </w:p>
    <w:p>
      <w:pPr>
        <w:spacing w:line="185" w:lineRule="auto"/>
        <w:rPr>
          <w:sz w:val="18"/>
          <w:szCs w:val="18"/>
        </w:rPr>
        <w:sectPr>
          <w:headerReference w:type="default" r:id="rId93"/>
          <w:footerReference w:type="default" r:id="rId94"/>
          <w:type w:val="continuous"/>
          <w:pgSz w:w="11907" w:h="16839"/>
          <w:pgMar w:top="1307" w:right="659" w:bottom="1125" w:left="736" w:header="396" w:footer="839" w:gutter="0"/>
          <w:pgNumType w:start="25"/>
          <w:cols w:num="2" w:space="708" w:equalWidth="0">
            <w:col w:w="5258" w:space="100"/>
            <w:col w:w="5153" w:space="0"/>
          </w:cols>
        </w:sectPr>
      </w:pP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78" w:line="485" w:lineRule="exact"/>
        <w:ind w:left="2817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80"/>
          <w:spacing w:val="-8"/>
          <w:position w:val="18"/>
          <w:sz w:val="24"/>
          <w:szCs w:val="24"/>
        </w:rPr>
        <w:t>1.2</w:t>
      </w:r>
      <w:r>
        <w:rPr>
          <w:rFonts w:ascii="Times New Roman" w:eastAsia="Times New Roman" w:hAnsi="Times New Roman" w:cs="Times New Roman"/>
          <w:b/>
          <w:bCs/>
          <w:color w:val="000080"/>
          <w:spacing w:val="-30"/>
          <w:position w:val="18"/>
          <w:sz w:val="24"/>
          <w:szCs w:val="24"/>
        </w:rPr>
        <w:t xml:space="preserve"> </w:t>
      </w:r>
      <w:r>
        <w:rPr>
          <w:color w:val="000080"/>
          <w:spacing w:val="-8"/>
          <w:position w:val="18"/>
          <w:sz w:val="24"/>
          <w:szCs w:val="24"/>
          <w14:textOutline w14:w="4354">
            <w14:solidFill>
              <w14:srgbClr w14:val="000080"/>
            </w14:solidFill>
            <w14:prstDash w14:val="solid"/>
            <w14:round/>
          </w14:textOutline>
        </w:rPr>
        <w:t>、</w:t>
      </w:r>
      <w:r>
        <w:rPr>
          <w:color w:val="000080"/>
          <w:spacing w:val="-38"/>
          <w:position w:val="18"/>
          <w:sz w:val="24"/>
          <w:szCs w:val="24"/>
        </w:rPr>
        <w:t xml:space="preserve"> </w:t>
      </w:r>
      <w:r>
        <w:rPr>
          <w:color w:val="000080"/>
          <w:spacing w:val="-8"/>
          <w:position w:val="18"/>
          <w:sz w:val="24"/>
          <w:szCs w:val="24"/>
          <w14:textOutline w14:w="4354">
            <w14:solidFill>
              <w14:srgbClr w14:val="000080"/>
            </w14:solidFill>
            <w14:prstDash w14:val="solid"/>
            <w14:round/>
          </w14:textOutline>
        </w:rPr>
        <w:t>行业壁垒：</w:t>
      </w:r>
      <w:r>
        <w:rPr>
          <w:color w:val="000080"/>
          <w:spacing w:val="-36"/>
          <w:position w:val="18"/>
          <w:sz w:val="24"/>
          <w:szCs w:val="24"/>
        </w:rPr>
        <w:t xml:space="preserve"> </w:t>
      </w:r>
      <w:r>
        <w:rPr>
          <w:color w:val="000080"/>
          <w:spacing w:val="-8"/>
          <w:position w:val="18"/>
          <w:sz w:val="24"/>
          <w:szCs w:val="24"/>
          <w14:textOutline w14:w="4354">
            <w14:solidFill>
              <w14:srgbClr w14:val="000080"/>
            </w14:solidFill>
            <w14:prstDash w14:val="solid"/>
            <w14:round/>
          </w14:textOutline>
        </w:rPr>
        <w:t>供应链</w:t>
      </w:r>
      <w:r>
        <w:rPr>
          <w:rFonts w:ascii="Times New Roman" w:eastAsia="Times New Roman" w:hAnsi="Times New Roman" w:cs="Times New Roman"/>
          <w:b/>
          <w:bCs/>
          <w:color w:val="000080"/>
          <w:spacing w:val="-8"/>
          <w:position w:val="18"/>
          <w:sz w:val="24"/>
          <w:szCs w:val="24"/>
        </w:rPr>
        <w:t>+</w:t>
      </w:r>
      <w:r>
        <w:rPr>
          <w:color w:val="000080"/>
          <w:spacing w:val="-8"/>
          <w:position w:val="18"/>
          <w:sz w:val="24"/>
          <w:szCs w:val="24"/>
          <w14:textOutline w14:w="4354">
            <w14:solidFill>
              <w14:srgbClr w14:val="000080"/>
            </w14:solidFill>
            <w14:prstDash w14:val="solid"/>
            <w14:round/>
          </w14:textOutline>
        </w:rPr>
        <w:t>推新能力</w:t>
      </w:r>
      <w:r>
        <w:rPr>
          <w:rFonts w:ascii="Times New Roman" w:eastAsia="Times New Roman" w:hAnsi="Times New Roman" w:cs="Times New Roman"/>
          <w:b/>
          <w:bCs/>
          <w:color w:val="000080"/>
          <w:spacing w:val="-8"/>
          <w:position w:val="18"/>
          <w:sz w:val="24"/>
          <w:szCs w:val="24"/>
        </w:rPr>
        <w:t>+</w:t>
      </w:r>
      <w:r>
        <w:rPr>
          <w:color w:val="000080"/>
          <w:spacing w:val="-8"/>
          <w:position w:val="18"/>
          <w:sz w:val="24"/>
          <w:szCs w:val="24"/>
          <w14:textOutline w14:w="4354">
            <w14:solidFill>
              <w14:srgbClr w14:val="000080"/>
            </w14:solidFill>
            <w14:prstDash w14:val="solid"/>
            <w14:round/>
          </w14:textOutline>
        </w:rPr>
        <w:t>社交属性，</w:t>
      </w:r>
      <w:r>
        <w:rPr>
          <w:color w:val="000080"/>
          <w:spacing w:val="-8"/>
          <w:position w:val="18"/>
          <w:sz w:val="24"/>
          <w:szCs w:val="24"/>
        </w:rPr>
        <w:t xml:space="preserve"> </w:t>
      </w:r>
      <w:r>
        <w:rPr>
          <w:color w:val="000080"/>
          <w:spacing w:val="-8"/>
          <w:position w:val="18"/>
          <w:sz w:val="24"/>
          <w:szCs w:val="24"/>
          <w14:textOutline w14:w="4354">
            <w14:solidFill>
              <w14:srgbClr w14:val="000080"/>
            </w14:solidFill>
            <w14:prstDash w14:val="solid"/>
            <w14:round/>
          </w14:textOutline>
        </w:rPr>
        <w:t>构筑三重壁垒</w:t>
      </w:r>
    </w:p>
    <w:p>
      <w:pPr>
        <w:pStyle w:val="BodyText"/>
        <w:spacing w:line="213" w:lineRule="auto"/>
        <w:ind w:left="2815"/>
      </w:pPr>
      <w:r>
        <w:rPr>
          <w:rFonts w:ascii="Times New Roman" w:eastAsia="Times New Roman" w:hAnsi="Times New Roman" w:cs="Times New Roman"/>
          <w:b/>
          <w:bCs/>
          <w:color w:val="000080"/>
          <w:spacing w:val="-10"/>
        </w:rPr>
        <w:t>1.2.1</w:t>
      </w:r>
      <w:r>
        <w:rPr>
          <w:rFonts w:ascii="Times New Roman" w:eastAsia="Times New Roman" w:hAnsi="Times New Roman" w:cs="Times New Roman"/>
          <w:b/>
          <w:bCs/>
          <w:color w:val="000080"/>
          <w:spacing w:val="-30"/>
        </w:rPr>
        <w:t xml:space="preserve"> </w:t>
      </w:r>
      <w:r>
        <w:rPr>
          <w:color w:val="000080"/>
          <w:spacing w:val="-10"/>
          <w14:textOutline w14:w="3831">
            <w14:solidFill>
              <w14:srgbClr w14:val="000080"/>
            </w14:solidFill>
            <w14:prstDash w14:val="solid"/>
            <w14:round/>
          </w14:textOutline>
        </w:rPr>
        <w:t>、</w:t>
      </w:r>
      <w:r>
        <w:rPr>
          <w:color w:val="000080"/>
          <w:spacing w:val="-29"/>
        </w:rPr>
        <w:t xml:space="preserve"> </w:t>
      </w:r>
      <w:r>
        <w:rPr>
          <w:color w:val="000080"/>
          <w:spacing w:val="-10"/>
          <w14:textOutline w14:w="3831">
            <w14:solidFill>
              <w14:srgbClr w14:val="000080"/>
            </w14:solidFill>
            <w14:prstDash w14:val="solid"/>
            <w14:round/>
          </w14:textOutline>
        </w:rPr>
        <w:t>壁垒一：供应链，</w:t>
      </w:r>
      <w:r>
        <w:rPr>
          <w:color w:val="000080"/>
          <w:spacing w:val="53"/>
        </w:rPr>
        <w:t xml:space="preserve"> </w:t>
      </w:r>
      <w:r>
        <w:rPr>
          <w:color w:val="000080"/>
          <w:spacing w:val="-10"/>
          <w14:textOutline w14:w="3831">
            <w14:solidFill>
              <w14:srgbClr w14:val="000080"/>
            </w14:solidFill>
            <w14:prstDash w14:val="solid"/>
            <w14:round/>
          </w14:textOutline>
        </w:rPr>
        <w:t>周期长投入高</w:t>
      </w:r>
    </w:p>
    <w:p>
      <w:pPr>
        <w:pStyle w:val="BodyText"/>
        <w:spacing w:before="226" w:line="213" w:lineRule="auto"/>
        <w:ind w:left="3236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潮玩具有铺货周期长、投入高的特点，对小公司形成壁垒。</w:t>
      </w:r>
    </w:p>
    <w:p>
      <w:pPr>
        <w:pStyle w:val="BodyText"/>
        <w:spacing w:before="225" w:line="255" w:lineRule="auto"/>
        <w:ind w:left="2804" w:right="76" w:firstLine="442"/>
        <w:jc w:val="both"/>
      </w:pP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1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）</w:t>
      </w:r>
      <w:r>
        <w:rPr>
          <w:rFonts w:ascii="Times New Roman" w:eastAsia="Times New Roman" w:hAnsi="Times New Roman" w:cs="Times New Roman"/>
          <w:b/>
          <w:bCs/>
          <w:spacing w:val="-3"/>
        </w:rPr>
        <w:t xml:space="preserve">IP 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开发周期长：</w:t>
      </w:r>
      <w:r>
        <w:rPr>
          <w:spacing w:val="52"/>
        </w:rPr>
        <w:t xml:space="preserve"> </w:t>
      </w:r>
      <w:r>
        <w:rPr>
          <w:spacing w:val="-3"/>
        </w:rPr>
        <w:t>根据泡泡玛特招股说明书，潮玩产品从设计开发要经历</w:t>
      </w:r>
      <w:r>
        <w:t xml:space="preserve"> </w:t>
      </w:r>
      <w:r>
        <w:rPr>
          <w:rFonts w:ascii="Times New Roman" w:eastAsia="Times New Roman" w:hAnsi="Times New Roman" w:cs="Times New Roman"/>
          <w:spacing w:val="-2"/>
        </w:rPr>
        <w:t>8-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15  </w:t>
      </w:r>
      <w:r>
        <w:rPr>
          <w:spacing w:val="-2"/>
        </w:rPr>
        <w:t>个月的培育周期，若涉及</w:t>
      </w:r>
      <w:r>
        <w:rPr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IP  </w:t>
      </w:r>
      <w:r>
        <w:rPr>
          <w:spacing w:val="-2"/>
        </w:rPr>
        <w:t>之间的跨界合作或外部</w:t>
      </w:r>
      <w:r>
        <w:rPr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IP</w:t>
      </w:r>
      <w:r>
        <w:rPr>
          <w:spacing w:val="-2"/>
        </w:rPr>
        <w:t>，在原有基础上还会增</w:t>
      </w:r>
      <w:r>
        <w:t xml:space="preserve"> </w:t>
      </w:r>
      <w:r>
        <w:rPr>
          <w:spacing w:val="-2"/>
        </w:rPr>
        <w:t>加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2-9  </w:t>
      </w:r>
      <w:r>
        <w:rPr>
          <w:spacing w:val="-2"/>
        </w:rPr>
        <w:t>个月的筹备、审核时间。</w:t>
      </w:r>
    </w:p>
    <w:p>
      <w:pPr>
        <w:pStyle w:val="BodyText"/>
        <w:spacing w:before="223" w:line="264" w:lineRule="auto"/>
        <w:ind w:left="2804" w:firstLine="442"/>
      </w:pP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</w:rPr>
        <w:t>2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）高昂的生产成本及起订量：</w:t>
      </w:r>
      <w:r>
        <w:t>潮玩产品成本包括早期打样费用、设计费用、</w:t>
      </w:r>
      <w:r>
        <w:rPr>
          <w:spacing w:val="17"/>
        </w:rPr>
        <w:t xml:space="preserve"> </w:t>
      </w:r>
      <w:r>
        <w:rPr>
          <w:spacing w:val="-4"/>
        </w:rPr>
        <w:t>开模费用和量产费用，其中最高的是开模的成本和量产的成本，</w:t>
      </w:r>
      <w:r>
        <w:rPr>
          <w:spacing w:val="-4"/>
        </w:rPr>
        <w:t xml:space="preserve"> </w:t>
      </w:r>
      <w:r>
        <w:rPr>
          <w:spacing w:val="-4"/>
        </w:rPr>
        <w:t>开模越复杂，</w:t>
      </w:r>
      <w:r>
        <w:rPr>
          <w:spacing w:val="-4"/>
        </w:rPr>
        <w:t xml:space="preserve"> </w:t>
      </w:r>
      <w:r>
        <w:rPr>
          <w:spacing w:val="-4"/>
        </w:rPr>
        <w:t>产量</w:t>
      </w:r>
      <w:r>
        <w:rPr>
          <w:spacing w:val="-4"/>
        </w:rPr>
        <w:t xml:space="preserve"> </w:t>
      </w:r>
      <w:r>
        <w:rPr>
          <w:spacing w:val="-10"/>
        </w:rPr>
        <w:t>越大，</w:t>
      </w:r>
      <w:r>
        <w:rPr>
          <w:spacing w:val="-10"/>
        </w:rPr>
        <w:t xml:space="preserve"> </w:t>
      </w:r>
      <w:r>
        <w:rPr>
          <w:spacing w:val="-10"/>
        </w:rPr>
        <w:t>成本就越高。</w:t>
      </w:r>
      <w:r>
        <w:rPr>
          <w:spacing w:val="-21"/>
        </w:rPr>
        <w:t xml:space="preserve"> </w:t>
      </w:r>
      <w:r>
        <w:rPr>
          <w:spacing w:val="-10"/>
        </w:rPr>
        <w:t>一款盲盒正常开模费用是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2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10"/>
        </w:rPr>
        <w:t>到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3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10"/>
        </w:rPr>
        <w:t>万元，</w:t>
      </w:r>
      <w:r>
        <w:rPr>
          <w:spacing w:val="-10"/>
        </w:rPr>
        <w:t xml:space="preserve"> </w:t>
      </w:r>
      <w:r>
        <w:rPr>
          <w:spacing w:val="-10"/>
        </w:rPr>
        <w:t>按照一套玩具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 xml:space="preserve">10 </w:t>
      </w:r>
      <w:r>
        <w:rPr>
          <w:spacing w:val="-10"/>
        </w:rPr>
        <w:t>款商品</w:t>
      </w:r>
      <w:r>
        <w:rPr>
          <w:spacing w:val="-10"/>
        </w:rPr>
        <w:t xml:space="preserve"> </w:t>
      </w:r>
      <w:r>
        <w:rPr>
          <w:spacing w:val="-4"/>
        </w:rPr>
        <w:t>计算，</w:t>
      </w:r>
      <w:r>
        <w:rPr>
          <w:spacing w:val="-4"/>
        </w:rPr>
        <w:t xml:space="preserve"> </w:t>
      </w:r>
      <w:r>
        <w:rPr>
          <w:spacing w:val="-4"/>
        </w:rPr>
        <w:t>一套玩具的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开模成本高达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</w:rPr>
        <w:t>20</w:t>
      </w:r>
      <w:r>
        <w:rPr>
          <w:rFonts w:ascii="Times New Roman" w:eastAsia="Times New Roman" w:hAnsi="Times New Roman" w:cs="Times New Roman"/>
          <w:b/>
          <w:bCs/>
          <w:spacing w:val="34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到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</w:rPr>
        <w:t>30</w:t>
      </w:r>
      <w:r>
        <w:rPr>
          <w:rFonts w:ascii="Times New Roman" w:eastAsia="Times New Roman" w:hAnsi="Times New Roman" w:cs="Times New Roman"/>
          <w:b/>
          <w:bCs/>
          <w:spacing w:val="30"/>
          <w:w w:val="101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万元</w:t>
      </w:r>
      <w:r>
        <w:rPr>
          <w:spacing w:val="-4"/>
        </w:rPr>
        <w:t>。此外再加设计成本、库存成本等，</w:t>
      </w:r>
      <w:r>
        <w:rPr>
          <w:spacing w:val="-4"/>
        </w:rPr>
        <w:t xml:space="preserve"> </w:t>
      </w:r>
      <w:r>
        <w:rPr>
          <w:spacing w:val="2"/>
        </w:rPr>
        <w:t>对于初入行业的企业来说会形成一定的资金压力。</w:t>
      </w:r>
      <w:r>
        <w:rPr>
          <w:spacing w:val="1"/>
        </w:rPr>
        <w:t>且若产品在市场上受欢迎程度不</w:t>
      </w:r>
      <w:r>
        <w:rPr>
          <w:spacing w:val="1"/>
        </w:rPr>
        <w:t xml:space="preserve"> </w:t>
      </w:r>
      <w:r>
        <w:rPr>
          <w:spacing w:val="-4"/>
        </w:rPr>
        <w:t>确定，</w:t>
      </w:r>
      <w:r>
        <w:rPr>
          <w:spacing w:val="-4"/>
        </w:rPr>
        <w:t xml:space="preserve"> </w:t>
      </w:r>
      <w:r>
        <w:rPr>
          <w:spacing w:val="-4"/>
        </w:rPr>
        <w:t>还额外需要一定的容错成本等，规模较小企业或难以支撑。</w:t>
      </w:r>
    </w:p>
    <w:p>
      <w:pPr>
        <w:spacing w:before="83"/>
      </w:pPr>
    </w:p>
    <w:p>
      <w:pPr>
        <w:spacing w:before="82"/>
      </w:pPr>
    </w:p>
    <w:p>
      <w:pPr>
        <w:sectPr>
          <w:headerReference w:type="default" r:id="rId95"/>
          <w:footerReference w:type="default" r:id="rId96"/>
          <w:type w:val="continuous"/>
          <w:pgSz w:w="11907" w:h="16839"/>
          <w:pgMar w:top="1307" w:right="659" w:bottom="1125" w:left="736" w:header="396" w:footer="839" w:gutter="0"/>
          <w:pgNumType w:start="26"/>
          <w:cols w:num="1" w:space="708" w:equalWidth="0">
            <w:col w:w="10511" w:space="0"/>
          </w:cols>
        </w:sectPr>
      </w:pPr>
    </w:p>
    <w:p>
      <w:pPr>
        <w:pStyle w:val="BodyText"/>
        <w:spacing w:before="45" w:line="250" w:lineRule="auto"/>
        <w:ind w:left="4" w:right="154" w:firstLine="28"/>
      </w:pPr>
      <w:r>
        <w:rPr>
          <w:color w:val="000080"/>
          <w:spacing w:val="-3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</w:rPr>
        <w:t>8</w:t>
      </w:r>
      <w:r>
        <w:rPr>
          <w:color w:val="000080"/>
          <w:spacing w:val="-3"/>
          <w14:textOutline w14:w="3831">
            <w14:solidFill>
              <w14:srgbClr w14:val="000080"/>
            </w14:solidFill>
            <w14:prstDash w14:val="solid"/>
            <w14:round/>
          </w14:textOutline>
        </w:rPr>
        <w:t>：一款潮玩需经历约</w:t>
      </w:r>
      <w:r>
        <w:rPr>
          <w:color w:val="000080"/>
          <w:spacing w:val="-1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</w:rPr>
        <w:t>181</w:t>
      </w:r>
      <w:r>
        <w:rPr>
          <w:rFonts w:ascii="Times New Roman" w:eastAsia="Times New Roman" w:hAnsi="Times New Roman" w:cs="Times New Roman"/>
          <w:b/>
          <w:bCs/>
          <w:color w:val="000080"/>
          <w:spacing w:val="17"/>
        </w:rPr>
        <w:t xml:space="preserve"> </w:t>
      </w:r>
      <w:r>
        <w:rPr>
          <w:color w:val="000080"/>
          <w:spacing w:val="-3"/>
          <w14:textOutline w14:w="3831">
            <w14:solidFill>
              <w14:srgbClr w14:val="000080"/>
            </w14:solidFill>
            <w14:prstDash w14:val="solid"/>
            <w14:round/>
          </w14:textOutline>
        </w:rPr>
        <w:t>道工序，复杂</w:t>
      </w:r>
      <w:r>
        <w:rPr>
          <w:color w:val="000080"/>
          <w:spacing w:val="-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</w:rPr>
        <w:t>IP</w:t>
      </w:r>
      <w:r>
        <w:rPr>
          <w:rFonts w:ascii="Times New Roman" w:eastAsia="Times New Roman" w:hAnsi="Times New Roman" w:cs="Times New Roman"/>
          <w:b/>
          <w:bCs/>
          <w:color w:val="000080"/>
          <w:spacing w:val="33"/>
          <w:w w:val="101"/>
        </w:rPr>
        <w:t xml:space="preserve"> </w:t>
      </w:r>
      <w:r>
        <w:rPr>
          <w:color w:val="000080"/>
          <w:spacing w:val="-3"/>
          <w14:textOutline w14:w="3831">
            <w14:solidFill>
              <w14:srgbClr w14:val="000080"/>
            </w14:solidFill>
            <w14:prstDash w14:val="solid"/>
            <w14:round/>
          </w14:textOutline>
        </w:rPr>
        <w:t>需两百至</w:t>
      </w:r>
      <w:r>
        <w:rPr>
          <w:color w:val="000080"/>
        </w:rPr>
        <w:t xml:space="preserve"> </w:t>
      </w:r>
      <w:r>
        <w:rPr>
          <w:color w:val="000080"/>
          <w:spacing w:val="-1"/>
          <w14:textOutline w14:w="3831">
            <w14:solidFill>
              <w14:srgbClr w14:val="000080"/>
            </w14:solidFill>
            <w14:prstDash w14:val="solid"/>
            <w14:round/>
          </w14:textOutline>
        </w:rPr>
        <w:t>三百道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https://d.book118.com/597151031035006030</w:t>
        </w:r>
      </w:hyperlink>
    </w:p>
    <w:p>
      <w:pPr>
        <w:pStyle w:val="BodyText"/>
        <w:spacing w:before="45" w:line="250" w:lineRule="auto"/>
        <w:ind w:left="4" w:right="154" w:firstLine="28"/>
      </w:pPr>
    </w:p>
    <w:sectPr>
      <w:headerReference w:type="default" r:id="rId98"/>
      <w:footerReference w:type="default" r:id="rId99"/>
      <w:type w:val="continuous"/>
      <w:pgSz w:w="11907" w:h="16839"/>
      <w:pgMar w:top="1307" w:right="659" w:bottom="1125" w:left="736" w:header="396" w:footer="839" w:gutter="0"/>
      <w:pgNumType w:start="27"/>
      <w:cols w:num="2" w:space="708" w:equalWidth="0">
        <w:col w:w="5258" w:space="100"/>
        <w:col w:w="51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9" w:line="223" w:lineRule="auto"/>
      <w:ind w:left="746"/>
      <w:rPr>
        <w:sz w:val="19"/>
        <w:szCs w:val="19"/>
      </w:rPr>
    </w:pPr>
    <w:r>
      <w:pict>
        <v:shape id="_x0000_s2049" style="width:524.65pt;height:0.5pt;margin-top:785.02pt;margin-left:35.4pt;mso-position-horizontal-relative:page;mso-position-vertical-relative:page;position:absolute;z-index:251658240" coordorigin="0,0" coordsize="10493,10" o:allowincell="f" path="m,9l10492,9l10492,l,l,9xe" filled="t" fillcolor="black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3.7pt;height:13pt;margin-top:3.63pt;margin-left:535.95pt;position:absolute;z-index:25165926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9"/>
                    <w:szCs w:val="19"/>
                  </w:rPr>
                  <w:t>1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4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2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4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9" w:line="223" w:lineRule="auto"/>
      <w:ind w:left="746"/>
      <w:rPr>
        <w:sz w:val="19"/>
        <w:szCs w:val="19"/>
      </w:rPr>
    </w:pPr>
    <w:r>
      <w:pict>
        <v:shape id="_x0000_s2051" style="width:524.65pt;height:0.5pt;margin-top:785.02pt;margin-left:35.4pt;mso-position-horizontal-relative:page;mso-position-vertical-relative:page;position:absolute;z-index:251660288" coordorigin="0,0" coordsize="10493,10" o:allowincell="f" path="m,9l10492,9l10492,l,l,9xe" filled="t" fillcolor="black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3.7pt;height:13pt;margin-top:3.63pt;margin-left:535.95pt;position:absolute;z-index:25166131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9"/>
                    <w:szCs w:val="19"/>
                  </w:rPr>
                  <w:t>1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4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2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4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9" w:line="223" w:lineRule="auto"/>
      <w:ind w:left="746"/>
      <w:rPr>
        <w:sz w:val="19"/>
        <w:szCs w:val="19"/>
      </w:rPr>
    </w:pPr>
    <w:r>
      <w:pict>
        <v:shape id="_x0000_s2053" style="width:524.65pt;height:0.5pt;margin-top:785.02pt;margin-left:35.4pt;mso-position-horizontal-relative:page;mso-position-vertical-relative:page;position:absolute;z-index:251662336" coordorigin="0,0" coordsize="10493,10" o:allowincell="f" path="m,9l10492,9l10492,l,l,9xe" filled="t" fillcolor="black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3.7pt;height:13pt;margin-top:3.63pt;margin-left:535.95pt;position:absolute;z-index:25166336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9"/>
                    <w:szCs w:val="19"/>
                  </w:rPr>
                  <w:t>1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4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2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4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6"/>
      <w:rPr>
        <w:sz w:val="19"/>
        <w:szCs w:val="19"/>
      </w:rPr>
    </w:pPr>
    <w:r>
      <w:pict>
        <v:shape id="_x0000_s2055" style="width:524.45pt;height:0.75pt;margin-top:785.64pt;margin-left:37.56pt;mso-position-horizontal-relative:page;mso-position-vertical-relative:page;position:absolute;z-index:25166438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4.7pt;height:13pt;margin-top:3pt;margin-left:497.99pt;position:absolute;z-index:25166540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2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1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6"/>
      <w:rPr>
        <w:sz w:val="19"/>
        <w:szCs w:val="19"/>
      </w:rPr>
    </w:pPr>
    <w:r>
      <w:pict>
        <v:shape id="_x0000_s2057" style="width:524.45pt;height:0.75pt;margin-top:785.64pt;margin-left:37.56pt;mso-position-horizontal-relative:page;mso-position-vertical-relative:page;position:absolute;z-index:25166643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4.7pt;height:13pt;margin-top:3pt;margin-left:497.99pt;position:absolute;z-index:25166745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2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1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5"/>
      <w:rPr>
        <w:sz w:val="19"/>
        <w:szCs w:val="19"/>
      </w:rPr>
    </w:pPr>
    <w:r>
      <w:pict>
        <v:shape id="_x0000_s2059" style="width:524.45pt;height:0.75pt;margin-top:785.64pt;margin-left:37.56pt;mso-position-horizontal-relative:page;mso-position-vertical-relative:page;position:absolute;z-index:25166848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4.5pt;height:13pt;margin-top:3pt;margin-left:498.15pt;position:absolute;z-index:25166950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3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1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5"/>
      <w:rPr>
        <w:sz w:val="19"/>
        <w:szCs w:val="19"/>
      </w:rPr>
    </w:pPr>
    <w:r>
      <w:pict>
        <v:shape id="_x0000_s2061" style="width:524.45pt;height:0.75pt;margin-top:785.64pt;margin-left:37.56pt;mso-position-horizontal-relative:page;mso-position-vertical-relative:page;position:absolute;z-index:25167052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4.5pt;height:13pt;margin-top:3pt;margin-left:498.15pt;position:absolute;z-index:25167155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3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1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rPr>
        <w:sz w:val="19"/>
        <w:szCs w:val="19"/>
      </w:rPr>
    </w:pPr>
    <w:r>
      <w:pict>
        <v:shape id="_x0000_s2063" style="width:524.45pt;height:0.75pt;margin-top:785.64pt;margin-left:37.56pt;mso-position-horizontal-relative:page;mso-position-vertical-relative:page;position:absolute;z-index:25167257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4.75pt;height:13pt;margin-top:3pt;margin-left:497.63pt;position:absolute;z-index:25167360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4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2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rPr>
        <w:sz w:val="19"/>
        <w:szCs w:val="19"/>
      </w:rPr>
    </w:pPr>
    <w:r>
      <w:pict>
        <v:shape id="_x0000_s2065" style="width:524.45pt;height:0.75pt;margin-top:785.64pt;margin-left:37.56pt;mso-position-horizontal-relative:page;mso-position-vertical-relative:page;position:absolute;z-index:25167462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4.75pt;height:13pt;margin-top:3pt;margin-left:497.63pt;position:absolute;z-index:25167564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4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2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6"/>
      <w:rPr>
        <w:sz w:val="19"/>
        <w:szCs w:val="19"/>
      </w:rPr>
    </w:pPr>
    <w:r>
      <w:pict>
        <v:shape id="_x0000_s2067" style="width:524.45pt;height:0.75pt;margin-top:785.64pt;margin-left:37.56pt;mso-position-horizontal-relative:page;mso-position-vertical-relative:page;position:absolute;z-index:25167667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4.4pt;height:13pt;margin-top:3pt;margin-left:498.26pt;position:absolute;z-index:25167769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5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2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6"/>
      <w:rPr>
        <w:sz w:val="19"/>
        <w:szCs w:val="19"/>
      </w:rPr>
    </w:pPr>
    <w:r>
      <w:pict>
        <v:shape id="_x0000_s2069" style="width:524.45pt;height:0.75pt;margin-top:785.64pt;margin-left:37.56pt;mso-position-horizontal-relative:page;mso-position-vertical-relative:page;position:absolute;z-index:25167872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4.4pt;height:13pt;margin-top:3pt;margin-left:498.26pt;position:absolute;z-index:25167974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5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2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rPr>
        <w:sz w:val="19"/>
        <w:szCs w:val="19"/>
      </w:rPr>
    </w:pPr>
    <w:r>
      <w:pict>
        <v:shape id="_x0000_s2071" style="width:524.45pt;height:0.75pt;margin-top:785.64pt;margin-left:37.56pt;mso-position-horizontal-relative:page;mso-position-vertical-relative:page;position:absolute;z-index:25168076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4.45pt;height:13pt;margin-top:3pt;margin-left:497.9pt;position:absolute;z-index:25168179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6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2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rPr>
        <w:sz w:val="19"/>
        <w:szCs w:val="19"/>
      </w:rPr>
    </w:pPr>
    <w:r>
      <w:pict>
        <v:shape id="_x0000_s2073" style="width:524.45pt;height:0.75pt;margin-top:785.64pt;margin-left:37.56pt;mso-position-horizontal-relative:page;mso-position-vertical-relative:page;position:absolute;z-index:25168281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4.45pt;height:13pt;margin-top:3pt;margin-left:497.9pt;position:absolute;z-index:25168384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6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2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75" style="width:524.45pt;height:0.75pt;margin-top:785.64pt;margin-left:37.56pt;mso-position-horizontal-relative:page;mso-position-vertical-relative:page;position:absolute;z-index:25168486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4.5pt;height:13pt;margin-top:3pt;margin-left:498.31pt;position:absolute;z-index:25168588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7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2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77" style="width:524.45pt;height:0.75pt;margin-top:785.64pt;margin-left:37.56pt;mso-position-horizontal-relative:page;mso-position-vertical-relative:page;position:absolute;z-index:25168691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4.5pt;height:13pt;margin-top:3pt;margin-left:498.31pt;position:absolute;z-index:25168793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7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2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79" style="width:524.45pt;height:0.75pt;margin-top:785.64pt;margin-left:37.56pt;mso-position-horizontal-relative:page;mso-position-vertical-relative:page;position:absolute;z-index:25168896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4.5pt;height:13pt;margin-top:3pt;margin-left:498.31pt;position:absolute;z-index:25168998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7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2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81" style="width:524.45pt;height:0.75pt;margin-top:785.64pt;margin-left:37.56pt;mso-position-horizontal-relative:page;mso-position-vertical-relative:page;position:absolute;z-index:25169100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4.5pt;height:13pt;margin-top:3pt;margin-left:498.31pt;position:absolute;z-index:25169203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7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2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83" style="width:524.45pt;height:0.75pt;margin-top:785.64pt;margin-left:37.56pt;mso-position-horizontal-relative:page;mso-position-vertical-relative:page;position:absolute;z-index:25169305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4.3pt;height:13pt;margin-top:3pt;margin-left:498.55pt;position:absolute;z-index:25169408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8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1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85" style="width:524.45pt;height:0.75pt;margin-top:785.64pt;margin-left:37.56pt;mso-position-horizontal-relative:page;mso-position-vertical-relative:page;position:absolute;z-index:25169510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4.3pt;height:13pt;margin-top:3pt;margin-left:498.55pt;position:absolute;z-index:25169612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8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1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87" style="width:524.45pt;height:0.75pt;margin-top:785.64pt;margin-left:37.56pt;mso-position-horizontal-relative:page;mso-position-vertical-relative:page;position:absolute;z-index:25169715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4.3pt;height:13pt;margin-top:3pt;margin-left:498.55pt;position:absolute;z-index:25169817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8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1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89" style="width:524.45pt;height:0.75pt;margin-top:785.64pt;margin-left:37.56pt;mso-position-horizontal-relative:page;mso-position-vertical-relative:page;position:absolute;z-index:25169920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4.3pt;height:13pt;margin-top:3pt;margin-left:498.55pt;position:absolute;z-index:25170022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8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1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91" style="width:524.45pt;height:0.75pt;margin-top:785.64pt;margin-left:37.56pt;mso-position-horizontal-relative:page;mso-position-vertical-relative:page;position:absolute;z-index:25170124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4.3pt;height:13pt;margin-top:3pt;margin-left:498.55pt;position:absolute;z-index:25170227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8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1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93" style="width:524.45pt;height:0.75pt;margin-top:785.64pt;margin-left:37.56pt;mso-position-horizontal-relative:page;mso-position-vertical-relative:page;position:absolute;z-index:25170329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4.3pt;height:13pt;margin-top:3pt;margin-left:498.55pt;position:absolute;z-index:25170432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8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1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95" style="width:524.45pt;height:0.75pt;margin-top:785.64pt;margin-left:37.56pt;mso-position-horizontal-relative:page;mso-position-vertical-relative:page;position:absolute;z-index:25170534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4.5pt;height:13pt;margin-top:3pt;margin-left:498.34pt;position:absolute;z-index:25170636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9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1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97" style="width:524.45pt;height:0.75pt;margin-top:785.64pt;margin-left:37.56pt;mso-position-horizontal-relative:page;mso-position-vertical-relative:page;position:absolute;z-index:25170739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4.5pt;height:13pt;margin-top:3pt;margin-left:498.34pt;position:absolute;z-index:25170841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9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1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99" style="width:524.45pt;height:0.75pt;margin-top:785.64pt;margin-left:37.56pt;mso-position-horizontal-relative:page;mso-position-vertical-relative:page;position:absolute;z-index:25170944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4.5pt;height:13pt;margin-top:3pt;margin-left:498.34pt;position:absolute;z-index:25171046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9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1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01" style="width:524.45pt;height:0.75pt;margin-top:785.64pt;margin-left:37.56pt;mso-position-horizontal-relative:page;mso-position-vertical-relative:page;position:absolute;z-index:25171148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4.5pt;height:13pt;margin-top:3pt;margin-left:498.34pt;position:absolute;z-index:25171251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9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11"/>
                    <w:w w:val="101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53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33" w:lineRule="exact"/>
      <w:ind w:firstLine="1084"/>
    </w:pPr>
    <w:r>
      <w:rPr>
        <w:position w:val="-12"/>
      </w:rPr>
      <w:drawing>
        <wp:inline distT="0" distB="0" distL="0" distR="0">
          <wp:extent cx="2130551" cy="402081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1" cy="4020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33" w:lineRule="exact"/>
      <w:ind w:firstLine="1084"/>
    </w:pPr>
    <w:r>
      <w:rPr>
        <w:position w:val="-12"/>
      </w:rPr>
      <w:drawing>
        <wp:inline distT="0" distB="0" distL="0" distR="0">
          <wp:extent cx="2130551" cy="402081"/>
          <wp:effectExtent l="0" t="0" r="0" b="0"/>
          <wp:docPr id="100399434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399434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1" cy="4020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33" w:lineRule="exact"/>
      <w:ind w:firstLine="1084"/>
    </w:pPr>
    <w:r>
      <w:rPr>
        <w:position w:val="-12"/>
      </w:rPr>
      <w:drawing>
        <wp:inline distT="0" distB="0" distL="0" distR="0">
          <wp:extent cx="2130551" cy="402081"/>
          <wp:effectExtent l="0" t="0" r="0" b="0"/>
          <wp:docPr id="11324292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24292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1" cy="4020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68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7"/>
      </w:tabs>
      <w:spacing w:before="68" w:line="184" w:lineRule="auto"/>
      <w:ind w:left="11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68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953660140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3660140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7"/>
      </w:tabs>
      <w:spacing w:before="68" w:line="184" w:lineRule="auto"/>
      <w:ind w:left="11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67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7"/>
      </w:tabs>
      <w:spacing w:before="68" w:line="184" w:lineRule="auto"/>
      <w:ind w:left="10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67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205053664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53664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7"/>
      </w:tabs>
      <w:spacing w:before="68" w:line="184" w:lineRule="auto"/>
      <w:ind w:left="10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6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8" w:line="184" w:lineRule="auto"/>
      <w:ind w:left="5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6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184043665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0436652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8" w:line="184" w:lineRule="auto"/>
      <w:ind w:left="5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68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1116293363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6293363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7"/>
      </w:tabs>
      <w:spacing w:before="68" w:line="184" w:lineRule="auto"/>
      <w:ind w:left="11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68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403336430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3336430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7"/>
      </w:tabs>
      <w:spacing w:before="68" w:line="184" w:lineRule="auto"/>
      <w:ind w:left="11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6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125203575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2035755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8" w:line="184" w:lineRule="auto"/>
      <w:ind w:left="5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6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178269771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2697715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8" w:line="184" w:lineRule="auto"/>
      <w:ind w:left="5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7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0"/>
      </w:tabs>
      <w:spacing w:before="68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7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2051013834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1013834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0"/>
      </w:tabs>
      <w:spacing w:before="68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7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298062080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8062080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0"/>
      </w:tabs>
      <w:spacing w:before="68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7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1709873628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9873628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0"/>
      </w:tabs>
      <w:spacing w:before="68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7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0"/>
      </w:tabs>
      <w:spacing w:before="68" w:line="184" w:lineRule="auto"/>
      <w:ind w:left="14"/>
      <w:rPr>
        <w:sz w:val="19"/>
        <w:szCs w:val="19"/>
      </w:rPr>
    </w:pPr>
    <w:bookmarkStart w:id="7" w:name="bookmark154"/>
    <w:bookmarkEnd w:id="7"/>
    <w:bookmarkStart w:id="8" w:name="bookmark43"/>
    <w:bookmarkEnd w:id="8"/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7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1353197777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3197777" name="IM 6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0"/>
      </w:tabs>
      <w:spacing w:before="68" w:line="184" w:lineRule="auto"/>
      <w:ind w:left="14"/>
      <w:rPr>
        <w:sz w:val="19"/>
        <w:szCs w:val="19"/>
      </w:rPr>
    </w:pPr>
    <w:bookmarkStart w:id="9" w:name="bookmark154_0"/>
    <w:bookmarkEnd w:id="9"/>
    <w:bookmarkStart w:id="10" w:name="bookmark43_0"/>
    <w:bookmarkEnd w:id="10"/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7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1210495988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0495988" name="IM 6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0"/>
      </w:tabs>
      <w:spacing w:before="68" w:line="184" w:lineRule="auto"/>
      <w:ind w:left="14"/>
      <w:rPr>
        <w:sz w:val="19"/>
        <w:szCs w:val="19"/>
      </w:rPr>
    </w:pPr>
    <w:bookmarkStart w:id="11" w:name="bookmark154_1"/>
    <w:bookmarkEnd w:id="11"/>
    <w:bookmarkStart w:id="12" w:name="bookmark43_1"/>
    <w:bookmarkEnd w:id="12"/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7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343938502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3938502" name="IM 6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0"/>
      </w:tabs>
      <w:spacing w:before="68" w:line="184" w:lineRule="auto"/>
      <w:ind w:left="14"/>
      <w:rPr>
        <w:sz w:val="19"/>
        <w:szCs w:val="19"/>
      </w:rPr>
    </w:pPr>
    <w:bookmarkStart w:id="13" w:name="bookmark154_2"/>
    <w:bookmarkEnd w:id="13"/>
    <w:bookmarkStart w:id="14" w:name="bookmark43_2"/>
    <w:bookmarkEnd w:id="14"/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7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1153759157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3759157" name="IM 6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0"/>
      </w:tabs>
      <w:spacing w:before="68" w:line="184" w:lineRule="auto"/>
      <w:ind w:left="14"/>
      <w:rPr>
        <w:sz w:val="19"/>
        <w:szCs w:val="19"/>
      </w:rPr>
    </w:pPr>
    <w:bookmarkStart w:id="15" w:name="bookmark154_3"/>
    <w:bookmarkEnd w:id="15"/>
    <w:bookmarkStart w:id="16" w:name="bookmark43_3"/>
    <w:bookmarkEnd w:id="16"/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7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232276389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2276389" name="IM 6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0"/>
      </w:tabs>
      <w:spacing w:before="68" w:line="184" w:lineRule="auto"/>
      <w:ind w:left="14"/>
      <w:rPr>
        <w:sz w:val="19"/>
        <w:szCs w:val="19"/>
      </w:rPr>
    </w:pPr>
    <w:bookmarkStart w:id="17" w:name="bookmark154_4"/>
    <w:bookmarkEnd w:id="17"/>
    <w:bookmarkStart w:id="18" w:name="bookmark43_4"/>
    <w:bookmarkEnd w:id="18"/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7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0"/>
      </w:tabs>
      <w:spacing w:before="68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7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1139396511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9396511" name="IM 7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0"/>
      </w:tabs>
      <w:spacing w:before="68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7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2121188470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1188470" name="IM 7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0"/>
      </w:tabs>
      <w:spacing w:before="68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43" w:lineRule="exact"/>
      <w:ind w:firstLine="271"/>
    </w:pPr>
    <w:r>
      <w:rPr>
        <w:position w:val="-12"/>
      </w:rPr>
      <w:drawing>
        <wp:inline distT="0" distB="0" distL="0" distR="0">
          <wp:extent cx="2130552" cy="408431"/>
          <wp:effectExtent l="0" t="0" r="0" b="0"/>
          <wp:docPr id="1463776148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3776148" name="IM 7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30552" cy="40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0"/>
      </w:tabs>
      <w:spacing w:before="68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1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行业深度报告</w:t>
    </w:r>
    <w:r>
      <w:rPr>
        <w:sz w:val="19"/>
        <w:szCs w:val="19"/>
        <w:u w:val="single" w:color="auto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theme" Target="theme/theme1.xml" /><Relationship Id="rId101" Type="http://schemas.openxmlformats.org/officeDocument/2006/relationships/styles" Target="styles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image" Target="media/image3.jpeg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image" Target="media/image4.png" /><Relationship Id="rId31" Type="http://schemas.openxmlformats.org/officeDocument/2006/relationships/image" Target="media/image5.png" /><Relationship Id="rId32" Type="http://schemas.openxmlformats.org/officeDocument/2006/relationships/image" Target="media/image6.jpeg" /><Relationship Id="rId33" Type="http://schemas.openxmlformats.org/officeDocument/2006/relationships/image" Target="media/image7.jpeg" /><Relationship Id="rId34" Type="http://schemas.openxmlformats.org/officeDocument/2006/relationships/image" Target="media/image8.jpeg" /><Relationship Id="rId35" Type="http://schemas.openxmlformats.org/officeDocument/2006/relationships/image" Target="media/image9.png" /><Relationship Id="rId36" Type="http://schemas.openxmlformats.org/officeDocument/2006/relationships/header" Target="header13.xml" /><Relationship Id="rId37" Type="http://schemas.openxmlformats.org/officeDocument/2006/relationships/footer" Target="footer13.xml" /><Relationship Id="rId38" Type="http://schemas.openxmlformats.org/officeDocument/2006/relationships/header" Target="header14.xml" /><Relationship Id="rId39" Type="http://schemas.openxmlformats.org/officeDocument/2006/relationships/footer" Target="footer14.xml" /><Relationship Id="rId4" Type="http://schemas.openxmlformats.org/officeDocument/2006/relationships/header" Target="header1.xml" /><Relationship Id="rId40" Type="http://schemas.openxmlformats.org/officeDocument/2006/relationships/image" Target="media/image10.png" /><Relationship Id="rId41" Type="http://schemas.openxmlformats.org/officeDocument/2006/relationships/image" Target="media/image11.jpeg" /><Relationship Id="rId42" Type="http://schemas.openxmlformats.org/officeDocument/2006/relationships/image" Target="media/image12.png" /><Relationship Id="rId43" Type="http://schemas.openxmlformats.org/officeDocument/2006/relationships/image" Target="media/image13.png" /><Relationship Id="rId44" Type="http://schemas.openxmlformats.org/officeDocument/2006/relationships/image" Target="media/image14.png" /><Relationship Id="rId45" Type="http://schemas.openxmlformats.org/officeDocument/2006/relationships/image" Target="media/image15.png" /><Relationship Id="rId46" Type="http://schemas.openxmlformats.org/officeDocument/2006/relationships/image" Target="media/image16.png" /><Relationship Id="rId47" Type="http://schemas.openxmlformats.org/officeDocument/2006/relationships/image" Target="media/image17.png" /><Relationship Id="rId48" Type="http://schemas.openxmlformats.org/officeDocument/2006/relationships/image" Target="media/image18.png" /><Relationship Id="rId49" Type="http://schemas.openxmlformats.org/officeDocument/2006/relationships/image" Target="media/image19.png" /><Relationship Id="rId5" Type="http://schemas.openxmlformats.org/officeDocument/2006/relationships/footer" Target="footer1.xml" /><Relationship Id="rId50" Type="http://schemas.openxmlformats.org/officeDocument/2006/relationships/image" Target="media/image20.png" /><Relationship Id="rId51" Type="http://schemas.openxmlformats.org/officeDocument/2006/relationships/image" Target="media/image21.png" /><Relationship Id="rId52" Type="http://schemas.openxmlformats.org/officeDocument/2006/relationships/image" Target="media/image22.png" /><Relationship Id="rId53" Type="http://schemas.openxmlformats.org/officeDocument/2006/relationships/image" Target="media/image23.png" /><Relationship Id="rId54" Type="http://schemas.openxmlformats.org/officeDocument/2006/relationships/image" Target="media/image24.png" /><Relationship Id="rId55" Type="http://schemas.openxmlformats.org/officeDocument/2006/relationships/image" Target="media/image25.png" /><Relationship Id="rId56" Type="http://schemas.openxmlformats.org/officeDocument/2006/relationships/image" Target="media/image26.png" /><Relationship Id="rId57" Type="http://schemas.openxmlformats.org/officeDocument/2006/relationships/image" Target="media/image27.png" /><Relationship Id="rId58" Type="http://schemas.openxmlformats.org/officeDocument/2006/relationships/image" Target="media/image28.png" /><Relationship Id="rId59" Type="http://schemas.openxmlformats.org/officeDocument/2006/relationships/header" Target="header15.xml" /><Relationship Id="rId6" Type="http://schemas.openxmlformats.org/officeDocument/2006/relationships/image" Target="media/image2.png" /><Relationship Id="rId60" Type="http://schemas.openxmlformats.org/officeDocument/2006/relationships/footer" Target="footer15.xml" /><Relationship Id="rId61" Type="http://schemas.openxmlformats.org/officeDocument/2006/relationships/header" Target="header16.xml" /><Relationship Id="rId62" Type="http://schemas.openxmlformats.org/officeDocument/2006/relationships/footer" Target="footer16.xml" /><Relationship Id="rId63" Type="http://schemas.openxmlformats.org/officeDocument/2006/relationships/header" Target="header17.xml" /><Relationship Id="rId64" Type="http://schemas.openxmlformats.org/officeDocument/2006/relationships/footer" Target="footer17.xml" /><Relationship Id="rId65" Type="http://schemas.openxmlformats.org/officeDocument/2006/relationships/header" Target="header18.xml" /><Relationship Id="rId66" Type="http://schemas.openxmlformats.org/officeDocument/2006/relationships/footer" Target="footer18.xml" /><Relationship Id="rId67" Type="http://schemas.openxmlformats.org/officeDocument/2006/relationships/header" Target="header19.xml" /><Relationship Id="rId68" Type="http://schemas.openxmlformats.org/officeDocument/2006/relationships/footer" Target="footer19.xml" /><Relationship Id="rId69" Type="http://schemas.openxmlformats.org/officeDocument/2006/relationships/header" Target="header20.xml" /><Relationship Id="rId7" Type="http://schemas.openxmlformats.org/officeDocument/2006/relationships/header" Target="header2.xml" /><Relationship Id="rId70" Type="http://schemas.openxmlformats.org/officeDocument/2006/relationships/footer" Target="footer20.xml" /><Relationship Id="rId71" Type="http://schemas.openxmlformats.org/officeDocument/2006/relationships/header" Target="header21.xml" /><Relationship Id="rId72" Type="http://schemas.openxmlformats.org/officeDocument/2006/relationships/footer" Target="footer21.xml" /><Relationship Id="rId73" Type="http://schemas.openxmlformats.org/officeDocument/2006/relationships/image" Target="media/image29.png" /><Relationship Id="rId74" Type="http://schemas.openxmlformats.org/officeDocument/2006/relationships/header" Target="header22.xml" /><Relationship Id="rId75" Type="http://schemas.openxmlformats.org/officeDocument/2006/relationships/footer" Target="footer22.xml" /><Relationship Id="rId76" Type="http://schemas.openxmlformats.org/officeDocument/2006/relationships/image" Target="media/image30.png" /><Relationship Id="rId77" Type="http://schemas.openxmlformats.org/officeDocument/2006/relationships/header" Target="header23.xml" /><Relationship Id="rId78" Type="http://schemas.openxmlformats.org/officeDocument/2006/relationships/footer" Target="footer23.xml" /><Relationship Id="rId79" Type="http://schemas.openxmlformats.org/officeDocument/2006/relationships/image" Target="media/image31.png" /><Relationship Id="rId8" Type="http://schemas.openxmlformats.org/officeDocument/2006/relationships/footer" Target="footer2.xml" /><Relationship Id="rId80" Type="http://schemas.openxmlformats.org/officeDocument/2006/relationships/image" Target="media/image32.png" /><Relationship Id="rId81" Type="http://schemas.openxmlformats.org/officeDocument/2006/relationships/image" Target="media/image33.png" /><Relationship Id="rId82" Type="http://schemas.openxmlformats.org/officeDocument/2006/relationships/image" Target="media/image34.png" /><Relationship Id="rId83" Type="http://schemas.openxmlformats.org/officeDocument/2006/relationships/image" Target="media/image35.png" /><Relationship Id="rId84" Type="http://schemas.openxmlformats.org/officeDocument/2006/relationships/image" Target="media/image36.png" /><Relationship Id="rId85" Type="http://schemas.openxmlformats.org/officeDocument/2006/relationships/image" Target="media/image37.png" /><Relationship Id="rId86" Type="http://schemas.openxmlformats.org/officeDocument/2006/relationships/image" Target="media/image38.png" /><Relationship Id="rId87" Type="http://schemas.openxmlformats.org/officeDocument/2006/relationships/image" Target="media/image39.png" /><Relationship Id="rId88" Type="http://schemas.openxmlformats.org/officeDocument/2006/relationships/image" Target="media/image40.jpeg" /><Relationship Id="rId89" Type="http://schemas.openxmlformats.org/officeDocument/2006/relationships/header" Target="header24.xml" /><Relationship Id="rId9" Type="http://schemas.openxmlformats.org/officeDocument/2006/relationships/header" Target="header3.xml" /><Relationship Id="rId90" Type="http://schemas.openxmlformats.org/officeDocument/2006/relationships/footer" Target="footer24.xml" /><Relationship Id="rId91" Type="http://schemas.openxmlformats.org/officeDocument/2006/relationships/image" Target="media/image41.png" /><Relationship Id="rId92" Type="http://schemas.openxmlformats.org/officeDocument/2006/relationships/image" Target="media/image42.jpeg" /><Relationship Id="rId93" Type="http://schemas.openxmlformats.org/officeDocument/2006/relationships/header" Target="header25.xml" /><Relationship Id="rId94" Type="http://schemas.openxmlformats.org/officeDocument/2006/relationships/footer" Target="footer25.xml" /><Relationship Id="rId95" Type="http://schemas.openxmlformats.org/officeDocument/2006/relationships/header" Target="header26.xml" /><Relationship Id="rId96" Type="http://schemas.openxmlformats.org/officeDocument/2006/relationships/footer" Target="footer26.xml" /><Relationship Id="rId97" Type="http://schemas.openxmlformats.org/officeDocument/2006/relationships/hyperlink" Target="https://d.book118.com/597151031035006030" TargetMode="External" /><Relationship Id="rId98" Type="http://schemas.openxmlformats.org/officeDocument/2006/relationships/header" Target="header27.xml" /><Relationship Id="rId99" Type="http://schemas.openxmlformats.org/officeDocument/2006/relationships/footer" Target="footer27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2024-01-11T11:10:30Z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2024-01-11T13:30:33Z</vt:filetime>
  </property>
  <property fmtid="{D5CDD505-2E9C-101B-9397-08002B2CF9AE}" pid="3" name="CRO">
    <vt:lpwstr>wqlLaW5nc29mdCBQREYgdG8gV1BTIDkw</vt:lpwstr>
  </property>
</Properties>
</file>