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数控石油深井测井仪项目规划设计蓝图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1" w:history="1">
        <w:r>
          <w:rPr>
            <w:rFonts w:ascii="仿宋" w:eastAsia="仿宋" w:hAnsi="仿宋" w:cs="仿宋" w:hint="eastAsia"/>
            <w:lang w:eastAsia="zh-CN"/>
          </w:rPr>
          <w:t>概论</w:t>
        </w:r>
        <w:r>
          <w:tab/>
        </w:r>
        <w:r>
          <w:fldChar w:fldCharType="begin"/>
        </w:r>
        <w:r>
          <w:instrText xml:space="preserve"> PAGEREF _Toc15331 \h </w:instrText>
        </w:r>
        <w:r>
          <w:fldChar w:fldCharType="separate"/>
        </w:r>
        <w:r>
          <w:t>3</w:t>
        </w:r>
        <w:r>
          <w:fldChar w:fldCharType="end"/>
        </w:r>
      </w:hyperlink>
    </w:p>
    <w:p>
      <w:pPr>
        <w:pStyle w:val="TOC1"/>
        <w:tabs>
          <w:tab w:val="right" w:leader="dot" w:pos="8306"/>
        </w:tabs>
      </w:pPr>
      <w:hyperlink w:anchor="_Toc12613" w:history="1">
        <w:r>
          <w:rPr>
            <w:rFonts w:ascii="仿宋" w:eastAsia="仿宋" w:hAnsi="仿宋" w:cs="仿宋" w:hint="eastAsia"/>
            <w:lang w:eastAsia="zh-CN"/>
          </w:rPr>
          <w:t>一、数控石油深井测井仪项目绩效评估</w:t>
        </w:r>
        <w:r>
          <w:tab/>
        </w:r>
        <w:r>
          <w:fldChar w:fldCharType="begin"/>
        </w:r>
        <w:r>
          <w:instrText xml:space="preserve"> PAGEREF _Toc12613 \h </w:instrText>
        </w:r>
        <w:r>
          <w:fldChar w:fldCharType="separate"/>
        </w:r>
        <w:r>
          <w:t>3</w:t>
        </w:r>
        <w:r>
          <w:fldChar w:fldCharType="end"/>
        </w:r>
      </w:hyperlink>
    </w:p>
    <w:p>
      <w:pPr>
        <w:pStyle w:val="TOC2"/>
        <w:tabs>
          <w:tab w:val="right" w:leader="dot" w:pos="8306"/>
        </w:tabs>
      </w:pPr>
      <w:hyperlink w:anchor="_Toc25199" w:history="1">
        <w:r>
          <w:rPr>
            <w:rFonts w:ascii="仿宋" w:eastAsia="仿宋" w:hAnsi="仿宋" w:cs="仿宋" w:hint="eastAsia"/>
            <w:lang w:eastAsia="zh-CN"/>
          </w:rPr>
          <w:t>(一)、绩效评估指标</w:t>
        </w:r>
        <w:r>
          <w:tab/>
        </w:r>
        <w:r>
          <w:fldChar w:fldCharType="begin"/>
        </w:r>
        <w:r>
          <w:instrText xml:space="preserve"> PAGEREF _Toc25199 \h </w:instrText>
        </w:r>
        <w:r>
          <w:fldChar w:fldCharType="separate"/>
        </w:r>
        <w:r>
          <w:t>3</w:t>
        </w:r>
        <w:r>
          <w:fldChar w:fldCharType="end"/>
        </w:r>
      </w:hyperlink>
    </w:p>
    <w:p>
      <w:pPr>
        <w:pStyle w:val="TOC2"/>
        <w:tabs>
          <w:tab w:val="right" w:leader="dot" w:pos="8306"/>
        </w:tabs>
      </w:pPr>
      <w:hyperlink w:anchor="_Toc27956" w:history="1">
        <w:r>
          <w:rPr>
            <w:rFonts w:ascii="仿宋" w:eastAsia="仿宋" w:hAnsi="仿宋" w:cs="仿宋" w:hint="eastAsia"/>
            <w:lang w:eastAsia="zh-CN"/>
          </w:rPr>
          <w:t>(二)、绩效评估方法</w:t>
        </w:r>
        <w:r>
          <w:tab/>
        </w:r>
        <w:r>
          <w:fldChar w:fldCharType="begin"/>
        </w:r>
        <w:r>
          <w:instrText xml:space="preserve"> PAGEREF _Toc27956 \h </w:instrText>
        </w:r>
        <w:r>
          <w:fldChar w:fldCharType="separate"/>
        </w:r>
        <w:r>
          <w:t>4</w:t>
        </w:r>
        <w:r>
          <w:fldChar w:fldCharType="end"/>
        </w:r>
      </w:hyperlink>
    </w:p>
    <w:p>
      <w:pPr>
        <w:pStyle w:val="TOC2"/>
        <w:tabs>
          <w:tab w:val="right" w:leader="dot" w:pos="8306"/>
        </w:tabs>
      </w:pPr>
      <w:hyperlink w:anchor="_Toc15242" w:history="1">
        <w:r>
          <w:rPr>
            <w:rFonts w:ascii="仿宋" w:eastAsia="仿宋" w:hAnsi="仿宋" w:cs="仿宋" w:hint="eastAsia"/>
            <w:lang w:eastAsia="zh-CN"/>
          </w:rPr>
          <w:t>(三)、绩效评估周期</w:t>
        </w:r>
        <w:r>
          <w:tab/>
        </w:r>
        <w:r>
          <w:fldChar w:fldCharType="begin"/>
        </w:r>
        <w:r>
          <w:instrText xml:space="preserve"> PAGEREF _Toc15242 \h </w:instrText>
        </w:r>
        <w:r>
          <w:fldChar w:fldCharType="separate"/>
        </w:r>
        <w:r>
          <w:t>5</w:t>
        </w:r>
        <w:r>
          <w:fldChar w:fldCharType="end"/>
        </w:r>
      </w:hyperlink>
    </w:p>
    <w:p>
      <w:pPr>
        <w:pStyle w:val="TOC1"/>
        <w:tabs>
          <w:tab w:val="right" w:leader="dot" w:pos="8306"/>
        </w:tabs>
      </w:pPr>
      <w:hyperlink w:anchor="_Toc26697" w:history="1">
        <w:r>
          <w:rPr>
            <w:rFonts w:ascii="仿宋" w:eastAsia="仿宋" w:hAnsi="仿宋" w:cs="仿宋" w:hint="eastAsia"/>
            <w:lang w:eastAsia="zh-CN"/>
          </w:rPr>
          <w:t>二、数控石油深井测井仪项目土建工程</w:t>
        </w:r>
        <w:r>
          <w:tab/>
        </w:r>
        <w:r>
          <w:fldChar w:fldCharType="begin"/>
        </w:r>
        <w:r>
          <w:instrText xml:space="preserve"> PAGEREF _Toc26697 \h </w:instrText>
        </w:r>
        <w:r>
          <w:fldChar w:fldCharType="separate"/>
        </w:r>
        <w:r>
          <w:t>6</w:t>
        </w:r>
        <w:r>
          <w:fldChar w:fldCharType="end"/>
        </w:r>
      </w:hyperlink>
    </w:p>
    <w:p>
      <w:pPr>
        <w:pStyle w:val="TOC2"/>
        <w:tabs>
          <w:tab w:val="right" w:leader="dot" w:pos="8306"/>
        </w:tabs>
      </w:pPr>
      <w:hyperlink w:anchor="_Toc12217" w:history="1">
        <w:r>
          <w:rPr>
            <w:rFonts w:ascii="仿宋" w:eastAsia="仿宋" w:hAnsi="仿宋" w:cs="仿宋" w:hint="eastAsia"/>
            <w:lang w:eastAsia="zh-CN"/>
          </w:rPr>
          <w:t>(一)、建筑工程设计原则</w:t>
        </w:r>
        <w:r>
          <w:tab/>
        </w:r>
        <w:r>
          <w:fldChar w:fldCharType="begin"/>
        </w:r>
        <w:r>
          <w:instrText xml:space="preserve"> PAGEREF _Toc12217 \h </w:instrText>
        </w:r>
        <w:r>
          <w:fldChar w:fldCharType="separate"/>
        </w:r>
        <w:r>
          <w:t>6</w:t>
        </w:r>
        <w:r>
          <w:fldChar w:fldCharType="end"/>
        </w:r>
      </w:hyperlink>
    </w:p>
    <w:p>
      <w:pPr>
        <w:pStyle w:val="TOC2"/>
        <w:tabs>
          <w:tab w:val="right" w:leader="dot" w:pos="8306"/>
        </w:tabs>
      </w:pPr>
      <w:hyperlink w:anchor="_Toc29070" w:history="1">
        <w:r>
          <w:rPr>
            <w:rFonts w:ascii="仿宋" w:eastAsia="仿宋" w:hAnsi="仿宋" w:cs="仿宋" w:hint="eastAsia"/>
            <w:lang w:eastAsia="zh-CN"/>
          </w:rPr>
          <w:t>(二)、土建工程设计年限及安全等级</w:t>
        </w:r>
        <w:r>
          <w:tab/>
        </w:r>
        <w:r>
          <w:fldChar w:fldCharType="begin"/>
        </w:r>
        <w:r>
          <w:instrText xml:space="preserve"> PAGEREF _Toc29070 \h </w:instrText>
        </w:r>
        <w:r>
          <w:fldChar w:fldCharType="separate"/>
        </w:r>
        <w:r>
          <w:t>8</w:t>
        </w:r>
        <w:r>
          <w:fldChar w:fldCharType="end"/>
        </w:r>
      </w:hyperlink>
    </w:p>
    <w:p>
      <w:pPr>
        <w:pStyle w:val="TOC2"/>
        <w:tabs>
          <w:tab w:val="right" w:leader="dot" w:pos="8306"/>
        </w:tabs>
      </w:pPr>
      <w:hyperlink w:anchor="_Toc8209" w:history="1">
        <w:r>
          <w:rPr>
            <w:rFonts w:ascii="仿宋" w:eastAsia="仿宋" w:hAnsi="仿宋" w:cs="仿宋" w:hint="eastAsia"/>
            <w:lang w:eastAsia="zh-CN"/>
          </w:rPr>
          <w:t>(三)、建筑工程设计总体要求</w:t>
        </w:r>
        <w:r>
          <w:tab/>
        </w:r>
        <w:r>
          <w:fldChar w:fldCharType="begin"/>
        </w:r>
        <w:r>
          <w:instrText xml:space="preserve"> PAGEREF _Toc8209 \h </w:instrText>
        </w:r>
        <w:r>
          <w:fldChar w:fldCharType="separate"/>
        </w:r>
        <w:r>
          <w:t>9</w:t>
        </w:r>
        <w:r>
          <w:fldChar w:fldCharType="end"/>
        </w:r>
      </w:hyperlink>
    </w:p>
    <w:p>
      <w:pPr>
        <w:pStyle w:val="TOC2"/>
        <w:tabs>
          <w:tab w:val="right" w:leader="dot" w:pos="8306"/>
        </w:tabs>
      </w:pPr>
      <w:hyperlink w:anchor="_Toc17200" w:history="1">
        <w:r>
          <w:rPr>
            <w:rFonts w:ascii="仿宋" w:eastAsia="仿宋" w:hAnsi="仿宋" w:cs="仿宋" w:hint="eastAsia"/>
            <w:lang w:eastAsia="zh-CN"/>
          </w:rPr>
          <w:t>(四)、土建工程建设指标</w:t>
        </w:r>
        <w:r>
          <w:tab/>
        </w:r>
        <w:r>
          <w:fldChar w:fldCharType="begin"/>
        </w:r>
        <w:r>
          <w:instrText xml:space="preserve"> PAGEREF _Toc17200 \h </w:instrText>
        </w:r>
        <w:r>
          <w:fldChar w:fldCharType="separate"/>
        </w:r>
        <w:r>
          <w:t>9</w:t>
        </w:r>
        <w:r>
          <w:fldChar w:fldCharType="end"/>
        </w:r>
      </w:hyperlink>
    </w:p>
    <w:p>
      <w:pPr>
        <w:pStyle w:val="TOC1"/>
        <w:tabs>
          <w:tab w:val="right" w:leader="dot" w:pos="8306"/>
        </w:tabs>
      </w:pPr>
      <w:hyperlink w:anchor="_Toc28109" w:history="1">
        <w:r>
          <w:rPr>
            <w:rFonts w:ascii="仿宋" w:eastAsia="仿宋" w:hAnsi="仿宋" w:cs="仿宋" w:hint="eastAsia"/>
            <w:lang w:eastAsia="zh-CN"/>
          </w:rPr>
          <w:t>三、数控石油深井测井仪项目文档管理</w:t>
        </w:r>
        <w:r>
          <w:tab/>
        </w:r>
        <w:r>
          <w:fldChar w:fldCharType="begin"/>
        </w:r>
        <w:r>
          <w:instrText xml:space="preserve"> PAGEREF _Toc28109 \h </w:instrText>
        </w:r>
        <w:r>
          <w:fldChar w:fldCharType="separate"/>
        </w:r>
        <w:r>
          <w:t>10</w:t>
        </w:r>
        <w:r>
          <w:fldChar w:fldCharType="end"/>
        </w:r>
      </w:hyperlink>
    </w:p>
    <w:p>
      <w:pPr>
        <w:pStyle w:val="TOC2"/>
        <w:tabs>
          <w:tab w:val="right" w:leader="dot" w:pos="8306"/>
        </w:tabs>
      </w:pPr>
      <w:hyperlink w:anchor="_Toc4664" w:history="1">
        <w:r>
          <w:rPr>
            <w:rFonts w:ascii="仿宋" w:eastAsia="仿宋" w:hAnsi="仿宋" w:cs="仿宋" w:hint="eastAsia"/>
            <w:lang w:eastAsia="zh-CN"/>
          </w:rPr>
          <w:t>(一)、文档编制与审查</w:t>
        </w:r>
        <w:r>
          <w:tab/>
        </w:r>
        <w:r>
          <w:fldChar w:fldCharType="begin"/>
        </w:r>
        <w:r>
          <w:instrText xml:space="preserve"> PAGEREF _Toc4664 \h </w:instrText>
        </w:r>
        <w:r>
          <w:fldChar w:fldCharType="separate"/>
        </w:r>
        <w:r>
          <w:t>10</w:t>
        </w:r>
        <w:r>
          <w:fldChar w:fldCharType="end"/>
        </w:r>
      </w:hyperlink>
    </w:p>
    <w:p>
      <w:pPr>
        <w:pStyle w:val="TOC2"/>
        <w:tabs>
          <w:tab w:val="right" w:leader="dot" w:pos="8306"/>
        </w:tabs>
      </w:pPr>
      <w:hyperlink w:anchor="_Toc22434" w:history="1">
        <w:r>
          <w:rPr>
            <w:rFonts w:ascii="仿宋" w:eastAsia="仿宋" w:hAnsi="仿宋" w:cs="仿宋" w:hint="eastAsia"/>
            <w:lang w:eastAsia="zh-CN"/>
          </w:rPr>
          <w:t>(二)、文档发布与分发</w:t>
        </w:r>
        <w:r>
          <w:tab/>
        </w:r>
        <w:r>
          <w:fldChar w:fldCharType="begin"/>
        </w:r>
        <w:r>
          <w:instrText xml:space="preserve"> PAGEREF _Toc22434 \h </w:instrText>
        </w:r>
        <w:r>
          <w:fldChar w:fldCharType="separate"/>
        </w:r>
        <w:r>
          <w:t>11</w:t>
        </w:r>
        <w:r>
          <w:fldChar w:fldCharType="end"/>
        </w:r>
      </w:hyperlink>
    </w:p>
    <w:p>
      <w:pPr>
        <w:pStyle w:val="TOC2"/>
        <w:tabs>
          <w:tab w:val="right" w:leader="dot" w:pos="8306"/>
        </w:tabs>
      </w:pPr>
      <w:hyperlink w:anchor="_Toc20750" w:history="1">
        <w:r>
          <w:rPr>
            <w:rFonts w:ascii="仿宋" w:eastAsia="仿宋" w:hAnsi="仿宋" w:cs="仿宋" w:hint="eastAsia"/>
            <w:lang w:eastAsia="zh-CN"/>
          </w:rPr>
          <w:t>(三)、文档存档与归档</w:t>
        </w:r>
        <w:r>
          <w:tab/>
        </w:r>
        <w:r>
          <w:fldChar w:fldCharType="begin"/>
        </w:r>
        <w:r>
          <w:instrText xml:space="preserve"> PAGEREF _Toc20750 \h </w:instrText>
        </w:r>
        <w:r>
          <w:fldChar w:fldCharType="separate"/>
        </w:r>
        <w:r>
          <w:t>12</w:t>
        </w:r>
        <w:r>
          <w:fldChar w:fldCharType="end"/>
        </w:r>
      </w:hyperlink>
    </w:p>
    <w:p>
      <w:pPr>
        <w:pStyle w:val="TOC1"/>
        <w:tabs>
          <w:tab w:val="right" w:leader="dot" w:pos="8306"/>
        </w:tabs>
      </w:pPr>
      <w:hyperlink w:anchor="_Toc8893" w:history="1">
        <w:r>
          <w:rPr>
            <w:rFonts w:ascii="仿宋" w:eastAsia="仿宋" w:hAnsi="仿宋" w:cs="仿宋" w:hint="eastAsia"/>
            <w:lang w:eastAsia="zh-CN"/>
          </w:rPr>
          <w:t>四、数控石油深井测井仪项目危机管理</w:t>
        </w:r>
        <w:r>
          <w:tab/>
        </w:r>
        <w:r>
          <w:fldChar w:fldCharType="begin"/>
        </w:r>
        <w:r>
          <w:instrText xml:space="preserve"> PAGEREF _Toc8893 \h </w:instrText>
        </w:r>
        <w:r>
          <w:fldChar w:fldCharType="separate"/>
        </w:r>
        <w:r>
          <w:t>13</w:t>
        </w:r>
        <w:r>
          <w:fldChar w:fldCharType="end"/>
        </w:r>
      </w:hyperlink>
    </w:p>
    <w:p>
      <w:pPr>
        <w:pStyle w:val="TOC2"/>
        <w:tabs>
          <w:tab w:val="right" w:leader="dot" w:pos="8306"/>
        </w:tabs>
      </w:pPr>
      <w:hyperlink w:anchor="_Toc25355" w:history="1">
        <w:r>
          <w:rPr>
            <w:rFonts w:ascii="仿宋" w:eastAsia="仿宋" w:hAnsi="仿宋" w:cs="仿宋" w:hint="eastAsia"/>
            <w:lang w:eastAsia="zh-CN"/>
          </w:rPr>
          <w:t>(一)、危机预警与识别</w:t>
        </w:r>
        <w:r>
          <w:tab/>
        </w:r>
        <w:r>
          <w:fldChar w:fldCharType="begin"/>
        </w:r>
        <w:r>
          <w:instrText xml:space="preserve"> PAGEREF _Toc25355 \h </w:instrText>
        </w:r>
        <w:r>
          <w:fldChar w:fldCharType="separate"/>
        </w:r>
        <w:r>
          <w:t>13</w:t>
        </w:r>
        <w:r>
          <w:fldChar w:fldCharType="end"/>
        </w:r>
      </w:hyperlink>
    </w:p>
    <w:p>
      <w:pPr>
        <w:pStyle w:val="TOC2"/>
        <w:tabs>
          <w:tab w:val="right" w:leader="dot" w:pos="8306"/>
        </w:tabs>
      </w:pPr>
      <w:hyperlink w:anchor="_Toc29826" w:history="1">
        <w:r>
          <w:rPr>
            <w:rFonts w:ascii="仿宋" w:eastAsia="仿宋" w:hAnsi="仿宋" w:cs="仿宋" w:hint="eastAsia"/>
            <w:lang w:eastAsia="zh-CN"/>
          </w:rPr>
          <w:t>(二)、危机应对与恢复</w:t>
        </w:r>
        <w:r>
          <w:tab/>
        </w:r>
        <w:r>
          <w:fldChar w:fldCharType="begin"/>
        </w:r>
        <w:r>
          <w:instrText xml:space="preserve"> PAGEREF _Toc29826 \h </w:instrText>
        </w:r>
        <w:r>
          <w:fldChar w:fldCharType="separate"/>
        </w:r>
        <w:r>
          <w:t>14</w:t>
        </w:r>
        <w:r>
          <w:fldChar w:fldCharType="end"/>
        </w:r>
      </w:hyperlink>
    </w:p>
    <w:p>
      <w:pPr>
        <w:pStyle w:val="TOC1"/>
        <w:tabs>
          <w:tab w:val="right" w:leader="dot" w:pos="8306"/>
        </w:tabs>
      </w:pPr>
      <w:hyperlink w:anchor="_Toc12710" w:history="1">
        <w:r>
          <w:rPr>
            <w:rFonts w:ascii="仿宋" w:eastAsia="仿宋" w:hAnsi="仿宋" w:cs="仿宋" w:hint="eastAsia"/>
            <w:lang w:eastAsia="zh-CN"/>
          </w:rPr>
          <w:t>五、市场分析、调研</w:t>
        </w:r>
        <w:r>
          <w:tab/>
        </w:r>
        <w:r>
          <w:fldChar w:fldCharType="begin"/>
        </w:r>
        <w:r>
          <w:instrText xml:space="preserve"> PAGEREF _Toc12710 \h </w:instrText>
        </w:r>
        <w:r>
          <w:fldChar w:fldCharType="separate"/>
        </w:r>
        <w:r>
          <w:t>16</w:t>
        </w:r>
        <w:r>
          <w:fldChar w:fldCharType="end"/>
        </w:r>
      </w:hyperlink>
    </w:p>
    <w:p>
      <w:pPr>
        <w:pStyle w:val="TOC2"/>
        <w:tabs>
          <w:tab w:val="right" w:leader="dot" w:pos="8306"/>
        </w:tabs>
      </w:pPr>
      <w:hyperlink w:anchor="_Toc11152" w:history="1">
        <w:r>
          <w:rPr>
            <w:rFonts w:ascii="仿宋" w:eastAsia="仿宋" w:hAnsi="仿宋" w:cs="仿宋" w:hint="eastAsia"/>
            <w:lang w:eastAsia="zh-CN"/>
          </w:rPr>
          <w:t>(一)、数控石油深井测井仪行业分析</w:t>
        </w:r>
        <w:r>
          <w:tab/>
        </w:r>
        <w:r>
          <w:fldChar w:fldCharType="begin"/>
        </w:r>
        <w:r>
          <w:instrText xml:space="preserve"> PAGEREF _Toc11152 \h </w:instrText>
        </w:r>
        <w:r>
          <w:fldChar w:fldCharType="separate"/>
        </w:r>
        <w:r>
          <w:t>16</w:t>
        </w:r>
        <w:r>
          <w:fldChar w:fldCharType="end"/>
        </w:r>
      </w:hyperlink>
    </w:p>
    <w:p>
      <w:pPr>
        <w:pStyle w:val="TOC2"/>
        <w:tabs>
          <w:tab w:val="right" w:leader="dot" w:pos="8306"/>
        </w:tabs>
      </w:pPr>
      <w:hyperlink w:anchor="_Toc22528" w:history="1">
        <w:r>
          <w:rPr>
            <w:rFonts w:ascii="仿宋" w:eastAsia="仿宋" w:hAnsi="仿宋" w:cs="仿宋" w:hint="eastAsia"/>
            <w:lang w:eastAsia="zh-CN"/>
          </w:rPr>
          <w:t>(二)、数控石油深井测井仪市场分析预测</w:t>
        </w:r>
        <w:r>
          <w:tab/>
        </w:r>
        <w:r>
          <w:fldChar w:fldCharType="begin"/>
        </w:r>
        <w:r>
          <w:instrText xml:space="preserve"> PAGEREF _Toc22528 \h </w:instrText>
        </w:r>
        <w:r>
          <w:fldChar w:fldCharType="separate"/>
        </w:r>
        <w:r>
          <w:t>17</w:t>
        </w:r>
        <w:r>
          <w:fldChar w:fldCharType="end"/>
        </w:r>
      </w:hyperlink>
    </w:p>
    <w:p>
      <w:pPr>
        <w:pStyle w:val="TOC1"/>
        <w:tabs>
          <w:tab w:val="right" w:leader="dot" w:pos="8306"/>
        </w:tabs>
      </w:pPr>
      <w:hyperlink w:anchor="_Toc14740" w:history="1">
        <w:r>
          <w:rPr>
            <w:rFonts w:ascii="仿宋" w:eastAsia="仿宋" w:hAnsi="仿宋" w:cs="仿宋" w:hint="eastAsia"/>
            <w:lang w:eastAsia="zh-CN"/>
          </w:rPr>
          <w:t>六、数控石油深井测井仪项目选址可行性分析</w:t>
        </w:r>
        <w:r>
          <w:tab/>
        </w:r>
        <w:r>
          <w:fldChar w:fldCharType="begin"/>
        </w:r>
        <w:r>
          <w:instrText xml:space="preserve"> PAGEREF _Toc14740 \h </w:instrText>
        </w:r>
        <w:r>
          <w:fldChar w:fldCharType="separate"/>
        </w:r>
        <w:r>
          <w:t>17</w:t>
        </w:r>
        <w:r>
          <w:fldChar w:fldCharType="end"/>
        </w:r>
      </w:hyperlink>
    </w:p>
    <w:p>
      <w:pPr>
        <w:pStyle w:val="TOC2"/>
        <w:tabs>
          <w:tab w:val="right" w:leader="dot" w:pos="8306"/>
        </w:tabs>
      </w:pPr>
      <w:hyperlink w:anchor="_Toc32733" w:history="1">
        <w:r>
          <w:rPr>
            <w:rFonts w:ascii="仿宋" w:eastAsia="仿宋" w:hAnsi="仿宋" w:cs="仿宋" w:hint="eastAsia"/>
            <w:lang w:eastAsia="zh-CN"/>
          </w:rPr>
          <w:t>(一)、数控石油深井测井仪项目选址</w:t>
        </w:r>
        <w:r>
          <w:tab/>
        </w:r>
        <w:r>
          <w:fldChar w:fldCharType="begin"/>
        </w:r>
        <w:r>
          <w:instrText xml:space="preserve"> PAGEREF _Toc32733 \h </w:instrText>
        </w:r>
        <w:r>
          <w:fldChar w:fldCharType="separate"/>
        </w:r>
        <w:r>
          <w:t>17</w:t>
        </w:r>
        <w:r>
          <w:fldChar w:fldCharType="end"/>
        </w:r>
      </w:hyperlink>
    </w:p>
    <w:p>
      <w:pPr>
        <w:pStyle w:val="TOC2"/>
        <w:tabs>
          <w:tab w:val="right" w:leader="dot" w:pos="8306"/>
        </w:tabs>
      </w:pPr>
      <w:hyperlink w:anchor="_Toc19688" w:history="1">
        <w:r>
          <w:rPr>
            <w:rFonts w:ascii="仿宋" w:eastAsia="仿宋" w:hAnsi="仿宋" w:cs="仿宋" w:hint="eastAsia"/>
            <w:lang w:eastAsia="zh-CN"/>
          </w:rPr>
          <w:t>(二)、用地控制指标</w:t>
        </w:r>
        <w:r>
          <w:tab/>
        </w:r>
        <w:r>
          <w:fldChar w:fldCharType="begin"/>
        </w:r>
        <w:r>
          <w:instrText xml:space="preserve"> PAGEREF _Toc19688 \h </w:instrText>
        </w:r>
        <w:r>
          <w:fldChar w:fldCharType="separate"/>
        </w:r>
        <w:r>
          <w:t>18</w:t>
        </w:r>
        <w:r>
          <w:fldChar w:fldCharType="end"/>
        </w:r>
      </w:hyperlink>
    </w:p>
    <w:p>
      <w:pPr>
        <w:pStyle w:val="TOC2"/>
        <w:tabs>
          <w:tab w:val="right" w:leader="dot" w:pos="8306"/>
        </w:tabs>
      </w:pPr>
      <w:hyperlink w:anchor="_Toc9030" w:history="1">
        <w:r>
          <w:rPr>
            <w:rFonts w:ascii="仿宋" w:eastAsia="仿宋" w:hAnsi="仿宋" w:cs="仿宋" w:hint="eastAsia"/>
            <w:lang w:eastAsia="zh-CN"/>
          </w:rPr>
          <w:t>(三)、节约用地措施</w:t>
        </w:r>
        <w:r>
          <w:tab/>
        </w:r>
        <w:r>
          <w:fldChar w:fldCharType="begin"/>
        </w:r>
        <w:r>
          <w:instrText xml:space="preserve"> PAGEREF _Toc9030 \h </w:instrText>
        </w:r>
        <w:r>
          <w:fldChar w:fldCharType="separate"/>
        </w:r>
        <w:r>
          <w:t>20</w:t>
        </w:r>
        <w:r>
          <w:fldChar w:fldCharType="end"/>
        </w:r>
      </w:hyperlink>
    </w:p>
    <w:p>
      <w:pPr>
        <w:pStyle w:val="TOC2"/>
        <w:tabs>
          <w:tab w:val="right" w:leader="dot" w:pos="8306"/>
        </w:tabs>
      </w:pPr>
      <w:hyperlink w:anchor="_Toc20511" w:history="1">
        <w:r>
          <w:rPr>
            <w:rFonts w:ascii="仿宋" w:eastAsia="仿宋" w:hAnsi="仿宋" w:cs="仿宋" w:hint="eastAsia"/>
            <w:lang w:eastAsia="zh-CN"/>
          </w:rPr>
          <w:t>(四)、总图布置方案</w:t>
        </w:r>
        <w:r>
          <w:tab/>
        </w:r>
        <w:r>
          <w:fldChar w:fldCharType="begin"/>
        </w:r>
        <w:r>
          <w:instrText xml:space="preserve"> PAGEREF _Toc20511 \h </w:instrText>
        </w:r>
        <w:r>
          <w:fldChar w:fldCharType="separate"/>
        </w:r>
        <w:r>
          <w:t>21</w:t>
        </w:r>
        <w:r>
          <w:fldChar w:fldCharType="end"/>
        </w:r>
      </w:hyperlink>
    </w:p>
    <w:p>
      <w:pPr>
        <w:pStyle w:val="TOC2"/>
        <w:tabs>
          <w:tab w:val="right" w:leader="dot" w:pos="8306"/>
        </w:tabs>
      </w:pPr>
      <w:hyperlink w:anchor="_Toc16494" w:history="1">
        <w:r>
          <w:rPr>
            <w:rFonts w:ascii="仿宋" w:eastAsia="仿宋" w:hAnsi="仿宋" w:cs="仿宋" w:hint="eastAsia"/>
            <w:lang w:eastAsia="zh-CN"/>
          </w:rPr>
          <w:t>(五)、选址综合评价</w:t>
        </w:r>
        <w:r>
          <w:tab/>
        </w:r>
        <w:r>
          <w:fldChar w:fldCharType="begin"/>
        </w:r>
        <w:r>
          <w:instrText xml:space="preserve"> PAGEREF _Toc16494 \h </w:instrText>
        </w:r>
        <w:r>
          <w:fldChar w:fldCharType="separate"/>
        </w:r>
        <w:r>
          <w:t>22</w:t>
        </w:r>
        <w:r>
          <w:fldChar w:fldCharType="end"/>
        </w:r>
      </w:hyperlink>
    </w:p>
    <w:p>
      <w:pPr>
        <w:pStyle w:val="TOC1"/>
        <w:tabs>
          <w:tab w:val="right" w:leader="dot" w:pos="8306"/>
        </w:tabs>
      </w:pPr>
      <w:hyperlink w:anchor="_Toc14050" w:history="1">
        <w:r>
          <w:rPr>
            <w:rFonts w:ascii="仿宋" w:eastAsia="仿宋" w:hAnsi="仿宋" w:cs="仿宋" w:hint="eastAsia"/>
            <w:lang w:eastAsia="zh-CN"/>
          </w:rPr>
          <w:t>七、数控石油深井测井仪项目技术管理</w:t>
        </w:r>
        <w:r>
          <w:tab/>
        </w:r>
        <w:r>
          <w:fldChar w:fldCharType="begin"/>
        </w:r>
        <w:r>
          <w:instrText xml:space="preserve"> PAGEREF _Toc14050 \h </w:instrText>
        </w:r>
        <w:r>
          <w:fldChar w:fldCharType="separate"/>
        </w:r>
        <w:r>
          <w:t>23</w:t>
        </w:r>
        <w:r>
          <w:fldChar w:fldCharType="end"/>
        </w:r>
      </w:hyperlink>
    </w:p>
    <w:p>
      <w:pPr>
        <w:pStyle w:val="TOC2"/>
        <w:tabs>
          <w:tab w:val="right" w:leader="dot" w:pos="8306"/>
        </w:tabs>
      </w:pPr>
      <w:hyperlink w:anchor="_Toc14737" w:history="1">
        <w:r>
          <w:rPr>
            <w:rFonts w:ascii="仿宋" w:eastAsia="仿宋" w:hAnsi="仿宋" w:cs="仿宋" w:hint="eastAsia"/>
            <w:lang w:eastAsia="zh-CN"/>
          </w:rPr>
          <w:t>(一)、技术方案选用方向</w:t>
        </w:r>
        <w:r>
          <w:tab/>
        </w:r>
        <w:r>
          <w:fldChar w:fldCharType="begin"/>
        </w:r>
        <w:r>
          <w:instrText xml:space="preserve"> PAGEREF _Toc14737 \h </w:instrText>
        </w:r>
        <w:r>
          <w:fldChar w:fldCharType="separate"/>
        </w:r>
        <w:r>
          <w:t>23</w:t>
        </w:r>
        <w:r>
          <w:fldChar w:fldCharType="end"/>
        </w:r>
      </w:hyperlink>
    </w:p>
    <w:p>
      <w:pPr>
        <w:pStyle w:val="TOC2"/>
        <w:tabs>
          <w:tab w:val="right" w:leader="dot" w:pos="8306"/>
        </w:tabs>
      </w:pPr>
      <w:hyperlink w:anchor="_Toc2768" w:history="1">
        <w:r>
          <w:rPr>
            <w:rFonts w:ascii="仿宋" w:eastAsia="仿宋" w:hAnsi="仿宋" w:cs="仿宋" w:hint="eastAsia"/>
            <w:lang w:eastAsia="zh-CN"/>
          </w:rPr>
          <w:t>(二)、工艺技术方案选用原则</w:t>
        </w:r>
        <w:r>
          <w:tab/>
        </w:r>
        <w:r>
          <w:fldChar w:fldCharType="begin"/>
        </w:r>
        <w:r>
          <w:instrText xml:space="preserve"> PAGEREF _Toc2768 \h </w:instrText>
        </w:r>
        <w:r>
          <w:fldChar w:fldCharType="separate"/>
        </w:r>
        <w:r>
          <w:t>25</w:t>
        </w:r>
        <w:r>
          <w:fldChar w:fldCharType="end"/>
        </w:r>
      </w:hyperlink>
    </w:p>
    <w:p>
      <w:pPr>
        <w:pStyle w:val="TOC2"/>
        <w:tabs>
          <w:tab w:val="right" w:leader="dot" w:pos="8306"/>
        </w:tabs>
      </w:pPr>
      <w:hyperlink w:anchor="_Toc10462" w:history="1">
        <w:r>
          <w:rPr>
            <w:rFonts w:ascii="仿宋" w:eastAsia="仿宋" w:hAnsi="仿宋" w:cs="仿宋" w:hint="eastAsia"/>
            <w:lang w:eastAsia="zh-CN"/>
          </w:rPr>
          <w:t>(三)、工艺技术方案要求</w:t>
        </w:r>
        <w:r>
          <w:tab/>
        </w:r>
        <w:r>
          <w:fldChar w:fldCharType="begin"/>
        </w:r>
        <w:r>
          <w:instrText xml:space="preserve"> PAGEREF _Toc10462 \h </w:instrText>
        </w:r>
        <w:r>
          <w:fldChar w:fldCharType="separate"/>
        </w:r>
        <w:r>
          <w:t>27</w:t>
        </w:r>
        <w:r>
          <w:fldChar w:fldCharType="end"/>
        </w:r>
      </w:hyperlink>
    </w:p>
    <w:p>
      <w:pPr>
        <w:pStyle w:val="TOC1"/>
        <w:tabs>
          <w:tab w:val="right" w:leader="dot" w:pos="8306"/>
        </w:tabs>
      </w:pPr>
      <w:hyperlink w:anchor="_Toc62" w:history="1">
        <w:r>
          <w:rPr>
            <w:rFonts w:ascii="仿宋" w:eastAsia="仿宋" w:hAnsi="仿宋" w:cs="仿宋" w:hint="eastAsia"/>
            <w:lang w:eastAsia="zh-CN"/>
          </w:rPr>
          <w:t>八、数控石油深井测井仪项目经营效益</w:t>
        </w:r>
        <w:r>
          <w:tab/>
        </w:r>
        <w:r>
          <w:fldChar w:fldCharType="begin"/>
        </w:r>
        <w:r>
          <w:instrText xml:space="preserve"> PAGEREF _Toc62 \h </w:instrText>
        </w:r>
        <w:r>
          <w:fldChar w:fldCharType="separate"/>
        </w:r>
        <w:r>
          <w:t>29</w:t>
        </w:r>
        <w:r>
          <w:fldChar w:fldCharType="end"/>
        </w:r>
      </w:hyperlink>
    </w:p>
    <w:p>
      <w:pPr>
        <w:pStyle w:val="TOC2"/>
        <w:tabs>
          <w:tab w:val="right" w:leader="dot" w:pos="8306"/>
        </w:tabs>
      </w:pPr>
      <w:hyperlink w:anchor="_Toc28852" w:history="1">
        <w:r>
          <w:rPr>
            <w:rFonts w:ascii="仿宋" w:eastAsia="仿宋" w:hAnsi="仿宋" w:cs="仿宋" w:hint="eastAsia"/>
            <w:lang w:eastAsia="zh-CN"/>
          </w:rPr>
          <w:t>(一)、经济评价财务测算</w:t>
        </w:r>
        <w:r>
          <w:tab/>
        </w:r>
        <w:r>
          <w:fldChar w:fldCharType="begin"/>
        </w:r>
        <w:r>
          <w:instrText xml:space="preserve"> PAGEREF _Toc28852 \h </w:instrText>
        </w:r>
        <w:r>
          <w:fldChar w:fldCharType="separate"/>
        </w:r>
        <w:r>
          <w:t>29</w:t>
        </w:r>
        <w:r>
          <w:fldChar w:fldCharType="end"/>
        </w:r>
      </w:hyperlink>
    </w:p>
    <w:p>
      <w:pPr>
        <w:pStyle w:val="TOC2"/>
        <w:tabs>
          <w:tab w:val="right" w:leader="dot" w:pos="8306"/>
        </w:tabs>
      </w:pPr>
      <w:hyperlink w:anchor="_Toc23043" w:history="1">
        <w:r>
          <w:rPr>
            <w:rFonts w:ascii="仿宋" w:eastAsia="仿宋" w:hAnsi="仿宋" w:cs="仿宋" w:hint="eastAsia"/>
            <w:lang w:eastAsia="zh-CN"/>
          </w:rPr>
          <w:t>(二)、数控石油深井测井仪项目盈利能力分析</w:t>
        </w:r>
        <w:r>
          <w:tab/>
        </w:r>
        <w:r>
          <w:fldChar w:fldCharType="begin"/>
        </w:r>
        <w:r>
          <w:instrText xml:space="preserve"> PAGEREF _Toc23043 \h </w:instrText>
        </w:r>
        <w:r>
          <w:fldChar w:fldCharType="separate"/>
        </w:r>
        <w:r>
          <w:t>31</w:t>
        </w:r>
        <w:r>
          <w:fldChar w:fldCharType="end"/>
        </w:r>
      </w:hyperlink>
    </w:p>
    <w:p>
      <w:pPr>
        <w:pStyle w:val="TOC1"/>
        <w:tabs>
          <w:tab w:val="right" w:leader="dot" w:pos="8306"/>
        </w:tabs>
      </w:pPr>
      <w:hyperlink w:anchor="_Toc21171" w:history="1">
        <w:r>
          <w:rPr>
            <w:rFonts w:ascii="仿宋" w:eastAsia="仿宋" w:hAnsi="仿宋" w:cs="仿宋" w:hint="eastAsia"/>
            <w:lang w:eastAsia="zh-CN"/>
          </w:rPr>
          <w:t>九、数控石油深井测井仪项目环境影响分析</w:t>
        </w:r>
        <w:r>
          <w:tab/>
        </w:r>
        <w:r>
          <w:fldChar w:fldCharType="begin"/>
        </w:r>
        <w:r>
          <w:instrText xml:space="preserve"> PAGEREF _Toc21171 \h </w:instrText>
        </w:r>
        <w:r>
          <w:fldChar w:fldCharType="separate"/>
        </w:r>
        <w:r>
          <w:t>32</w:t>
        </w:r>
        <w:r>
          <w:fldChar w:fldCharType="end"/>
        </w:r>
      </w:hyperlink>
    </w:p>
    <w:p>
      <w:pPr>
        <w:pStyle w:val="TOC2"/>
        <w:tabs>
          <w:tab w:val="right" w:leader="dot" w:pos="8306"/>
        </w:tabs>
      </w:pPr>
      <w:hyperlink w:anchor="_Toc23744" w:history="1">
        <w:r>
          <w:rPr>
            <w:rFonts w:ascii="仿宋" w:eastAsia="仿宋" w:hAnsi="仿宋" w:cs="仿宋" w:hint="eastAsia"/>
            <w:lang w:eastAsia="zh-CN"/>
          </w:rPr>
          <w:t>(一)、建设区域环境质量现状</w:t>
        </w:r>
        <w:r>
          <w:tab/>
        </w:r>
        <w:r>
          <w:fldChar w:fldCharType="begin"/>
        </w:r>
        <w:r>
          <w:instrText xml:space="preserve"> PAGEREF _Toc23744 \h </w:instrText>
        </w:r>
        <w:r>
          <w:fldChar w:fldCharType="separate"/>
        </w:r>
        <w:r>
          <w:t>32</w:t>
        </w:r>
        <w:r>
          <w:fldChar w:fldCharType="end"/>
        </w:r>
      </w:hyperlink>
    </w:p>
    <w:p>
      <w:pPr>
        <w:pStyle w:val="TOC2"/>
        <w:tabs>
          <w:tab w:val="right" w:leader="dot" w:pos="8306"/>
        </w:tabs>
      </w:pPr>
      <w:hyperlink w:anchor="_Toc27762" w:history="1">
        <w:r>
          <w:rPr>
            <w:rFonts w:ascii="仿宋" w:eastAsia="仿宋" w:hAnsi="仿宋" w:cs="仿宋" w:hint="eastAsia"/>
            <w:lang w:eastAsia="zh-CN"/>
          </w:rPr>
          <w:t>(二)、建设期环境保护</w:t>
        </w:r>
        <w:r>
          <w:tab/>
        </w:r>
        <w:r>
          <w:fldChar w:fldCharType="begin"/>
        </w:r>
        <w:r>
          <w:instrText xml:space="preserve"> PAGEREF _Toc27762 \h </w:instrText>
        </w:r>
        <w:r>
          <w:fldChar w:fldCharType="separate"/>
        </w:r>
        <w:r>
          <w:t>33</w:t>
        </w:r>
        <w:r>
          <w:fldChar w:fldCharType="end"/>
        </w:r>
      </w:hyperlink>
    </w:p>
    <w:p>
      <w:pPr>
        <w:pStyle w:val="TOC2"/>
        <w:tabs>
          <w:tab w:val="right" w:leader="dot" w:pos="8306"/>
        </w:tabs>
      </w:pPr>
      <w:hyperlink w:anchor="_Toc21822" w:history="1">
        <w:r>
          <w:rPr>
            <w:rFonts w:ascii="仿宋" w:eastAsia="仿宋" w:hAnsi="仿宋" w:cs="仿宋" w:hint="eastAsia"/>
            <w:lang w:eastAsia="zh-CN"/>
          </w:rPr>
          <w:t>(三)、运营期环境保护</w:t>
        </w:r>
        <w:r>
          <w:tab/>
        </w:r>
        <w:r>
          <w:fldChar w:fldCharType="begin"/>
        </w:r>
        <w:r>
          <w:instrText xml:space="preserve"> PAGEREF _Toc21822 \h </w:instrText>
        </w:r>
        <w:r>
          <w:fldChar w:fldCharType="separate"/>
        </w:r>
        <w:r>
          <w:t>35</w:t>
        </w:r>
        <w:r>
          <w:fldChar w:fldCharType="end"/>
        </w:r>
      </w:hyperlink>
    </w:p>
    <w:p>
      <w:pPr>
        <w:pStyle w:val="TOC2"/>
        <w:tabs>
          <w:tab w:val="right" w:leader="dot" w:pos="8306"/>
        </w:tabs>
      </w:pPr>
      <w:hyperlink w:anchor="_Toc12001" w:history="1">
        <w:r>
          <w:rPr>
            <w:rFonts w:ascii="仿宋" w:eastAsia="仿宋" w:hAnsi="仿宋" w:cs="仿宋" w:hint="eastAsia"/>
            <w:lang w:eastAsia="zh-CN"/>
          </w:rPr>
          <w:t>(四)、数控石油深井测井仪项目建设对区域经济的影响</w:t>
        </w:r>
        <w:r>
          <w:tab/>
        </w:r>
        <w:r>
          <w:fldChar w:fldCharType="begin"/>
        </w:r>
        <w:r>
          <w:instrText xml:space="preserve"> PAGEREF _Toc12001 \h </w:instrText>
        </w:r>
        <w:r>
          <w:fldChar w:fldCharType="separate"/>
        </w:r>
        <w:r>
          <w:t>36</w:t>
        </w:r>
        <w:r>
          <w:fldChar w:fldCharType="end"/>
        </w:r>
      </w:hyperlink>
    </w:p>
    <w:p>
      <w:pPr>
        <w:pStyle w:val="TOC2"/>
        <w:tabs>
          <w:tab w:val="right" w:leader="dot" w:pos="8306"/>
        </w:tabs>
      </w:pPr>
      <w:hyperlink w:anchor="_Toc4821" w:history="1">
        <w:r>
          <w:rPr>
            <w:rFonts w:ascii="仿宋" w:eastAsia="仿宋" w:hAnsi="仿宋" w:cs="仿宋" w:hint="eastAsia"/>
            <w:lang w:eastAsia="zh-CN"/>
          </w:rPr>
          <w:t>(五)、废弃物处理</w:t>
        </w:r>
        <w:r>
          <w:tab/>
        </w:r>
        <w:r>
          <w:fldChar w:fldCharType="begin"/>
        </w:r>
        <w:r>
          <w:instrText xml:space="preserve"> PAGEREF _Toc4821 \h </w:instrText>
        </w:r>
        <w:r>
          <w:fldChar w:fldCharType="separate"/>
        </w:r>
        <w:r>
          <w:t>38</w:t>
        </w:r>
        <w:r>
          <w:fldChar w:fldCharType="end"/>
        </w:r>
      </w:hyperlink>
    </w:p>
    <w:p>
      <w:pPr>
        <w:pStyle w:val="TOC2"/>
        <w:tabs>
          <w:tab w:val="right" w:leader="dot" w:pos="8306"/>
        </w:tabs>
      </w:pPr>
      <w:hyperlink w:anchor="_Toc19857" w:history="1">
        <w:r>
          <w:rPr>
            <w:rFonts w:ascii="仿宋" w:eastAsia="仿宋" w:hAnsi="仿宋" w:cs="仿宋" w:hint="eastAsia"/>
            <w:lang w:eastAsia="zh-CN"/>
          </w:rPr>
          <w:t>(六)、特殊环境影响分析</w:t>
        </w:r>
        <w:r>
          <w:tab/>
        </w:r>
        <w:r>
          <w:fldChar w:fldCharType="begin"/>
        </w:r>
        <w:r>
          <w:instrText xml:space="preserve"> PAGEREF _Toc19857 \h </w:instrText>
        </w:r>
        <w:r>
          <w:fldChar w:fldCharType="separate"/>
        </w:r>
        <w:r>
          <w:t>39</w:t>
        </w:r>
        <w:r>
          <w:fldChar w:fldCharType="end"/>
        </w:r>
      </w:hyperlink>
    </w:p>
    <w:p>
      <w:pPr>
        <w:pStyle w:val="TOC2"/>
        <w:tabs>
          <w:tab w:val="right" w:leader="dot" w:pos="8306"/>
        </w:tabs>
      </w:pPr>
      <w:hyperlink w:anchor="_Toc32254" w:history="1">
        <w:r>
          <w:rPr>
            <w:rFonts w:ascii="仿宋" w:eastAsia="仿宋" w:hAnsi="仿宋" w:cs="仿宋" w:hint="eastAsia"/>
            <w:lang w:eastAsia="zh-CN"/>
          </w:rPr>
          <w:t>(七)、清洁生产</w:t>
        </w:r>
        <w:r>
          <w:tab/>
        </w:r>
        <w:r>
          <w:fldChar w:fldCharType="begin"/>
        </w:r>
        <w:r>
          <w:instrText xml:space="preserve"> PAGEREF _Toc32254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45" w:history="1">
        <w:r>
          <w:rPr>
            <w:rFonts w:ascii="仿宋" w:eastAsia="仿宋" w:hAnsi="仿宋" w:cs="仿宋" w:hint="eastAsia"/>
            <w:lang w:eastAsia="zh-CN"/>
          </w:rPr>
          <w:t>(八)、环境保护综合评价</w:t>
        </w:r>
        <w:r>
          <w:tab/>
        </w:r>
        <w:r>
          <w:fldChar w:fldCharType="begin"/>
        </w:r>
        <w:r>
          <w:instrText xml:space="preserve"> PAGEREF _Toc19845 \h </w:instrText>
        </w:r>
        <w:r>
          <w:fldChar w:fldCharType="separate"/>
        </w:r>
        <w:r>
          <w:t>42</w:t>
        </w:r>
        <w:r>
          <w:fldChar w:fldCharType="end"/>
        </w:r>
      </w:hyperlink>
    </w:p>
    <w:p>
      <w:pPr>
        <w:pStyle w:val="TOC1"/>
        <w:tabs>
          <w:tab w:val="right" w:leader="dot" w:pos="8306"/>
        </w:tabs>
      </w:pPr>
      <w:hyperlink w:anchor="_Toc29818" w:history="1">
        <w:r>
          <w:rPr>
            <w:rFonts w:ascii="仿宋" w:eastAsia="仿宋" w:hAnsi="仿宋" w:cs="仿宋" w:hint="eastAsia"/>
            <w:lang w:eastAsia="zh-CN"/>
          </w:rPr>
          <w:t>十、数控石油深井测井仪项目风险管理</w:t>
        </w:r>
        <w:r>
          <w:tab/>
        </w:r>
        <w:r>
          <w:fldChar w:fldCharType="begin"/>
        </w:r>
        <w:r>
          <w:instrText xml:space="preserve"> PAGEREF _Toc29818 \h </w:instrText>
        </w:r>
        <w:r>
          <w:fldChar w:fldCharType="separate"/>
        </w:r>
        <w:r>
          <w:t>43</w:t>
        </w:r>
        <w:r>
          <w:fldChar w:fldCharType="end"/>
        </w:r>
      </w:hyperlink>
    </w:p>
    <w:p>
      <w:pPr>
        <w:pStyle w:val="TOC2"/>
        <w:tabs>
          <w:tab w:val="right" w:leader="dot" w:pos="8306"/>
        </w:tabs>
      </w:pPr>
      <w:hyperlink w:anchor="_Toc22321" w:history="1">
        <w:r>
          <w:rPr>
            <w:rFonts w:ascii="仿宋" w:eastAsia="仿宋" w:hAnsi="仿宋" w:cs="仿宋" w:hint="eastAsia"/>
            <w:lang w:eastAsia="zh-CN"/>
          </w:rPr>
          <w:t>(一)、风险识别与评估</w:t>
        </w:r>
        <w:r>
          <w:tab/>
        </w:r>
        <w:r>
          <w:fldChar w:fldCharType="begin"/>
        </w:r>
        <w:r>
          <w:instrText xml:space="preserve"> PAGEREF _Toc22321 \h </w:instrText>
        </w:r>
        <w:r>
          <w:fldChar w:fldCharType="separate"/>
        </w:r>
        <w:r>
          <w:t>43</w:t>
        </w:r>
        <w:r>
          <w:fldChar w:fldCharType="end"/>
        </w:r>
      </w:hyperlink>
    </w:p>
    <w:p>
      <w:pPr>
        <w:pStyle w:val="TOC2"/>
        <w:tabs>
          <w:tab w:val="right" w:leader="dot" w:pos="8306"/>
        </w:tabs>
      </w:pPr>
      <w:hyperlink w:anchor="_Toc8119" w:history="1">
        <w:r>
          <w:rPr>
            <w:rFonts w:ascii="仿宋" w:eastAsia="仿宋" w:hAnsi="仿宋" w:cs="仿宋" w:hint="eastAsia"/>
            <w:lang w:eastAsia="zh-CN"/>
          </w:rPr>
          <w:t>(二)、风险应对策略</w:t>
        </w:r>
        <w:r>
          <w:tab/>
        </w:r>
        <w:r>
          <w:fldChar w:fldCharType="begin"/>
        </w:r>
        <w:r>
          <w:instrText xml:space="preserve"> PAGEREF _Toc8119 \h </w:instrText>
        </w:r>
        <w:r>
          <w:fldChar w:fldCharType="separate"/>
        </w:r>
        <w:r>
          <w:t>44</w:t>
        </w:r>
        <w:r>
          <w:fldChar w:fldCharType="end"/>
        </w:r>
      </w:hyperlink>
    </w:p>
    <w:p>
      <w:pPr>
        <w:pStyle w:val="TOC2"/>
        <w:tabs>
          <w:tab w:val="right" w:leader="dot" w:pos="8306"/>
        </w:tabs>
      </w:pPr>
      <w:hyperlink w:anchor="_Toc19925" w:history="1">
        <w:r>
          <w:rPr>
            <w:rFonts w:ascii="仿宋" w:eastAsia="仿宋" w:hAnsi="仿宋" w:cs="仿宋" w:hint="eastAsia"/>
            <w:lang w:eastAsia="zh-CN"/>
          </w:rPr>
          <w:t>(三)、风险监控与控制</w:t>
        </w:r>
        <w:r>
          <w:tab/>
        </w:r>
        <w:r>
          <w:fldChar w:fldCharType="begin"/>
        </w:r>
        <w:r>
          <w:instrText xml:space="preserve"> PAGEREF _Toc19925 \h </w:instrText>
        </w:r>
        <w:r>
          <w:fldChar w:fldCharType="separate"/>
        </w:r>
        <w:r>
          <w:t>46</w:t>
        </w:r>
        <w:r>
          <w:fldChar w:fldCharType="end"/>
        </w:r>
      </w:hyperlink>
    </w:p>
    <w:p>
      <w:pPr>
        <w:pStyle w:val="TOC1"/>
        <w:tabs>
          <w:tab w:val="right" w:leader="dot" w:pos="8306"/>
        </w:tabs>
      </w:pPr>
      <w:hyperlink w:anchor="_Toc24410" w:history="1">
        <w:r>
          <w:rPr>
            <w:rFonts w:ascii="仿宋" w:eastAsia="仿宋" w:hAnsi="仿宋" w:cs="仿宋" w:hint="eastAsia"/>
            <w:lang w:eastAsia="zh-CN"/>
          </w:rPr>
          <w:t>十一、数控石油深井测井仪项目社会影响</w:t>
        </w:r>
        <w:r>
          <w:tab/>
        </w:r>
        <w:r>
          <w:fldChar w:fldCharType="begin"/>
        </w:r>
        <w:r>
          <w:instrText xml:space="preserve"> PAGEREF _Toc24410 \h </w:instrText>
        </w:r>
        <w:r>
          <w:fldChar w:fldCharType="separate"/>
        </w:r>
        <w:r>
          <w:t>47</w:t>
        </w:r>
        <w:r>
          <w:fldChar w:fldCharType="end"/>
        </w:r>
      </w:hyperlink>
    </w:p>
    <w:p>
      <w:pPr>
        <w:pStyle w:val="TOC2"/>
        <w:tabs>
          <w:tab w:val="right" w:leader="dot" w:pos="8306"/>
        </w:tabs>
      </w:pPr>
      <w:hyperlink w:anchor="_Toc32348" w:history="1">
        <w:r>
          <w:rPr>
            <w:rFonts w:ascii="仿宋" w:eastAsia="仿宋" w:hAnsi="仿宋" w:cs="仿宋" w:hint="eastAsia"/>
            <w:lang w:eastAsia="zh-CN"/>
          </w:rPr>
          <w:t>(一)、社会责任与义务</w:t>
        </w:r>
        <w:r>
          <w:tab/>
        </w:r>
        <w:r>
          <w:fldChar w:fldCharType="begin"/>
        </w:r>
        <w:r>
          <w:instrText xml:space="preserve"> PAGEREF _Toc32348 \h </w:instrText>
        </w:r>
        <w:r>
          <w:fldChar w:fldCharType="separate"/>
        </w:r>
        <w:r>
          <w:t>47</w:t>
        </w:r>
        <w:r>
          <w:fldChar w:fldCharType="end"/>
        </w:r>
      </w:hyperlink>
    </w:p>
    <w:p>
      <w:pPr>
        <w:pStyle w:val="TOC2"/>
        <w:tabs>
          <w:tab w:val="right" w:leader="dot" w:pos="8306"/>
        </w:tabs>
      </w:pPr>
      <w:hyperlink w:anchor="_Toc28950" w:history="1">
        <w:r>
          <w:rPr>
            <w:rFonts w:ascii="仿宋" w:eastAsia="仿宋" w:hAnsi="仿宋" w:cs="仿宋" w:hint="eastAsia"/>
            <w:lang w:eastAsia="zh-CN"/>
          </w:rPr>
          <w:t>(二)、社会参与与沟通</w:t>
        </w:r>
        <w:r>
          <w:tab/>
        </w:r>
        <w:r>
          <w:fldChar w:fldCharType="begin"/>
        </w:r>
        <w:r>
          <w:instrText xml:space="preserve"> PAGEREF _Toc28950 \h </w:instrText>
        </w:r>
        <w:r>
          <w:fldChar w:fldCharType="separate"/>
        </w:r>
        <w:r>
          <w:t>48</w:t>
        </w:r>
        <w:r>
          <w:fldChar w:fldCharType="end"/>
        </w:r>
      </w:hyperlink>
    </w:p>
    <w:p>
      <w:pPr>
        <w:pStyle w:val="TOC1"/>
        <w:tabs>
          <w:tab w:val="right" w:leader="dot" w:pos="8306"/>
        </w:tabs>
      </w:pPr>
      <w:hyperlink w:anchor="_Toc2647" w:history="1">
        <w:r>
          <w:rPr>
            <w:rFonts w:ascii="仿宋" w:eastAsia="仿宋" w:hAnsi="仿宋" w:cs="仿宋" w:hint="eastAsia"/>
            <w:lang w:eastAsia="zh-CN"/>
          </w:rPr>
          <w:t>十二、数控石油深井测井仪项目人力资源管理</w:t>
        </w:r>
        <w:r>
          <w:tab/>
        </w:r>
        <w:r>
          <w:fldChar w:fldCharType="begin"/>
        </w:r>
        <w:r>
          <w:instrText xml:space="preserve"> PAGEREF _Toc2647 \h </w:instrText>
        </w:r>
        <w:r>
          <w:fldChar w:fldCharType="separate"/>
        </w:r>
        <w:r>
          <w:t>49</w:t>
        </w:r>
        <w:r>
          <w:fldChar w:fldCharType="end"/>
        </w:r>
      </w:hyperlink>
    </w:p>
    <w:p>
      <w:pPr>
        <w:pStyle w:val="TOC2"/>
        <w:tabs>
          <w:tab w:val="right" w:leader="dot" w:pos="8306"/>
        </w:tabs>
      </w:pPr>
      <w:hyperlink w:anchor="_Toc2102" w:history="1">
        <w:r>
          <w:rPr>
            <w:rFonts w:ascii="仿宋" w:eastAsia="仿宋" w:hAnsi="仿宋" w:cs="仿宋" w:hint="eastAsia"/>
            <w:lang w:eastAsia="zh-CN"/>
          </w:rPr>
          <w:t>(一)、建立健全的预算管理制度</w:t>
        </w:r>
        <w:r>
          <w:tab/>
        </w:r>
        <w:r>
          <w:fldChar w:fldCharType="begin"/>
        </w:r>
        <w:r>
          <w:instrText xml:space="preserve"> PAGEREF _Toc2102 \h </w:instrText>
        </w:r>
        <w:r>
          <w:fldChar w:fldCharType="separate"/>
        </w:r>
        <w:r>
          <w:t>49</w:t>
        </w:r>
        <w:r>
          <w:fldChar w:fldCharType="end"/>
        </w:r>
      </w:hyperlink>
    </w:p>
    <w:p>
      <w:pPr>
        <w:pStyle w:val="TOC2"/>
        <w:tabs>
          <w:tab w:val="right" w:leader="dot" w:pos="8306"/>
        </w:tabs>
      </w:pPr>
      <w:hyperlink w:anchor="_Toc6110" w:history="1">
        <w:r>
          <w:rPr>
            <w:rFonts w:ascii="仿宋" w:eastAsia="仿宋" w:hAnsi="仿宋" w:cs="仿宋" w:hint="eastAsia"/>
            <w:lang w:eastAsia="zh-CN"/>
          </w:rPr>
          <w:t>(二)、加强资金流动监控</w:t>
        </w:r>
        <w:r>
          <w:tab/>
        </w:r>
        <w:r>
          <w:fldChar w:fldCharType="begin"/>
        </w:r>
        <w:r>
          <w:instrText xml:space="preserve"> PAGEREF _Toc6110 \h </w:instrText>
        </w:r>
        <w:r>
          <w:fldChar w:fldCharType="separate"/>
        </w:r>
        <w:r>
          <w:t>51</w:t>
        </w:r>
        <w:r>
          <w:fldChar w:fldCharType="end"/>
        </w:r>
      </w:hyperlink>
    </w:p>
    <w:p>
      <w:pPr>
        <w:pStyle w:val="TOC2"/>
        <w:tabs>
          <w:tab w:val="right" w:leader="dot" w:pos="8306"/>
        </w:tabs>
      </w:pPr>
      <w:hyperlink w:anchor="_Toc23177" w:history="1">
        <w:r>
          <w:rPr>
            <w:rFonts w:ascii="仿宋" w:eastAsia="仿宋" w:hAnsi="仿宋" w:cs="仿宋" w:hint="eastAsia"/>
            <w:lang w:eastAsia="zh-CN"/>
          </w:rPr>
          <w:t>(三)、制定完善的风险控制机制</w:t>
        </w:r>
        <w:r>
          <w:tab/>
        </w:r>
        <w:r>
          <w:fldChar w:fldCharType="begin"/>
        </w:r>
        <w:r>
          <w:instrText xml:space="preserve"> PAGEREF _Toc23177 \h </w:instrText>
        </w:r>
        <w:r>
          <w:fldChar w:fldCharType="separate"/>
        </w:r>
        <w:r>
          <w:t>52</w:t>
        </w:r>
        <w:r>
          <w:fldChar w:fldCharType="end"/>
        </w:r>
      </w:hyperlink>
    </w:p>
    <w:p>
      <w:pPr>
        <w:pStyle w:val="TOC2"/>
        <w:tabs>
          <w:tab w:val="right" w:leader="dot" w:pos="8306"/>
        </w:tabs>
      </w:pPr>
      <w:hyperlink w:anchor="_Toc21842" w:history="1">
        <w:r>
          <w:rPr>
            <w:rFonts w:ascii="仿宋" w:eastAsia="仿宋" w:hAnsi="仿宋" w:cs="仿宋" w:hint="eastAsia"/>
            <w:lang w:eastAsia="zh-CN"/>
          </w:rPr>
          <w:t>(四)、优化成本管理</w:t>
        </w:r>
        <w:r>
          <w:tab/>
        </w:r>
        <w:r>
          <w:fldChar w:fldCharType="begin"/>
        </w:r>
        <w:r>
          <w:instrText xml:space="preserve"> PAGEREF _Toc21842 \h </w:instrText>
        </w:r>
        <w:r>
          <w:fldChar w:fldCharType="separate"/>
        </w:r>
        <w:r>
          <w:t>53</w:t>
        </w:r>
        <w:r>
          <w:fldChar w:fldCharType="end"/>
        </w:r>
      </w:hyperlink>
    </w:p>
    <w:p>
      <w:pPr>
        <w:pStyle w:val="TOC1"/>
        <w:tabs>
          <w:tab w:val="right" w:leader="dot" w:pos="8306"/>
        </w:tabs>
      </w:pPr>
      <w:hyperlink w:anchor="_Toc5514" w:history="1">
        <w:r>
          <w:rPr>
            <w:rFonts w:ascii="仿宋" w:eastAsia="仿宋" w:hAnsi="仿宋" w:cs="仿宋" w:hint="eastAsia"/>
            <w:lang w:eastAsia="zh-CN"/>
          </w:rPr>
          <w:t>十三、营销与推广策略</w:t>
        </w:r>
        <w:r>
          <w:tab/>
        </w:r>
        <w:r>
          <w:fldChar w:fldCharType="begin"/>
        </w:r>
        <w:r>
          <w:instrText xml:space="preserve"> PAGEREF _Toc5514 \h </w:instrText>
        </w:r>
        <w:r>
          <w:fldChar w:fldCharType="separate"/>
        </w:r>
        <w:r>
          <w:t>55</w:t>
        </w:r>
        <w:r>
          <w:fldChar w:fldCharType="end"/>
        </w:r>
      </w:hyperlink>
    </w:p>
    <w:p>
      <w:pPr>
        <w:pStyle w:val="TOC2"/>
        <w:tabs>
          <w:tab w:val="right" w:leader="dot" w:pos="8306"/>
        </w:tabs>
      </w:pPr>
      <w:hyperlink w:anchor="_Toc6231" w:history="1">
        <w:r>
          <w:rPr>
            <w:rFonts w:ascii="仿宋" w:eastAsia="仿宋" w:hAnsi="仿宋" w:cs="仿宋" w:hint="eastAsia"/>
            <w:lang w:eastAsia="zh-CN"/>
          </w:rPr>
          <w:t>(一)、产品/服务定位与特点</w:t>
        </w:r>
        <w:r>
          <w:tab/>
        </w:r>
        <w:r>
          <w:fldChar w:fldCharType="begin"/>
        </w:r>
        <w:r>
          <w:instrText xml:space="preserve"> PAGEREF _Toc6231 \h </w:instrText>
        </w:r>
        <w:r>
          <w:fldChar w:fldCharType="separate"/>
        </w:r>
        <w:r>
          <w:t>55</w:t>
        </w:r>
        <w:r>
          <w:fldChar w:fldCharType="end"/>
        </w:r>
      </w:hyperlink>
    </w:p>
    <w:p>
      <w:pPr>
        <w:pStyle w:val="TOC2"/>
        <w:tabs>
          <w:tab w:val="right" w:leader="dot" w:pos="8306"/>
        </w:tabs>
      </w:pPr>
      <w:hyperlink w:anchor="_Toc1537" w:history="1">
        <w:r>
          <w:rPr>
            <w:rFonts w:ascii="仿宋" w:eastAsia="仿宋" w:hAnsi="仿宋" w:cs="仿宋" w:hint="eastAsia"/>
            <w:lang w:eastAsia="zh-CN"/>
          </w:rPr>
          <w:t>(二)、市场定位与竞争分析</w:t>
        </w:r>
        <w:r>
          <w:tab/>
        </w:r>
        <w:r>
          <w:fldChar w:fldCharType="begin"/>
        </w:r>
        <w:r>
          <w:instrText xml:space="preserve"> PAGEREF _Toc1537 \h </w:instrText>
        </w:r>
        <w:r>
          <w:fldChar w:fldCharType="separate"/>
        </w:r>
        <w:r>
          <w:t>56</w:t>
        </w:r>
        <w:r>
          <w:fldChar w:fldCharType="end"/>
        </w:r>
      </w:hyperlink>
    </w:p>
    <w:p>
      <w:pPr>
        <w:pStyle w:val="TOC2"/>
        <w:tabs>
          <w:tab w:val="right" w:leader="dot" w:pos="8306"/>
        </w:tabs>
      </w:pPr>
      <w:hyperlink w:anchor="_Toc22915" w:history="1">
        <w:r>
          <w:rPr>
            <w:rFonts w:ascii="仿宋" w:eastAsia="仿宋" w:hAnsi="仿宋" w:cs="仿宋" w:hint="eastAsia"/>
            <w:lang w:eastAsia="zh-CN"/>
          </w:rPr>
          <w:t>(三)、营销渠道与策略</w:t>
        </w:r>
        <w:r>
          <w:tab/>
        </w:r>
        <w:r>
          <w:fldChar w:fldCharType="begin"/>
        </w:r>
        <w:r>
          <w:instrText xml:space="preserve"> PAGEREF _Toc22915 \h </w:instrText>
        </w:r>
        <w:r>
          <w:fldChar w:fldCharType="separate"/>
        </w:r>
        <w:r>
          <w:t>58</w:t>
        </w:r>
        <w:r>
          <w:fldChar w:fldCharType="end"/>
        </w:r>
      </w:hyperlink>
    </w:p>
    <w:p>
      <w:pPr>
        <w:pStyle w:val="TOC2"/>
        <w:tabs>
          <w:tab w:val="right" w:leader="dot" w:pos="8306"/>
        </w:tabs>
      </w:pPr>
      <w:hyperlink w:anchor="_Toc19822" w:history="1">
        <w:r>
          <w:rPr>
            <w:rFonts w:ascii="仿宋" w:eastAsia="仿宋" w:hAnsi="仿宋" w:cs="仿宋" w:hint="eastAsia"/>
            <w:lang w:eastAsia="zh-CN"/>
          </w:rPr>
          <w:t>(四)、推广与宣传活动</w:t>
        </w:r>
        <w:r>
          <w:tab/>
        </w:r>
        <w:r>
          <w:fldChar w:fldCharType="begin"/>
        </w:r>
        <w:r>
          <w:instrText xml:space="preserve"> PAGEREF _Toc19822 \h </w:instrText>
        </w:r>
        <w:r>
          <w:fldChar w:fldCharType="separate"/>
        </w:r>
        <w:r>
          <w:t>59</w:t>
        </w:r>
        <w:r>
          <w:fldChar w:fldCharType="end"/>
        </w:r>
      </w:hyperlink>
    </w:p>
    <w:p>
      <w:pPr>
        <w:pStyle w:val="TOC1"/>
        <w:tabs>
          <w:tab w:val="right" w:leader="dot" w:pos="8306"/>
        </w:tabs>
      </w:pPr>
      <w:hyperlink w:anchor="_Toc6798" w:history="1">
        <w:r>
          <w:rPr>
            <w:rFonts w:ascii="仿宋" w:eastAsia="仿宋" w:hAnsi="仿宋" w:cs="仿宋" w:hint="eastAsia"/>
            <w:lang w:eastAsia="zh-CN"/>
          </w:rPr>
          <w:t>十四、数控石油深井测井仪项目实施时间节点</w:t>
        </w:r>
        <w:r>
          <w:tab/>
        </w:r>
        <w:r>
          <w:fldChar w:fldCharType="begin"/>
        </w:r>
        <w:r>
          <w:instrText xml:space="preserve"> PAGEREF _Toc6798 \h </w:instrText>
        </w:r>
        <w:r>
          <w:fldChar w:fldCharType="separate"/>
        </w:r>
        <w:r>
          <w:t>64</w:t>
        </w:r>
        <w:r>
          <w:fldChar w:fldCharType="end"/>
        </w:r>
      </w:hyperlink>
    </w:p>
    <w:p>
      <w:pPr>
        <w:pStyle w:val="TOC2"/>
        <w:tabs>
          <w:tab w:val="right" w:leader="dot" w:pos="8306"/>
        </w:tabs>
      </w:pPr>
      <w:hyperlink w:anchor="_Toc7159" w:history="1">
        <w:r>
          <w:rPr>
            <w:rFonts w:ascii="仿宋" w:eastAsia="仿宋" w:hAnsi="仿宋" w:cs="仿宋" w:hint="eastAsia"/>
            <w:lang w:eastAsia="zh-CN"/>
          </w:rPr>
          <w:t>(一)、数控石油深井测井仪项目启动阶段时间节点</w:t>
        </w:r>
        <w:r>
          <w:tab/>
        </w:r>
        <w:r>
          <w:fldChar w:fldCharType="begin"/>
        </w:r>
        <w:r>
          <w:instrText xml:space="preserve"> PAGEREF _Toc7159 \h </w:instrText>
        </w:r>
        <w:r>
          <w:fldChar w:fldCharType="separate"/>
        </w:r>
        <w:r>
          <w:t>64</w:t>
        </w:r>
        <w:r>
          <w:fldChar w:fldCharType="end"/>
        </w:r>
      </w:hyperlink>
    </w:p>
    <w:p>
      <w:pPr>
        <w:pStyle w:val="TOC2"/>
        <w:tabs>
          <w:tab w:val="right" w:leader="dot" w:pos="8306"/>
        </w:tabs>
      </w:pPr>
      <w:hyperlink w:anchor="_Toc29456" w:history="1">
        <w:r>
          <w:rPr>
            <w:rFonts w:ascii="仿宋" w:eastAsia="仿宋" w:hAnsi="仿宋" w:cs="仿宋" w:hint="eastAsia"/>
            <w:lang w:eastAsia="zh-CN"/>
          </w:rPr>
          <w:t>(二)、数控石油深井测井仪项目执行阶段时间节点</w:t>
        </w:r>
        <w:r>
          <w:tab/>
        </w:r>
        <w:r>
          <w:fldChar w:fldCharType="begin"/>
        </w:r>
        <w:r>
          <w:instrText xml:space="preserve"> PAGEREF _Toc29456 \h </w:instrText>
        </w:r>
        <w:r>
          <w:fldChar w:fldCharType="separate"/>
        </w:r>
        <w:r>
          <w:t>65</w:t>
        </w:r>
        <w:r>
          <w:fldChar w:fldCharType="end"/>
        </w:r>
      </w:hyperlink>
    </w:p>
    <w:p>
      <w:pPr>
        <w:pStyle w:val="TOC2"/>
        <w:tabs>
          <w:tab w:val="right" w:leader="dot" w:pos="8306"/>
        </w:tabs>
      </w:pPr>
      <w:hyperlink w:anchor="_Toc23226" w:history="1">
        <w:r>
          <w:rPr>
            <w:rFonts w:ascii="仿宋" w:eastAsia="仿宋" w:hAnsi="仿宋" w:cs="仿宋" w:hint="eastAsia"/>
            <w:lang w:eastAsia="zh-CN"/>
          </w:rPr>
          <w:t>(三)、数控石油深井测井仪项目完成阶段时间节点</w:t>
        </w:r>
        <w:r>
          <w:tab/>
        </w:r>
        <w:r>
          <w:fldChar w:fldCharType="begin"/>
        </w:r>
        <w:r>
          <w:instrText xml:space="preserve"> PAGEREF _Toc23226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13"/>
      <w:r>
        <w:rPr>
          <w:rFonts w:ascii="仿宋" w:eastAsia="仿宋" w:hAnsi="仿宋" w:cs="仿宋" w:hint="eastAsia"/>
          <w:sz w:val="28"/>
          <w:lang w:eastAsia="zh-CN"/>
        </w:rPr>
        <w:t>一、数控石油深井测井仪项目绩效评估</w:t>
      </w:r>
      <w:bookmarkEnd w:id="2"/>
    </w:p>
    <w:p>
      <w:pPr>
        <w:pStyle w:val="Heading2"/>
        <w:rPr>
          <w:rFonts w:ascii="仿宋" w:eastAsia="仿宋" w:hAnsi="仿宋" w:cs="仿宋" w:hint="eastAsia"/>
          <w:lang w:eastAsia="zh-CN"/>
        </w:rPr>
      </w:pPr>
      <w:bookmarkStart w:id="3" w:name="_Toc2519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项目中，我们设计了一套全面的绩效评估指标，以确保数控石油深井测井仪项目的可控和成功交付。这些指标跨足数控石油深井测井仪项目目标、成本、进度和质量等多个维度，为我们提供了全面洞察数控石油深井测井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石油深井测井仪项目目标达成率是我们关注的首要指标。我们设定了明确的目标，并通过定期监测和评估，迅速发现并应对潜在的目标偏差。这为数控石油深井测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成本绩效是另一个核心关注点。通过实际成本与预算成本的对比分析，我们深入了解成本差异的原因，及时调整资源分配，保持数控石油深井测井仪项目在经济效益方面的合理水平。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石油深井测井仪项目进度作为关键的绩效指标之一，得到了精心的关注。我们制定了详细的数控石油深井测井仪项目进度计划，并设立了进度符合度指标，确保实际进度与计划进度保持一致。这使我们能够快速发现和解决潜在的进度问题，保持数控石油深井测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石油深井测井仪项目绩效的不可或缺的一环。我们引入了一系列的质量标准和客户满意度指标，以确保数控石油深井测井仪项目交付的成果在质量上达到或超越预期水平。通过持续监测这些指标，我们努力提升数控石油深井测井仪项目整体质量水平，为数控石油深井测井仪项目的成功交付提供有力保障。通过这些科学且全面的绩效评估，我们能够更好地引导数控石油深井测井仪项目的持续改进，确保数控石油深井测井仪项目目标的顺利达成。</w:t>
      </w:r>
    </w:p>
    <w:p>
      <w:pPr>
        <w:pStyle w:val="Heading2"/>
        <w:ind w:firstLine="560" w:firstLineChars="200"/>
        <w:rPr>
          <w:rFonts w:ascii="仿宋" w:eastAsia="仿宋" w:hAnsi="仿宋" w:cs="仿宋" w:hint="eastAsia"/>
          <w:sz w:val="28"/>
          <w:lang w:eastAsia="zh-CN"/>
        </w:rPr>
      </w:pPr>
      <w:bookmarkStart w:id="4" w:name="_Toc2795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绩效评估是数控石油深井测井仪项目中的关键环节，为确保数控石油深井测井仪项目达到预期目标，我们采用了多层次、多维度的绩效评估方法。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石油深井测井仪项目的战略目标对齐，确保每个决策和行动都与数控石油深井测井仪项目整体目标保持一致。团队会定期召开战略对齐会议，审视当前工作与数控石油深井测井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石油深井测井仪项目进度、质量、成本和风险等方面。这些指标通过数据收集和分析，为数控石油深井测井仪项目管理团队提供了客观的评估依据。例如，我们通过数控石油深井测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石油深井测井仪项目内部，还考虑了数控石油深井测井仪项目对外部环境的影响。我们定期进行干系人满意度调查，以了解各利益相关方对数控石油深井测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这种多层次、多角度的绩效评估方法，使得我们能够全面了解数控石油深井测井仪项目的运行状态，及时做出调整，确保数控石油深井测井仪项目在不断变化的环境中保持稳健前行。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524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为了确保数控石油深井测井仪项目的有效管理和不断优化，我们采用了精心设计的绩效评估周期。这个周期旨在实现灵活、实时和全面的评估，以适应数控石油深井测井仪项目执行中的各种挑战。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石油深井测井仪项目的不同需求，分为短期、中期和长期。短期评估关注每个迭代或工作周期，以及时发现和解决当前任务中的问题。中期评估涵盖几个迭代，深入了解整体数控石油深井测井仪项目的趋势和性能。长期评估则着眼于整个数控石油深井测井仪项目阶段，确保数控石油深井测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石油深井测井仪项目管理工具和协作平台，团队成员能够随时更新和分享数控石油深井测井仪项目数据。这种实时性的反馈机制使我们能够及时察觉潜在问题，快速调整，保持数控石油深井测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石油深井测井仪项目的决策制定密不可分。每个周期的数控石油深井测井仪项目回顾会议成为集体总结经验、识别问题深层次原因并找到创新解决方案的平台。这种定期的反思与调整机制使数控石油深井测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697"/>
      <w:r>
        <w:rPr>
          <w:rFonts w:ascii="仿宋" w:eastAsia="仿宋" w:hAnsi="仿宋" w:cs="仿宋" w:hint="eastAsia"/>
          <w:sz w:val="28"/>
          <w:lang w:eastAsia="zh-CN"/>
        </w:rPr>
        <w:t>二、数控石油深井测井仪项目土建工程</w:t>
      </w:r>
      <w:bookmarkEnd w:id="6"/>
    </w:p>
    <w:p>
      <w:pPr>
        <w:pStyle w:val="Heading2"/>
        <w:rPr>
          <w:rFonts w:ascii="仿宋" w:eastAsia="仿宋" w:hAnsi="仿宋" w:cs="仿宋" w:hint="eastAsia"/>
          <w:lang w:eastAsia="zh-CN"/>
        </w:rPr>
      </w:pPr>
      <w:bookmarkStart w:id="7" w:name="_Toc1221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在数控石油深井测井仪项目的建筑工程设计中，我们将秉承一系列重要的设计原则，以确保数控石油深井测井仪项目建筑在功能、美观、可持续性等方面达到最佳效果。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首要原则是确保建筑的功能性得到最大化的发挥。我们将充分理解数控石油深井测井仪项目的实际需求，合理布局各个功能区域，保证建筑在满足业务需求的同时，提供高效的工作环境。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在建筑设计中，我们将综合考虑建设和运营成本。通过精细的经济效益分析，确保设计方案在高效利用资源的同时，对数控石油深井测井仪项目的长期盈利能力有积极的贡献。</w:t>
      </w:r>
    </w:p>
    <w:p>
      <w:pPr>
        <w:pStyle w:val="Heading2"/>
        <w:ind w:firstLine="560" w:firstLineChars="200"/>
        <w:rPr>
          <w:rFonts w:ascii="仿宋" w:eastAsia="仿宋" w:hAnsi="仿宋" w:cs="仿宋" w:hint="eastAsia"/>
          <w:sz w:val="28"/>
          <w:lang w:eastAsia="zh-CN"/>
        </w:rPr>
      </w:pPr>
      <w:bookmarkStart w:id="8" w:name="_Toc2907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项目的土建工程设计中，我们将精准设定设计年限，结合数控石油深井测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石油深井测井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820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石油深井测井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石油深井测井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石油深井测井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20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本期工程数控石油深井测井仪项目预计总建筑面积XXX平方米，其中：计容建筑面积XXX平方米，计划建筑工程投资XX万元，占数控石油深井测井仪项目总投资的XX%。</w:t>
      </w:r>
    </w:p>
    <w:p>
      <w:pPr>
        <w:pStyle w:val="Heading1"/>
        <w:ind w:firstLine="560" w:firstLineChars="200"/>
        <w:rPr>
          <w:rFonts w:ascii="仿宋" w:eastAsia="仿宋" w:hAnsi="仿宋" w:cs="仿宋" w:hint="eastAsia"/>
          <w:sz w:val="28"/>
          <w:lang w:eastAsia="zh-CN"/>
        </w:rPr>
      </w:pPr>
      <w:bookmarkStart w:id="11" w:name="_Toc28109"/>
      <w:r>
        <w:rPr>
          <w:rFonts w:ascii="仿宋" w:eastAsia="仿宋" w:hAnsi="仿宋" w:cs="仿宋" w:hint="eastAsia"/>
          <w:sz w:val="28"/>
          <w:lang w:eastAsia="zh-CN"/>
        </w:rPr>
        <w:t>三、数控石油深井测井仪项目文档管理</w:t>
      </w:r>
      <w:bookmarkEnd w:id="11"/>
    </w:p>
    <w:p>
      <w:pPr>
        <w:pStyle w:val="Heading2"/>
        <w:rPr>
          <w:rFonts w:ascii="仿宋" w:eastAsia="仿宋" w:hAnsi="仿宋" w:cs="仿宋" w:hint="eastAsia"/>
          <w:lang w:eastAsia="zh-CN"/>
        </w:rPr>
      </w:pPr>
      <w:bookmarkStart w:id="12" w:name="_Toc466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数控石油深井测井仪项目高度重视文档的质量和准确性，以支持数控石油深井测井仪项目的各项活动和决策。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石油深井测井仪项目文档的编制始于数控石油深井测井仪项目计划的初期，我们制定了详细的文档编制计划，明确了每个文档的内容、格式和编写责任人。在数控石油深井测井仪项目启动阶段，我们首先编制了数控石油深井测井仪项目章程，明确定义了数控石油深井测井仪项目的目标、范围、风险等关键要素。随后，数控石油深井测井仪项目团队根据计划陆续编制了需求文档、设计文档、测试文档等各类文档，确保数控石油深井测井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控石油深井测井仪项目管理中的重要环节，旨在确保数控石油深井测井仪项目文档符合质量标准和数控石油深井测井仪项目需求。在数控石油深井测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控石油深井测井仪项目相关利益方和专业领域的专家对文档进行独立审查。这有助于获取更全面、客观的反馈，确保数控石油深井测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石油深井测井仪项目在文档编制与审查方面建立了严格的管理机制，通过规范的流程和多维度的审查，确保数控石油深井测井仪项目文档的质量、准确性和可靠性，为数控石油深井测井仪项目的顺利推进提供了有力支持。</w:t>
      </w:r>
    </w:p>
    <w:p>
      <w:pPr>
        <w:pStyle w:val="Heading2"/>
        <w:ind w:firstLine="560" w:firstLineChars="200"/>
        <w:rPr>
          <w:rFonts w:ascii="仿宋" w:eastAsia="仿宋" w:hAnsi="仿宋" w:cs="仿宋" w:hint="eastAsia"/>
          <w:sz w:val="28"/>
          <w:lang w:eastAsia="zh-CN"/>
        </w:rPr>
      </w:pPr>
      <w:bookmarkStart w:id="13" w:name="_Toc2243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我们通过多渠道发布文档，包括电子邮件、数控石油深井测井仪项目管理平台、内部网站等，以满足不同团队成员的偏好和需求。多渠道发布确保了信息的全面覆盖。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我们采用了精细的权限控制，确保只有授权人员可以访问敏感信息。这种安全措施保护了数控石油深井测井仪项目文档的机密性，防止了未经授权的信息泄露。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75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控石油深井测井仪项目生命周期中一个至关重要的环节，直接关系到数控石油深井测井仪项目信息的长期保存和历史记录的完整性。在数控石油深井测井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893"/>
      <w:r>
        <w:rPr>
          <w:rFonts w:ascii="仿宋" w:eastAsia="仿宋" w:hAnsi="仿宋" w:cs="仿宋" w:hint="eastAsia"/>
          <w:sz w:val="28"/>
          <w:lang w:eastAsia="zh-CN"/>
        </w:rPr>
        <w:t>四、数控石油深井测井仪项目危机管理</w:t>
      </w:r>
      <w:bookmarkEnd w:id="15"/>
    </w:p>
    <w:p>
      <w:pPr>
        <w:pStyle w:val="Heading2"/>
        <w:rPr>
          <w:rFonts w:ascii="仿宋" w:eastAsia="仿宋" w:hAnsi="仿宋" w:cs="仿宋" w:hint="eastAsia"/>
          <w:lang w:eastAsia="zh-CN"/>
        </w:rPr>
      </w:pPr>
      <w:bookmarkStart w:id="16" w:name="_Toc2535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项目危机管理中，危机预警与识别是确保数控石油深井测井仪项目稳健运行的核心步骤。通过建立全面的监测机制，数控石油深井测井仪项目团队旨在及时发现和理解潜在的风险和危机因素，以便采取及时的预防和应对措施，确保数控石油深井测井仪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石油深井测井仪项目团队全面分析了整个数控石油深井测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石油深井测井仪项目团队着重于明确定义数控石油深井测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石油深井测井仪项目进展的持续监控，团队能够及时发现潜在问题并作出迅速反应。数控石油深井测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石油深井测井仪项目得以更有序、可控地推进。</w:t>
      </w:r>
    </w:p>
    <w:p>
      <w:pPr>
        <w:pStyle w:val="Heading2"/>
        <w:ind w:firstLine="560" w:firstLineChars="200"/>
        <w:rPr>
          <w:rFonts w:ascii="仿宋" w:eastAsia="仿宋" w:hAnsi="仿宋" w:cs="仿宋" w:hint="eastAsia"/>
          <w:sz w:val="28"/>
          <w:lang w:eastAsia="zh-CN"/>
        </w:rPr>
      </w:pPr>
      <w:bookmarkStart w:id="17" w:name="_Toc2982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在危机发生时，数控石油深井测井仪项目团队立即行动，成立了应急小组。该小组的任务是迅速制定并实施紧急应对措施，以最小化潜在损失。以下是采取的主要措施：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暂停数控石油深井测井仪项目进度：为遏制危机蔓延，数控石油深井测井仪项目暂时停止进行，以便全面评估当前状况。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资源重新分配：重新评估数控石油深井测井仪项目资源的分配，确保最大限度地减小损失。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实时沟通：与关键利益相关者建立实时沟通机制，向他们传递数控石油深井测井仪项目危机的实际状况，保障数控石油深井测井仪项目核心利益。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在紧急应对的同时，数控石油深井测井仪项目团队强调了团队协作和有效沟通的重要性。以下是团队协作的关键举措：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信息共享机制：建立了信息共享平台，确保团队成员能够及时获取数控石油深井测井仪项目危机的实时信息。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领导者沟通：数控石油深井测井仪项目领导者通过定期会议和即时沟通工具，指导团队应对危机，保持团队稳定运行。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随着危机得到初步控制，数控石油深井测井仪项目团队转向制定恢复计划，以确保数控石油深井测井仪项目能够从中迅速恢复。主要恢复计划包括：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修复受损的进度计划：重新评估数控石油深井测井仪项目进度，制定修复计划，确保数控石油深井测井仪项目尽快回归正常进程。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重新调整资源分配：优化资源分配，确保数控石油深井测井仪项目在有限资源下高效运转。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风险管理机制加强：对数控石油深井测井仪项目风险进行全面评估，制定更强化的风险管理策略，以预防未来可能的危机。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271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1152"/>
      <w:r>
        <w:rPr>
          <w:rFonts w:ascii="仿宋" w:eastAsia="仿宋" w:hAnsi="仿宋" w:cs="仿宋" w:hint="eastAsia"/>
          <w:lang w:eastAsia="zh-CN"/>
        </w:rPr>
        <w:t>(一)、数控石油深井测井仪行业分析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数控石油深井测井仪行业一直以来都是市场的关注焦点。行业内的发展趋势、竞争态势以及潜在机会都对数控石油深井测井仪项目的推进产生深远的影响。通过深入研究行业的整体概貌，我们将更好地理解行业的核心特征，为数控石油深井测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行业，技术一直是推动创新和发展的关键因素。我们将对当前技术趋势进行详尽分析，包括但不限于人工智能、大数据应用、先进制造技术等。这有助于数控石油深井测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石油深井测井仪项目成功的基础。我们将对主要竞争对手进行深入研究，包括其市场份额、产品特点、市场定位等。通过全面了解竞争对手的优势和劣势，数控石油深井测井仪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https://d.book118.com/598002030051006025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D476F"/>
    <w:rsid w:val="073D47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02030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2024-01-09T06:39:00Z</dcterms:created>
  <dcterms:modified xsi:type="dcterms:W3CDTF">2024-01-09T06:39:44Z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1C1F05DA8DD3490B8AEA5D6E96C5F0AD_11</vt:lpwstr>
  </property>
  <property fmtid="{D5CDD505-2E9C-101B-9397-08002B2CF9AE}" pid="3" name="KSOProductBuildVer">
    <vt:lpwstr>2052-12.1.0.16120</vt:lpwstr>
  </property>
</Properties>
</file>