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Pr>
          <w:rFonts w:hint="eastAsia"/>
        </w:rPr>
      </w:pPr>
    </w:p>
    <w:p>
      <w:pPr>
        <w:spacing w:line="360" w:lineRule="auto"/>
        <w:ind w:left="1540" w:hanging="1540" w:hangingChars="350"/>
        <w:jc w:val="center"/>
        <w:rPr>
          <w:rFonts w:eastAsia="黑体" w:hint="eastAsia"/>
          <w:sz w:val="44"/>
          <w:szCs w:val="44"/>
        </w:rPr>
      </w:pPr>
    </w:p>
    <w:p>
      <w:pPr>
        <w:spacing w:line="360" w:lineRule="auto"/>
        <w:ind w:left="1540" w:hanging="1540" w:hangingChars="350"/>
        <w:jc w:val="center"/>
        <w:rPr>
          <w:rFonts w:eastAsia="黑体" w:hint="eastAsia"/>
          <w:sz w:val="44"/>
          <w:szCs w:val="44"/>
        </w:rPr>
      </w:pPr>
    </w:p>
    <w:p>
      <w:pPr>
        <w:spacing w:line="360" w:lineRule="auto"/>
        <w:jc w:val="center"/>
        <w:rPr>
          <w:rFonts w:eastAsia="黑体" w:hint="eastAsia"/>
          <w:sz w:val="36"/>
          <w:szCs w:val="44"/>
        </w:rPr>
      </w:pPr>
      <w:r>
        <w:rPr>
          <w:rFonts w:eastAsia="黑体" w:hint="eastAsia"/>
          <w:sz w:val="36"/>
          <w:szCs w:val="44"/>
        </w:rPr>
        <w:t>江西永冠科技发展有限公司胶粘制品生产线建设项目</w:t>
      </w:r>
    </w:p>
    <w:p>
      <w:pPr>
        <w:spacing w:line="360" w:lineRule="auto"/>
        <w:jc w:val="distribute"/>
        <w:rPr>
          <w:spacing w:val="80"/>
          <w:sz w:val="80"/>
          <w:szCs w:val="80"/>
        </w:rPr>
      </w:pPr>
      <w:r>
        <w:rPr>
          <w:b/>
          <w:spacing w:val="80"/>
          <w:sz w:val="80"/>
          <w:szCs w:val="80"/>
        </w:rPr>
        <w:t>环境影响报告书</w:t>
      </w:r>
    </w:p>
    <w:p>
      <w:pPr>
        <w:spacing w:line="360" w:lineRule="auto"/>
        <w:jc w:val="center"/>
        <w:rPr>
          <w:rFonts w:hint="eastAsia"/>
          <w:b/>
          <w:sz w:val="30"/>
          <w:szCs w:val="30"/>
        </w:rPr>
      </w:pPr>
      <w:r>
        <w:rPr>
          <w:rFonts w:hint="eastAsia"/>
          <w:b/>
          <w:sz w:val="30"/>
          <w:szCs w:val="30"/>
        </w:rPr>
        <w:t>（简本）</w:t>
      </w:r>
    </w:p>
    <w:p>
      <w:pPr>
        <w:ind w:firstLine="600"/>
        <w:jc w:val="center"/>
        <w:rPr>
          <w:rFonts w:hint="eastAsia"/>
          <w:b/>
          <w:sz w:val="36"/>
        </w:rPr>
      </w:pPr>
    </w:p>
    <w:p>
      <w:pPr>
        <w:spacing w:line="500" w:lineRule="exact"/>
        <w:jc w:val="center"/>
        <w:rPr>
          <w:sz w:val="36"/>
        </w:rPr>
      </w:pPr>
    </w:p>
    <w:p>
      <w:pPr>
        <w:spacing w:line="500" w:lineRule="exact"/>
        <w:jc w:val="center"/>
        <w:rPr>
          <w:sz w:val="36"/>
        </w:rPr>
      </w:pPr>
    </w:p>
    <w:p>
      <w:pPr>
        <w:spacing w:line="500" w:lineRule="exact"/>
        <w:jc w:val="center"/>
        <w:rPr>
          <w:sz w:val="36"/>
        </w:rPr>
      </w:pPr>
    </w:p>
    <w:p>
      <w:pPr>
        <w:spacing w:line="500" w:lineRule="exact"/>
        <w:jc w:val="center"/>
        <w:rPr>
          <w:sz w:val="36"/>
        </w:rPr>
      </w:pPr>
    </w:p>
    <w:p>
      <w:pPr>
        <w:spacing w:line="500" w:lineRule="exact"/>
        <w:jc w:val="center"/>
        <w:rPr>
          <w:sz w:val="36"/>
        </w:rPr>
      </w:pPr>
    </w:p>
    <w:p>
      <w:pPr>
        <w:spacing w:line="500" w:lineRule="exact"/>
        <w:jc w:val="center"/>
        <w:rPr>
          <w:sz w:val="36"/>
        </w:rPr>
      </w:pPr>
    </w:p>
    <w:p>
      <w:pPr>
        <w:spacing w:line="500" w:lineRule="exact"/>
        <w:jc w:val="center"/>
        <w:rPr>
          <w:sz w:val="36"/>
        </w:rPr>
      </w:pPr>
    </w:p>
    <w:p>
      <w:pPr>
        <w:spacing w:line="500" w:lineRule="exact"/>
        <w:jc w:val="center"/>
        <w:rPr>
          <w:sz w:val="36"/>
        </w:rPr>
      </w:pPr>
    </w:p>
    <w:p>
      <w:pPr>
        <w:spacing w:line="500" w:lineRule="exact"/>
        <w:jc w:val="center"/>
        <w:rPr>
          <w:rFonts w:hint="eastAsia"/>
          <w:sz w:val="36"/>
        </w:rPr>
      </w:pPr>
    </w:p>
    <w:p>
      <w:pPr>
        <w:ind w:firstLine="600"/>
        <w:jc w:val="center"/>
        <w:rPr>
          <w:rFonts w:hint="eastAsia"/>
          <w:b/>
          <w:sz w:val="36"/>
        </w:rPr>
      </w:pPr>
    </w:p>
    <w:p>
      <w:pPr>
        <w:ind w:firstLine="600"/>
        <w:jc w:val="center"/>
        <w:rPr>
          <w:rFonts w:hint="eastAsia"/>
          <w:b/>
          <w:sz w:val="36"/>
        </w:rPr>
      </w:pPr>
    </w:p>
    <w:p>
      <w:pPr>
        <w:spacing w:line="480" w:lineRule="auto"/>
        <w:ind w:right="10" w:rightChars="5"/>
        <w:jc w:val="center"/>
        <w:rPr>
          <w:rFonts w:hint="eastAsia"/>
          <w:b/>
          <w:sz w:val="30"/>
          <w:szCs w:val="30"/>
        </w:rPr>
      </w:pPr>
      <w:r>
        <w:rPr>
          <w:rFonts w:hint="eastAsia"/>
          <w:b/>
          <w:sz w:val="30"/>
          <w:szCs w:val="30"/>
        </w:rPr>
        <w:t>建设单位：江西永冠科技发展有限公司</w:t>
      </w:r>
    </w:p>
    <w:p>
      <w:pPr>
        <w:spacing w:line="480" w:lineRule="auto"/>
        <w:ind w:right="1926" w:firstLine="1569" w:rightChars="917" w:firstLineChars="523"/>
        <w:rPr>
          <w:rFonts w:hint="eastAsia"/>
          <w:b/>
          <w:sz w:val="30"/>
          <w:szCs w:val="30"/>
        </w:rPr>
      </w:pPr>
      <w:r>
        <w:rPr>
          <w:b/>
          <w:sz w:val="30"/>
          <w:szCs w:val="30"/>
        </w:rPr>
        <w:t>评价单位：</w:t>
      </w:r>
      <w:r>
        <w:rPr>
          <w:rFonts w:hint="eastAsia"/>
          <w:b/>
          <w:sz w:val="32"/>
          <w:szCs w:val="32"/>
        </w:rPr>
        <w:t>南昌大学</w:t>
      </w:r>
    </w:p>
    <w:p>
      <w:pPr>
        <w:jc w:val="center"/>
        <w:rPr>
          <w:rFonts w:hint="eastAsia"/>
          <w:b/>
          <w:sz w:val="32"/>
          <w:szCs w:val="32"/>
        </w:rPr>
      </w:pPr>
    </w:p>
    <w:p>
      <w:pPr>
        <w:jc w:val="center"/>
        <w:rPr>
          <w:b/>
          <w:sz w:val="32"/>
          <w:szCs w:val="32"/>
        </w:rPr>
      </w:pPr>
      <w:r>
        <w:rPr>
          <w:b/>
          <w:sz w:val="32"/>
          <w:szCs w:val="32"/>
        </w:rPr>
        <w:t>二</w:t>
      </w:r>
      <w:r>
        <w:rPr>
          <w:b/>
          <w:snapToGrid w:val="0"/>
          <w:kern w:val="0"/>
          <w:sz w:val="32"/>
          <w:szCs w:val="32"/>
        </w:rPr>
        <w:t>O一</w:t>
      </w:r>
      <w:r>
        <w:rPr>
          <w:rFonts w:hint="eastAsia"/>
          <w:b/>
          <w:snapToGrid w:val="0"/>
          <w:kern w:val="0"/>
          <w:sz w:val="32"/>
          <w:szCs w:val="32"/>
        </w:rPr>
        <w:t>三</w:t>
      </w:r>
      <w:r>
        <w:rPr>
          <w:b/>
          <w:sz w:val="32"/>
          <w:szCs w:val="32"/>
        </w:rPr>
        <w:t>年</w:t>
      </w:r>
      <w:r>
        <w:rPr>
          <w:rFonts w:hint="eastAsia"/>
          <w:b/>
          <w:sz w:val="32"/>
          <w:szCs w:val="32"/>
        </w:rPr>
        <w:t>八</w:t>
      </w:r>
      <w:r>
        <w:rPr>
          <w:b/>
          <w:sz w:val="32"/>
          <w:szCs w:val="32"/>
        </w:rPr>
        <w:t>月</w:t>
      </w:r>
    </w:p>
    <w:p>
      <w:pPr>
        <w:jc w:val="center"/>
        <w:rPr>
          <w:b/>
          <w:sz w:val="32"/>
          <w:szCs w:val="32"/>
        </w:rPr>
        <w:sectPr>
          <w:headerReference w:type="default" r:id="rId4"/>
          <w:footerReference w:type="even" r:id="rId5"/>
          <w:pgSz w:w="11906" w:h="16838"/>
          <w:pgMar w:top="1440" w:right="1800" w:bottom="1440" w:left="1800" w:header="851" w:footer="936" w:gutter="0"/>
          <w:cols w:space="708"/>
          <w:docGrid w:linePitch="312"/>
        </w:sectPr>
      </w:pPr>
    </w:p>
    <w:p>
      <w:pPr>
        <w:spacing w:line="360" w:lineRule="auto"/>
        <w:ind w:left="1260" w:hanging="1260" w:hangingChars="350"/>
        <w:jc w:val="center"/>
        <w:rPr>
          <w:rFonts w:eastAsia="黑体" w:hint="eastAsia"/>
          <w:sz w:val="36"/>
          <w:szCs w:val="30"/>
        </w:rPr>
      </w:pPr>
    </w:p>
    <w:p>
      <w:pPr>
        <w:spacing w:line="720" w:lineRule="auto"/>
        <w:jc w:val="center"/>
        <w:rPr>
          <w:rFonts w:eastAsia="黑体" w:hint="eastAsia"/>
          <w:b/>
          <w:sz w:val="40"/>
          <w:szCs w:val="32"/>
        </w:rPr>
      </w:pPr>
      <w:r>
        <w:rPr>
          <w:rFonts w:eastAsia="黑体" w:hint="eastAsia"/>
          <w:b/>
          <w:sz w:val="40"/>
          <w:szCs w:val="32"/>
        </w:rPr>
        <w:t>目 录</w:t>
      </w:r>
    </w:p>
    <w:p>
      <w:pPr>
        <w:pStyle w:val="TOC1"/>
        <w:tabs>
          <w:tab w:val="right" w:leader="dot" w:pos="8296"/>
        </w:tabs>
        <w:spacing w:line="324" w:lineRule="auto"/>
        <w:rPr>
          <w:sz w:val="24"/>
        </w:rPr>
      </w:pPr>
      <w:r>
        <w:rPr>
          <w:sz w:val="24"/>
        </w:rPr>
        <w:fldChar w:fldCharType="begin"/>
      </w:r>
      <w:r>
        <w:rPr>
          <w:sz w:val="24"/>
        </w:rPr>
        <w:instrText xml:space="preserve"> TOC \o "1-2" \h \z \u </w:instrText>
      </w:r>
      <w:r>
        <w:rPr>
          <w:sz w:val="24"/>
        </w:rPr>
        <w:fldChar w:fldCharType="separate"/>
      </w:r>
      <w:hyperlink w:anchor="_Toc352235589" w:history="1">
        <w:r>
          <w:rPr>
            <w:rStyle w:val="Hyperlink"/>
            <w:rFonts w:hAnsi="宋体"/>
            <w:sz w:val="24"/>
          </w:rPr>
          <w:t>（一）建设项目概况</w:t>
        </w:r>
        <w:r>
          <w:rPr>
            <w:sz w:val="24"/>
          </w:rPr>
          <w:tab/>
        </w:r>
        <w:r>
          <w:rPr>
            <w:sz w:val="24"/>
          </w:rPr>
          <w:fldChar w:fldCharType="begin"/>
        </w:r>
        <w:r>
          <w:rPr>
            <w:sz w:val="24"/>
          </w:rPr>
          <w:instrText xml:space="preserve"> PAGEREF _Toc352235589 \h </w:instrText>
        </w:r>
        <w:r>
          <w:rPr>
            <w:sz w:val="24"/>
          </w:rPr>
          <w:fldChar w:fldCharType="separate"/>
        </w:r>
        <w:r>
          <w:rPr>
            <w:sz w:val="24"/>
          </w:rPr>
          <w:t>1</w:t>
        </w:r>
        <w:r>
          <w:rPr>
            <w:sz w:val="24"/>
          </w:rPr>
          <w:fldChar w:fldCharType="end"/>
        </w:r>
      </w:hyperlink>
    </w:p>
    <w:p>
      <w:pPr>
        <w:pStyle w:val="TOC2"/>
        <w:tabs>
          <w:tab w:val="right" w:leader="dot" w:pos="8296"/>
        </w:tabs>
        <w:spacing w:line="324" w:lineRule="auto"/>
        <w:rPr>
          <w:sz w:val="24"/>
        </w:rPr>
      </w:pPr>
      <w:hyperlink w:anchor="_Toc352235590" w:history="1">
        <w:r>
          <w:rPr>
            <w:rStyle w:val="Hyperlink"/>
            <w:sz w:val="24"/>
          </w:rPr>
          <w:t>1</w:t>
        </w:r>
        <w:r>
          <w:rPr>
            <w:rStyle w:val="Hyperlink"/>
            <w:rFonts w:hAnsi="宋体"/>
            <w:sz w:val="24"/>
          </w:rPr>
          <w:t>、建设项目的地点及相关背景</w:t>
        </w:r>
        <w:r>
          <w:rPr>
            <w:sz w:val="24"/>
          </w:rPr>
          <w:tab/>
        </w:r>
        <w:r>
          <w:rPr>
            <w:sz w:val="24"/>
          </w:rPr>
          <w:fldChar w:fldCharType="begin"/>
        </w:r>
        <w:r>
          <w:rPr>
            <w:sz w:val="24"/>
          </w:rPr>
          <w:instrText xml:space="preserve"> PAGEREF _Toc352235590 \h </w:instrText>
        </w:r>
        <w:r>
          <w:rPr>
            <w:sz w:val="24"/>
          </w:rPr>
          <w:fldChar w:fldCharType="separate"/>
        </w:r>
        <w:r>
          <w:rPr>
            <w:sz w:val="24"/>
          </w:rPr>
          <w:t>1</w:t>
        </w:r>
        <w:r>
          <w:rPr>
            <w:sz w:val="24"/>
          </w:rPr>
          <w:fldChar w:fldCharType="end"/>
        </w:r>
      </w:hyperlink>
    </w:p>
    <w:p>
      <w:pPr>
        <w:pStyle w:val="TOC2"/>
        <w:tabs>
          <w:tab w:val="right" w:leader="dot" w:pos="8296"/>
        </w:tabs>
        <w:spacing w:line="324" w:lineRule="auto"/>
        <w:rPr>
          <w:sz w:val="24"/>
        </w:rPr>
      </w:pPr>
      <w:hyperlink w:anchor="_Toc352235591" w:history="1">
        <w:r>
          <w:rPr>
            <w:rStyle w:val="Hyperlink"/>
            <w:sz w:val="24"/>
          </w:rPr>
          <w:t>2</w:t>
        </w:r>
        <w:r>
          <w:rPr>
            <w:rStyle w:val="Hyperlink"/>
            <w:rFonts w:hAnsi="宋体"/>
            <w:sz w:val="24"/>
          </w:rPr>
          <w:t>、建设项目主要建设内容、生产工艺、生产规模、投资</w:t>
        </w:r>
        <w:r>
          <w:rPr>
            <w:sz w:val="24"/>
          </w:rPr>
          <w:tab/>
        </w:r>
        <w:r>
          <w:rPr>
            <w:sz w:val="24"/>
          </w:rPr>
          <w:fldChar w:fldCharType="begin"/>
        </w:r>
        <w:r>
          <w:rPr>
            <w:sz w:val="24"/>
          </w:rPr>
          <w:instrText xml:space="preserve"> PAGEREF _Toc352235591 \h </w:instrText>
        </w:r>
        <w:r>
          <w:rPr>
            <w:sz w:val="24"/>
          </w:rPr>
          <w:fldChar w:fldCharType="separate"/>
        </w:r>
        <w:r>
          <w:rPr>
            <w:sz w:val="24"/>
          </w:rPr>
          <w:t>1</w:t>
        </w:r>
        <w:r>
          <w:rPr>
            <w:sz w:val="24"/>
          </w:rPr>
          <w:fldChar w:fldCharType="end"/>
        </w:r>
      </w:hyperlink>
    </w:p>
    <w:p>
      <w:pPr>
        <w:pStyle w:val="TOC2"/>
        <w:tabs>
          <w:tab w:val="right" w:leader="dot" w:pos="8296"/>
        </w:tabs>
        <w:spacing w:line="324" w:lineRule="auto"/>
        <w:rPr>
          <w:sz w:val="24"/>
        </w:rPr>
      </w:pPr>
      <w:hyperlink w:anchor="_Toc352235592" w:history="1">
        <w:r>
          <w:rPr>
            <w:rStyle w:val="Hyperlink"/>
            <w:sz w:val="24"/>
          </w:rPr>
          <w:t>3</w:t>
        </w:r>
        <w:r>
          <w:rPr>
            <w:rStyle w:val="Hyperlink"/>
            <w:rFonts w:hAnsi="宋体"/>
            <w:sz w:val="24"/>
          </w:rPr>
          <w:t>、与法律法规、政策、规划的相符性</w:t>
        </w:r>
        <w:r>
          <w:rPr>
            <w:sz w:val="24"/>
          </w:rPr>
          <w:tab/>
        </w:r>
        <w:r>
          <w:rPr>
            <w:sz w:val="24"/>
          </w:rPr>
          <w:fldChar w:fldCharType="begin"/>
        </w:r>
        <w:r>
          <w:rPr>
            <w:sz w:val="24"/>
          </w:rPr>
          <w:instrText xml:space="preserve"> PAGEREF _Toc352235592 \h </w:instrText>
        </w:r>
        <w:r>
          <w:rPr>
            <w:sz w:val="24"/>
          </w:rPr>
          <w:fldChar w:fldCharType="separate"/>
        </w:r>
        <w:r>
          <w:rPr>
            <w:sz w:val="24"/>
          </w:rPr>
          <w:t>2</w:t>
        </w:r>
        <w:r>
          <w:rPr>
            <w:sz w:val="24"/>
          </w:rPr>
          <w:fldChar w:fldCharType="end"/>
        </w:r>
      </w:hyperlink>
    </w:p>
    <w:p>
      <w:pPr>
        <w:pStyle w:val="TOC1"/>
        <w:tabs>
          <w:tab w:val="right" w:leader="dot" w:pos="8296"/>
        </w:tabs>
        <w:spacing w:line="324" w:lineRule="auto"/>
        <w:rPr>
          <w:sz w:val="24"/>
        </w:rPr>
      </w:pPr>
      <w:hyperlink w:anchor="_Toc352235593" w:history="1">
        <w:r>
          <w:rPr>
            <w:rStyle w:val="Hyperlink"/>
            <w:rFonts w:hAnsi="宋体"/>
            <w:sz w:val="24"/>
          </w:rPr>
          <w:t>（二）建设项目周围环境现状</w:t>
        </w:r>
        <w:r>
          <w:rPr>
            <w:sz w:val="24"/>
          </w:rPr>
          <w:tab/>
        </w:r>
        <w:r>
          <w:rPr>
            <w:sz w:val="24"/>
          </w:rPr>
          <w:fldChar w:fldCharType="begin"/>
        </w:r>
        <w:r>
          <w:rPr>
            <w:sz w:val="24"/>
          </w:rPr>
          <w:instrText xml:space="preserve"> PAGEREF _Toc352235593 \h </w:instrText>
        </w:r>
        <w:r>
          <w:rPr>
            <w:sz w:val="24"/>
          </w:rPr>
          <w:fldChar w:fldCharType="separate"/>
        </w:r>
        <w:r>
          <w:rPr>
            <w:sz w:val="24"/>
          </w:rPr>
          <w:t>3</w:t>
        </w:r>
        <w:r>
          <w:rPr>
            <w:sz w:val="24"/>
          </w:rPr>
          <w:fldChar w:fldCharType="end"/>
        </w:r>
      </w:hyperlink>
    </w:p>
    <w:p>
      <w:pPr>
        <w:pStyle w:val="TOC2"/>
        <w:tabs>
          <w:tab w:val="right" w:leader="dot" w:pos="8296"/>
        </w:tabs>
        <w:spacing w:line="324" w:lineRule="auto"/>
        <w:rPr>
          <w:sz w:val="24"/>
        </w:rPr>
      </w:pPr>
      <w:hyperlink w:anchor="_Toc352235594" w:history="1">
        <w:r>
          <w:rPr>
            <w:rStyle w:val="Hyperlink"/>
            <w:sz w:val="24"/>
          </w:rPr>
          <w:t>1</w:t>
        </w:r>
        <w:r>
          <w:rPr>
            <w:rStyle w:val="Hyperlink"/>
            <w:rFonts w:hAnsi="宋体"/>
            <w:sz w:val="24"/>
          </w:rPr>
          <w:t>、建设项目周围环境现状</w:t>
        </w:r>
        <w:r>
          <w:rPr>
            <w:sz w:val="24"/>
          </w:rPr>
          <w:tab/>
        </w:r>
        <w:r>
          <w:rPr>
            <w:sz w:val="24"/>
          </w:rPr>
          <w:fldChar w:fldCharType="begin"/>
        </w:r>
        <w:r>
          <w:rPr>
            <w:sz w:val="24"/>
          </w:rPr>
          <w:instrText xml:space="preserve"> PAGEREF _Toc352235594 \h </w:instrText>
        </w:r>
        <w:r>
          <w:rPr>
            <w:sz w:val="24"/>
          </w:rPr>
          <w:fldChar w:fldCharType="separate"/>
        </w:r>
        <w:r>
          <w:rPr>
            <w:sz w:val="24"/>
          </w:rPr>
          <w:t>3</w:t>
        </w:r>
        <w:r>
          <w:rPr>
            <w:sz w:val="24"/>
          </w:rPr>
          <w:fldChar w:fldCharType="end"/>
        </w:r>
      </w:hyperlink>
    </w:p>
    <w:p>
      <w:pPr>
        <w:pStyle w:val="TOC2"/>
        <w:tabs>
          <w:tab w:val="right" w:leader="dot" w:pos="8296"/>
        </w:tabs>
        <w:spacing w:line="324" w:lineRule="auto"/>
        <w:rPr>
          <w:sz w:val="24"/>
        </w:rPr>
      </w:pPr>
      <w:hyperlink w:anchor="_Toc352235595" w:history="1">
        <w:r>
          <w:rPr>
            <w:rStyle w:val="Hyperlink"/>
            <w:sz w:val="24"/>
          </w:rPr>
          <w:t>2</w:t>
        </w:r>
        <w:r>
          <w:rPr>
            <w:rStyle w:val="Hyperlink"/>
            <w:rFonts w:hAnsi="宋体"/>
            <w:sz w:val="24"/>
          </w:rPr>
          <w:t>、建设项目环境影响评价范围</w:t>
        </w:r>
        <w:r>
          <w:rPr>
            <w:sz w:val="24"/>
          </w:rPr>
          <w:tab/>
        </w:r>
        <w:r>
          <w:rPr>
            <w:sz w:val="24"/>
          </w:rPr>
          <w:fldChar w:fldCharType="begin"/>
        </w:r>
        <w:r>
          <w:rPr>
            <w:sz w:val="24"/>
          </w:rPr>
          <w:instrText xml:space="preserve"> PAGEREF _Toc352235595 \h </w:instrText>
        </w:r>
        <w:r>
          <w:rPr>
            <w:sz w:val="24"/>
          </w:rPr>
          <w:fldChar w:fldCharType="separate"/>
        </w:r>
        <w:r>
          <w:rPr>
            <w:sz w:val="24"/>
          </w:rPr>
          <w:t>3</w:t>
        </w:r>
        <w:r>
          <w:rPr>
            <w:sz w:val="24"/>
          </w:rPr>
          <w:fldChar w:fldCharType="end"/>
        </w:r>
      </w:hyperlink>
    </w:p>
    <w:p>
      <w:pPr>
        <w:pStyle w:val="TOC1"/>
        <w:tabs>
          <w:tab w:val="right" w:leader="dot" w:pos="8296"/>
        </w:tabs>
        <w:spacing w:line="324" w:lineRule="auto"/>
        <w:rPr>
          <w:sz w:val="24"/>
        </w:rPr>
      </w:pPr>
      <w:hyperlink w:anchor="_Toc352235596" w:history="1">
        <w:r>
          <w:rPr>
            <w:rStyle w:val="Hyperlink"/>
            <w:rFonts w:hAnsi="宋体"/>
            <w:sz w:val="24"/>
          </w:rPr>
          <w:t>（三）建设项目环境影响预测及拟采取的主要措施与效果</w:t>
        </w:r>
        <w:r>
          <w:rPr>
            <w:sz w:val="24"/>
          </w:rPr>
          <w:tab/>
        </w:r>
        <w:r>
          <w:rPr>
            <w:sz w:val="24"/>
          </w:rPr>
          <w:fldChar w:fldCharType="begin"/>
        </w:r>
        <w:r>
          <w:rPr>
            <w:sz w:val="24"/>
          </w:rPr>
          <w:instrText xml:space="preserve"> PAGEREF _Toc352235596 \h </w:instrText>
        </w:r>
        <w:r>
          <w:rPr>
            <w:sz w:val="24"/>
          </w:rPr>
          <w:fldChar w:fldCharType="separate"/>
        </w:r>
        <w:r>
          <w:rPr>
            <w:sz w:val="24"/>
          </w:rPr>
          <w:t>5</w:t>
        </w:r>
        <w:r>
          <w:rPr>
            <w:sz w:val="24"/>
          </w:rPr>
          <w:fldChar w:fldCharType="end"/>
        </w:r>
      </w:hyperlink>
    </w:p>
    <w:p>
      <w:pPr>
        <w:pStyle w:val="TOC2"/>
        <w:tabs>
          <w:tab w:val="right" w:leader="dot" w:pos="8296"/>
        </w:tabs>
        <w:spacing w:line="324" w:lineRule="auto"/>
        <w:rPr>
          <w:sz w:val="24"/>
        </w:rPr>
      </w:pPr>
      <w:hyperlink w:anchor="_Toc352235597" w:history="1">
        <w:r>
          <w:rPr>
            <w:rStyle w:val="Hyperlink"/>
            <w:sz w:val="24"/>
          </w:rPr>
          <w:t>1</w:t>
        </w:r>
        <w:r>
          <w:rPr>
            <w:rStyle w:val="Hyperlink"/>
            <w:rFonts w:hAnsi="宋体"/>
            <w:sz w:val="24"/>
          </w:rPr>
          <w:t>、建设项目主要污染物排放情况</w:t>
        </w:r>
        <w:r>
          <w:rPr>
            <w:sz w:val="24"/>
          </w:rPr>
          <w:tab/>
        </w:r>
        <w:r>
          <w:rPr>
            <w:sz w:val="24"/>
          </w:rPr>
          <w:fldChar w:fldCharType="begin"/>
        </w:r>
        <w:r>
          <w:rPr>
            <w:sz w:val="24"/>
          </w:rPr>
          <w:instrText xml:space="preserve"> PAGEREF _Toc352235597 \h </w:instrText>
        </w:r>
        <w:r>
          <w:rPr>
            <w:sz w:val="24"/>
          </w:rPr>
          <w:fldChar w:fldCharType="separate"/>
        </w:r>
        <w:r>
          <w:rPr>
            <w:sz w:val="24"/>
          </w:rPr>
          <w:t>5</w:t>
        </w:r>
        <w:r>
          <w:rPr>
            <w:sz w:val="24"/>
          </w:rPr>
          <w:fldChar w:fldCharType="end"/>
        </w:r>
      </w:hyperlink>
    </w:p>
    <w:p>
      <w:pPr>
        <w:pStyle w:val="TOC2"/>
        <w:tabs>
          <w:tab w:val="right" w:leader="dot" w:pos="8296"/>
        </w:tabs>
        <w:spacing w:line="324" w:lineRule="auto"/>
        <w:rPr>
          <w:sz w:val="24"/>
        </w:rPr>
      </w:pPr>
      <w:hyperlink w:anchor="_Toc352235598" w:history="1">
        <w:r>
          <w:rPr>
            <w:rStyle w:val="Hyperlink"/>
            <w:sz w:val="24"/>
          </w:rPr>
          <w:t>2</w:t>
        </w:r>
        <w:r>
          <w:rPr>
            <w:rStyle w:val="Hyperlink"/>
            <w:rFonts w:hAnsi="宋体"/>
            <w:sz w:val="24"/>
          </w:rPr>
          <w:t>、建设项目评价范围内的环境保护目标分布情况</w:t>
        </w:r>
        <w:r>
          <w:rPr>
            <w:sz w:val="24"/>
          </w:rPr>
          <w:tab/>
        </w:r>
        <w:r>
          <w:rPr>
            <w:sz w:val="24"/>
          </w:rPr>
          <w:fldChar w:fldCharType="begin"/>
        </w:r>
        <w:r>
          <w:rPr>
            <w:sz w:val="24"/>
          </w:rPr>
          <w:instrText xml:space="preserve"> PAGEREF _Toc352235598 \h </w:instrText>
        </w:r>
        <w:r>
          <w:rPr>
            <w:sz w:val="24"/>
          </w:rPr>
          <w:fldChar w:fldCharType="separate"/>
        </w:r>
        <w:r>
          <w:rPr>
            <w:sz w:val="24"/>
          </w:rPr>
          <w:t>7</w:t>
        </w:r>
        <w:r>
          <w:rPr>
            <w:sz w:val="24"/>
          </w:rPr>
          <w:fldChar w:fldCharType="end"/>
        </w:r>
      </w:hyperlink>
    </w:p>
    <w:p>
      <w:pPr>
        <w:pStyle w:val="TOC2"/>
        <w:tabs>
          <w:tab w:val="right" w:leader="dot" w:pos="8296"/>
        </w:tabs>
        <w:spacing w:line="324" w:lineRule="auto"/>
        <w:rPr>
          <w:sz w:val="24"/>
        </w:rPr>
      </w:pPr>
      <w:hyperlink w:anchor="_Toc352235599" w:history="1">
        <w:r>
          <w:rPr>
            <w:rStyle w:val="Hyperlink"/>
            <w:sz w:val="24"/>
          </w:rPr>
          <w:t>3</w:t>
        </w:r>
        <w:r>
          <w:rPr>
            <w:rStyle w:val="Hyperlink"/>
            <w:rFonts w:hAnsi="宋体"/>
            <w:sz w:val="24"/>
          </w:rPr>
          <w:t>、主要环境影响及其预测评价</w:t>
        </w:r>
        <w:r>
          <w:rPr>
            <w:sz w:val="24"/>
          </w:rPr>
          <w:tab/>
        </w:r>
        <w:r>
          <w:rPr>
            <w:sz w:val="24"/>
          </w:rPr>
          <w:fldChar w:fldCharType="begin"/>
        </w:r>
        <w:r>
          <w:rPr>
            <w:sz w:val="24"/>
          </w:rPr>
          <w:instrText xml:space="preserve"> PAGEREF _Toc352235599 \h </w:instrText>
        </w:r>
        <w:r>
          <w:rPr>
            <w:sz w:val="24"/>
          </w:rPr>
          <w:fldChar w:fldCharType="separate"/>
        </w:r>
        <w:r>
          <w:rPr>
            <w:sz w:val="24"/>
          </w:rPr>
          <w:t>9</w:t>
        </w:r>
        <w:r>
          <w:rPr>
            <w:sz w:val="24"/>
          </w:rPr>
          <w:fldChar w:fldCharType="end"/>
        </w:r>
      </w:hyperlink>
    </w:p>
    <w:p>
      <w:pPr>
        <w:pStyle w:val="TOC2"/>
        <w:tabs>
          <w:tab w:val="right" w:leader="dot" w:pos="8296"/>
        </w:tabs>
        <w:spacing w:line="324" w:lineRule="auto"/>
        <w:rPr>
          <w:sz w:val="24"/>
        </w:rPr>
      </w:pPr>
      <w:hyperlink w:anchor="_Toc352235600" w:history="1">
        <w:r>
          <w:rPr>
            <w:rStyle w:val="Hyperlink"/>
            <w:sz w:val="24"/>
          </w:rPr>
          <w:t>4</w:t>
        </w:r>
        <w:r>
          <w:rPr>
            <w:rStyle w:val="Hyperlink"/>
            <w:rFonts w:hAnsi="宋体"/>
            <w:sz w:val="24"/>
          </w:rPr>
          <w:t>、污染防治措施</w:t>
        </w:r>
        <w:r>
          <w:rPr>
            <w:sz w:val="24"/>
          </w:rPr>
          <w:tab/>
        </w:r>
        <w:r>
          <w:rPr>
            <w:sz w:val="24"/>
          </w:rPr>
          <w:fldChar w:fldCharType="begin"/>
        </w:r>
        <w:r>
          <w:rPr>
            <w:sz w:val="24"/>
          </w:rPr>
          <w:instrText xml:space="preserve"> PAGEREF _Toc352235600 \h </w:instrText>
        </w:r>
        <w:r>
          <w:rPr>
            <w:sz w:val="24"/>
          </w:rPr>
          <w:fldChar w:fldCharType="separate"/>
        </w:r>
        <w:r>
          <w:rPr>
            <w:sz w:val="24"/>
          </w:rPr>
          <w:t>10</w:t>
        </w:r>
        <w:r>
          <w:rPr>
            <w:sz w:val="24"/>
          </w:rPr>
          <w:fldChar w:fldCharType="end"/>
        </w:r>
      </w:hyperlink>
    </w:p>
    <w:p>
      <w:pPr>
        <w:pStyle w:val="TOC2"/>
        <w:tabs>
          <w:tab w:val="right" w:leader="dot" w:pos="8296"/>
        </w:tabs>
        <w:spacing w:line="324" w:lineRule="auto"/>
        <w:rPr>
          <w:sz w:val="24"/>
        </w:rPr>
      </w:pPr>
      <w:hyperlink w:anchor="_Toc352235601" w:history="1">
        <w:r>
          <w:rPr>
            <w:rStyle w:val="Hyperlink"/>
            <w:sz w:val="24"/>
          </w:rPr>
          <w:t>5</w:t>
        </w:r>
        <w:r>
          <w:rPr>
            <w:rStyle w:val="Hyperlink"/>
            <w:rFonts w:hAnsi="宋体"/>
            <w:sz w:val="24"/>
          </w:rPr>
          <w:t>、环境风险分析</w:t>
        </w:r>
        <w:r>
          <w:rPr>
            <w:sz w:val="24"/>
          </w:rPr>
          <w:tab/>
        </w:r>
        <w:r>
          <w:rPr>
            <w:sz w:val="24"/>
          </w:rPr>
          <w:fldChar w:fldCharType="begin"/>
        </w:r>
        <w:r>
          <w:rPr>
            <w:sz w:val="24"/>
          </w:rPr>
          <w:instrText xml:space="preserve"> PAGEREF _Toc352235601 \h </w:instrText>
        </w:r>
        <w:r>
          <w:rPr>
            <w:sz w:val="24"/>
          </w:rPr>
          <w:fldChar w:fldCharType="separate"/>
        </w:r>
        <w:r>
          <w:rPr>
            <w:sz w:val="24"/>
          </w:rPr>
          <w:t>12</w:t>
        </w:r>
        <w:r>
          <w:rPr>
            <w:sz w:val="24"/>
          </w:rPr>
          <w:fldChar w:fldCharType="end"/>
        </w:r>
      </w:hyperlink>
    </w:p>
    <w:p>
      <w:pPr>
        <w:pStyle w:val="TOC2"/>
        <w:tabs>
          <w:tab w:val="right" w:leader="dot" w:pos="8296"/>
        </w:tabs>
        <w:spacing w:line="324" w:lineRule="auto"/>
        <w:rPr>
          <w:sz w:val="24"/>
        </w:rPr>
      </w:pPr>
      <w:hyperlink w:anchor="_Toc352235602" w:history="1">
        <w:r>
          <w:rPr>
            <w:rStyle w:val="Hyperlink"/>
            <w:sz w:val="24"/>
          </w:rPr>
          <w:t>6</w:t>
        </w:r>
        <w:r>
          <w:rPr>
            <w:rStyle w:val="Hyperlink"/>
            <w:rFonts w:hAnsi="宋体"/>
            <w:sz w:val="24"/>
          </w:rPr>
          <w:t>、建设项目环境保护措施的技术、经济论证结果</w:t>
        </w:r>
        <w:r>
          <w:rPr>
            <w:sz w:val="24"/>
          </w:rPr>
          <w:tab/>
        </w:r>
        <w:r>
          <w:rPr>
            <w:sz w:val="24"/>
          </w:rPr>
          <w:fldChar w:fldCharType="begin"/>
        </w:r>
        <w:r>
          <w:rPr>
            <w:sz w:val="24"/>
          </w:rPr>
          <w:instrText xml:space="preserve"> PAGEREF _Toc352235602 \h </w:instrText>
        </w:r>
        <w:r>
          <w:rPr>
            <w:sz w:val="24"/>
          </w:rPr>
          <w:fldChar w:fldCharType="separate"/>
        </w:r>
        <w:r>
          <w:rPr>
            <w:sz w:val="24"/>
          </w:rPr>
          <w:t>14</w:t>
        </w:r>
        <w:r>
          <w:rPr>
            <w:sz w:val="24"/>
          </w:rPr>
          <w:fldChar w:fldCharType="end"/>
        </w:r>
      </w:hyperlink>
    </w:p>
    <w:p>
      <w:pPr>
        <w:pStyle w:val="TOC2"/>
        <w:tabs>
          <w:tab w:val="right" w:leader="dot" w:pos="8296"/>
        </w:tabs>
        <w:spacing w:line="324" w:lineRule="auto"/>
        <w:rPr>
          <w:sz w:val="24"/>
        </w:rPr>
      </w:pPr>
      <w:hyperlink w:anchor="_Toc352235603" w:history="1">
        <w:r>
          <w:rPr>
            <w:rStyle w:val="Hyperlink"/>
            <w:sz w:val="24"/>
          </w:rPr>
          <w:t>7</w:t>
        </w:r>
        <w:r>
          <w:rPr>
            <w:rStyle w:val="Hyperlink"/>
            <w:rFonts w:hAnsi="宋体"/>
            <w:sz w:val="24"/>
          </w:rPr>
          <w:t>、环境经济损益分析</w:t>
        </w:r>
        <w:r>
          <w:rPr>
            <w:sz w:val="24"/>
          </w:rPr>
          <w:tab/>
        </w:r>
        <w:r>
          <w:rPr>
            <w:sz w:val="24"/>
          </w:rPr>
          <w:fldChar w:fldCharType="begin"/>
        </w:r>
        <w:r>
          <w:rPr>
            <w:sz w:val="24"/>
          </w:rPr>
          <w:instrText xml:space="preserve"> PAGEREF _Toc352235603 \h </w:instrText>
        </w:r>
        <w:r>
          <w:rPr>
            <w:sz w:val="24"/>
          </w:rPr>
          <w:fldChar w:fldCharType="separate"/>
        </w:r>
        <w:r>
          <w:rPr>
            <w:sz w:val="24"/>
          </w:rPr>
          <w:t>14</w:t>
        </w:r>
        <w:r>
          <w:rPr>
            <w:sz w:val="24"/>
          </w:rPr>
          <w:fldChar w:fldCharType="end"/>
        </w:r>
      </w:hyperlink>
    </w:p>
    <w:p>
      <w:pPr>
        <w:pStyle w:val="TOC2"/>
        <w:tabs>
          <w:tab w:val="right" w:leader="dot" w:pos="8296"/>
        </w:tabs>
        <w:spacing w:line="324" w:lineRule="auto"/>
        <w:rPr>
          <w:sz w:val="24"/>
        </w:rPr>
      </w:pPr>
      <w:hyperlink w:anchor="_Toc352235604" w:history="1">
        <w:r>
          <w:rPr>
            <w:rStyle w:val="Hyperlink"/>
            <w:sz w:val="24"/>
          </w:rPr>
          <w:t>8</w:t>
        </w:r>
        <w:r>
          <w:rPr>
            <w:rStyle w:val="Hyperlink"/>
            <w:rFonts w:hAnsi="宋体"/>
            <w:sz w:val="24"/>
          </w:rPr>
          <w:t>、环境监测与管理计划</w:t>
        </w:r>
        <w:r>
          <w:rPr>
            <w:sz w:val="24"/>
          </w:rPr>
          <w:tab/>
        </w:r>
        <w:r>
          <w:rPr>
            <w:sz w:val="24"/>
          </w:rPr>
          <w:fldChar w:fldCharType="begin"/>
        </w:r>
        <w:r>
          <w:rPr>
            <w:sz w:val="24"/>
          </w:rPr>
          <w:instrText xml:space="preserve"> PAGEREF _Toc352235604 \h </w:instrText>
        </w:r>
        <w:r>
          <w:rPr>
            <w:sz w:val="24"/>
          </w:rPr>
          <w:fldChar w:fldCharType="separate"/>
        </w:r>
        <w:r>
          <w:rPr>
            <w:sz w:val="24"/>
          </w:rPr>
          <w:t>14</w:t>
        </w:r>
        <w:r>
          <w:rPr>
            <w:sz w:val="24"/>
          </w:rPr>
          <w:fldChar w:fldCharType="end"/>
        </w:r>
      </w:hyperlink>
    </w:p>
    <w:p>
      <w:pPr>
        <w:pStyle w:val="TOC1"/>
        <w:tabs>
          <w:tab w:val="right" w:leader="dot" w:pos="8296"/>
        </w:tabs>
        <w:spacing w:line="324" w:lineRule="auto"/>
        <w:rPr>
          <w:sz w:val="24"/>
        </w:rPr>
      </w:pPr>
      <w:hyperlink w:anchor="_Toc352235606" w:history="1">
        <w:r>
          <w:rPr>
            <w:rStyle w:val="Hyperlink"/>
            <w:rFonts w:hAnsi="宋体"/>
            <w:sz w:val="24"/>
          </w:rPr>
          <w:t>（四）公众参与</w:t>
        </w:r>
        <w:r>
          <w:rPr>
            <w:sz w:val="24"/>
          </w:rPr>
          <w:tab/>
        </w:r>
        <w:r>
          <w:rPr>
            <w:sz w:val="24"/>
          </w:rPr>
          <w:fldChar w:fldCharType="begin"/>
        </w:r>
        <w:r>
          <w:rPr>
            <w:sz w:val="24"/>
          </w:rPr>
          <w:instrText xml:space="preserve"> PAGEREF _Toc352235606 \h </w:instrText>
        </w:r>
        <w:r>
          <w:rPr>
            <w:sz w:val="24"/>
          </w:rPr>
          <w:fldChar w:fldCharType="separate"/>
        </w:r>
        <w:r>
          <w:rPr>
            <w:sz w:val="24"/>
          </w:rPr>
          <w:t>17</w:t>
        </w:r>
        <w:r>
          <w:rPr>
            <w:sz w:val="24"/>
          </w:rPr>
          <w:fldChar w:fldCharType="end"/>
        </w:r>
      </w:hyperlink>
    </w:p>
    <w:p>
      <w:pPr>
        <w:pStyle w:val="TOC2"/>
        <w:tabs>
          <w:tab w:val="right" w:leader="dot" w:pos="8296"/>
        </w:tabs>
        <w:spacing w:line="324" w:lineRule="auto"/>
        <w:rPr>
          <w:sz w:val="24"/>
        </w:rPr>
      </w:pPr>
      <w:hyperlink w:anchor="_Toc352235607" w:history="1">
        <w:r>
          <w:rPr>
            <w:rStyle w:val="Hyperlink"/>
            <w:sz w:val="24"/>
          </w:rPr>
          <w:t>1</w:t>
        </w:r>
        <w:r>
          <w:rPr>
            <w:rStyle w:val="Hyperlink"/>
            <w:rFonts w:hAnsi="宋体"/>
            <w:sz w:val="24"/>
          </w:rPr>
          <w:t>、公众参与的目的</w:t>
        </w:r>
        <w:r>
          <w:rPr>
            <w:sz w:val="24"/>
          </w:rPr>
          <w:tab/>
        </w:r>
        <w:r>
          <w:rPr>
            <w:sz w:val="24"/>
          </w:rPr>
          <w:fldChar w:fldCharType="begin"/>
        </w:r>
        <w:r>
          <w:rPr>
            <w:sz w:val="24"/>
          </w:rPr>
          <w:instrText xml:space="preserve"> PAGEREF _Toc352235607 \h </w:instrText>
        </w:r>
        <w:r>
          <w:rPr>
            <w:sz w:val="24"/>
          </w:rPr>
          <w:fldChar w:fldCharType="separate"/>
        </w:r>
        <w:r>
          <w:rPr>
            <w:sz w:val="24"/>
          </w:rPr>
          <w:t>17</w:t>
        </w:r>
        <w:r>
          <w:rPr>
            <w:sz w:val="24"/>
          </w:rPr>
          <w:fldChar w:fldCharType="end"/>
        </w:r>
      </w:hyperlink>
    </w:p>
    <w:p>
      <w:pPr>
        <w:pStyle w:val="TOC2"/>
        <w:tabs>
          <w:tab w:val="right" w:leader="dot" w:pos="8296"/>
        </w:tabs>
        <w:spacing w:line="324" w:lineRule="auto"/>
        <w:rPr>
          <w:sz w:val="24"/>
        </w:rPr>
      </w:pPr>
      <w:hyperlink w:anchor="_Toc352235608" w:history="1">
        <w:r>
          <w:rPr>
            <w:rStyle w:val="Hyperlink"/>
            <w:sz w:val="24"/>
          </w:rPr>
          <w:t>2</w:t>
        </w:r>
        <w:r>
          <w:rPr>
            <w:rStyle w:val="Hyperlink"/>
            <w:rFonts w:hAnsi="宋体"/>
            <w:sz w:val="24"/>
          </w:rPr>
          <w:t>、公众参与的方式和内容</w:t>
        </w:r>
        <w:r>
          <w:rPr>
            <w:sz w:val="24"/>
          </w:rPr>
          <w:tab/>
        </w:r>
        <w:r>
          <w:rPr>
            <w:sz w:val="24"/>
          </w:rPr>
          <w:fldChar w:fldCharType="begin"/>
        </w:r>
        <w:r>
          <w:rPr>
            <w:sz w:val="24"/>
          </w:rPr>
          <w:instrText xml:space="preserve"> PAGEREF _Toc352235608 \h </w:instrText>
        </w:r>
        <w:r>
          <w:rPr>
            <w:sz w:val="24"/>
          </w:rPr>
          <w:fldChar w:fldCharType="separate"/>
        </w:r>
        <w:r>
          <w:rPr>
            <w:sz w:val="24"/>
          </w:rPr>
          <w:t>17</w:t>
        </w:r>
        <w:r>
          <w:rPr>
            <w:sz w:val="24"/>
          </w:rPr>
          <w:fldChar w:fldCharType="end"/>
        </w:r>
      </w:hyperlink>
    </w:p>
    <w:p>
      <w:pPr>
        <w:pStyle w:val="TOC2"/>
        <w:tabs>
          <w:tab w:val="right" w:leader="dot" w:pos="8296"/>
        </w:tabs>
        <w:spacing w:line="324" w:lineRule="auto"/>
        <w:rPr>
          <w:sz w:val="24"/>
        </w:rPr>
      </w:pPr>
      <w:hyperlink w:anchor="_Toc352235609" w:history="1">
        <w:r>
          <w:rPr>
            <w:rStyle w:val="Hyperlink"/>
            <w:sz w:val="24"/>
          </w:rPr>
          <w:t>3</w:t>
        </w:r>
        <w:r>
          <w:rPr>
            <w:rStyle w:val="Hyperlink"/>
            <w:rFonts w:hAnsi="宋体"/>
            <w:sz w:val="24"/>
          </w:rPr>
          <w:t>、第一次公示</w:t>
        </w:r>
        <w:r>
          <w:rPr>
            <w:sz w:val="24"/>
          </w:rPr>
          <w:tab/>
        </w:r>
        <w:r>
          <w:rPr>
            <w:sz w:val="24"/>
          </w:rPr>
          <w:fldChar w:fldCharType="begin"/>
        </w:r>
        <w:r>
          <w:rPr>
            <w:sz w:val="24"/>
          </w:rPr>
          <w:instrText xml:space="preserve"> PAGEREF _Toc352235609 \h </w:instrText>
        </w:r>
        <w:r>
          <w:rPr>
            <w:sz w:val="24"/>
          </w:rPr>
          <w:fldChar w:fldCharType="separate"/>
        </w:r>
        <w:r>
          <w:rPr>
            <w:sz w:val="24"/>
          </w:rPr>
          <w:t>17</w:t>
        </w:r>
        <w:r>
          <w:rPr>
            <w:sz w:val="24"/>
          </w:rPr>
          <w:fldChar w:fldCharType="end"/>
        </w:r>
      </w:hyperlink>
    </w:p>
    <w:p>
      <w:pPr>
        <w:pStyle w:val="TOC2"/>
        <w:tabs>
          <w:tab w:val="right" w:leader="dot" w:pos="8296"/>
        </w:tabs>
        <w:spacing w:line="324" w:lineRule="auto"/>
        <w:rPr>
          <w:sz w:val="24"/>
        </w:rPr>
      </w:pPr>
      <w:hyperlink w:anchor="_Toc352235611" w:history="1">
        <w:r>
          <w:rPr>
            <w:rStyle w:val="Hyperlink"/>
            <w:rFonts w:hint="eastAsia"/>
            <w:sz w:val="24"/>
          </w:rPr>
          <w:t>4</w:t>
        </w:r>
        <w:r>
          <w:rPr>
            <w:rStyle w:val="Hyperlink"/>
            <w:rFonts w:hAnsi="宋体"/>
            <w:sz w:val="24"/>
          </w:rPr>
          <w:t>、公众参与调查</w:t>
        </w:r>
        <w:r>
          <w:rPr>
            <w:sz w:val="24"/>
          </w:rPr>
          <w:tab/>
        </w:r>
        <w:r>
          <w:rPr>
            <w:sz w:val="24"/>
          </w:rPr>
          <w:fldChar w:fldCharType="begin"/>
        </w:r>
        <w:r>
          <w:rPr>
            <w:sz w:val="24"/>
          </w:rPr>
          <w:instrText xml:space="preserve"> PAGEREF _Toc352235611 \h </w:instrText>
        </w:r>
        <w:r>
          <w:rPr>
            <w:sz w:val="24"/>
          </w:rPr>
          <w:fldChar w:fldCharType="separate"/>
        </w:r>
        <w:r>
          <w:rPr>
            <w:sz w:val="24"/>
          </w:rPr>
          <w:t>20</w:t>
        </w:r>
        <w:r>
          <w:rPr>
            <w:sz w:val="24"/>
          </w:rPr>
          <w:fldChar w:fldCharType="end"/>
        </w:r>
      </w:hyperlink>
    </w:p>
    <w:p>
      <w:pPr>
        <w:pStyle w:val="TOC2"/>
        <w:tabs>
          <w:tab w:val="right" w:leader="dot" w:pos="8296"/>
        </w:tabs>
        <w:spacing w:line="324" w:lineRule="auto"/>
        <w:rPr>
          <w:sz w:val="24"/>
        </w:rPr>
      </w:pPr>
      <w:hyperlink w:anchor="_Toc352235612" w:history="1">
        <w:r>
          <w:rPr>
            <w:rStyle w:val="Hyperlink"/>
            <w:rFonts w:hint="eastAsia"/>
            <w:sz w:val="24"/>
          </w:rPr>
          <w:t>5</w:t>
        </w:r>
        <w:r>
          <w:rPr>
            <w:rStyle w:val="Hyperlink"/>
            <w:rFonts w:hAnsi="宋体"/>
            <w:sz w:val="24"/>
          </w:rPr>
          <w:t>、第二次信息公告</w:t>
        </w:r>
        <w:r>
          <w:rPr>
            <w:sz w:val="24"/>
          </w:rPr>
          <w:tab/>
        </w:r>
        <w:r>
          <w:rPr>
            <w:sz w:val="24"/>
          </w:rPr>
          <w:fldChar w:fldCharType="begin"/>
        </w:r>
        <w:r>
          <w:rPr>
            <w:sz w:val="24"/>
          </w:rPr>
          <w:instrText xml:space="preserve"> PAGEREF _Toc352235612 \h </w:instrText>
        </w:r>
        <w:r>
          <w:rPr>
            <w:sz w:val="24"/>
          </w:rPr>
          <w:fldChar w:fldCharType="separate"/>
        </w:r>
        <w:r>
          <w:rPr>
            <w:sz w:val="24"/>
          </w:rPr>
          <w:t>21</w:t>
        </w:r>
        <w:r>
          <w:rPr>
            <w:sz w:val="24"/>
          </w:rPr>
          <w:fldChar w:fldCharType="end"/>
        </w:r>
      </w:hyperlink>
    </w:p>
    <w:p>
      <w:pPr>
        <w:pStyle w:val="TOC2"/>
        <w:tabs>
          <w:tab w:val="right" w:leader="dot" w:pos="8296"/>
        </w:tabs>
        <w:spacing w:line="324" w:lineRule="auto"/>
        <w:rPr>
          <w:sz w:val="24"/>
        </w:rPr>
      </w:pPr>
      <w:hyperlink w:anchor="_Toc352235613" w:history="1">
        <w:r>
          <w:rPr>
            <w:rStyle w:val="Hyperlink"/>
            <w:rFonts w:hint="eastAsia"/>
            <w:sz w:val="24"/>
          </w:rPr>
          <w:t>6</w:t>
        </w:r>
        <w:r>
          <w:rPr>
            <w:rStyle w:val="Hyperlink"/>
            <w:rFonts w:hAnsi="宋体"/>
            <w:sz w:val="24"/>
          </w:rPr>
          <w:t>、公告结论</w:t>
        </w:r>
        <w:r>
          <w:rPr>
            <w:sz w:val="24"/>
          </w:rPr>
          <w:tab/>
        </w:r>
        <w:r>
          <w:rPr>
            <w:sz w:val="24"/>
          </w:rPr>
          <w:fldChar w:fldCharType="begin"/>
        </w:r>
        <w:r>
          <w:rPr>
            <w:sz w:val="24"/>
          </w:rPr>
          <w:instrText xml:space="preserve"> PAGEREF _Toc352235613 \h </w:instrText>
        </w:r>
        <w:r>
          <w:rPr>
            <w:sz w:val="24"/>
          </w:rPr>
          <w:fldChar w:fldCharType="separate"/>
        </w:r>
        <w:r>
          <w:rPr>
            <w:sz w:val="24"/>
          </w:rPr>
          <w:t>22</w:t>
        </w:r>
        <w:r>
          <w:rPr>
            <w:sz w:val="24"/>
          </w:rPr>
          <w:fldChar w:fldCharType="end"/>
        </w:r>
      </w:hyperlink>
    </w:p>
    <w:p>
      <w:pPr>
        <w:pStyle w:val="TOC1"/>
        <w:tabs>
          <w:tab w:val="right" w:leader="dot" w:pos="8296"/>
        </w:tabs>
        <w:spacing w:line="324" w:lineRule="auto"/>
        <w:rPr>
          <w:sz w:val="24"/>
        </w:rPr>
      </w:pPr>
      <w:hyperlink w:anchor="_Toc352235614" w:history="1">
        <w:r>
          <w:rPr>
            <w:rStyle w:val="Hyperlink"/>
            <w:rFonts w:hAnsi="宋体"/>
            <w:sz w:val="24"/>
          </w:rPr>
          <w:t>（五）环境影响评价结论</w:t>
        </w:r>
        <w:r>
          <w:rPr>
            <w:sz w:val="24"/>
          </w:rPr>
          <w:tab/>
        </w:r>
        <w:r>
          <w:rPr>
            <w:sz w:val="24"/>
          </w:rPr>
          <w:fldChar w:fldCharType="begin"/>
        </w:r>
        <w:r>
          <w:rPr>
            <w:sz w:val="24"/>
          </w:rPr>
          <w:instrText xml:space="preserve"> PAGEREF _Toc352235614 \h </w:instrText>
        </w:r>
        <w:r>
          <w:rPr>
            <w:sz w:val="24"/>
          </w:rPr>
          <w:fldChar w:fldCharType="separate"/>
        </w:r>
        <w:r>
          <w:rPr>
            <w:sz w:val="24"/>
          </w:rPr>
          <w:t>28</w:t>
        </w:r>
        <w:r>
          <w:rPr>
            <w:sz w:val="24"/>
          </w:rPr>
          <w:fldChar w:fldCharType="end"/>
        </w:r>
      </w:hyperlink>
    </w:p>
    <w:p>
      <w:pPr>
        <w:pStyle w:val="TOC1"/>
        <w:tabs>
          <w:tab w:val="right" w:leader="dot" w:pos="8296"/>
        </w:tabs>
        <w:spacing w:line="324" w:lineRule="auto"/>
        <w:rPr>
          <w:sz w:val="24"/>
        </w:rPr>
      </w:pPr>
      <w:hyperlink w:anchor="_Toc352235615" w:history="1">
        <w:r>
          <w:rPr>
            <w:rStyle w:val="Hyperlink"/>
            <w:rFonts w:hAnsi="宋体"/>
            <w:sz w:val="24"/>
          </w:rPr>
          <w:t>（六）联系方式</w:t>
        </w:r>
        <w:r>
          <w:rPr>
            <w:sz w:val="24"/>
          </w:rPr>
          <w:tab/>
        </w:r>
        <w:r>
          <w:rPr>
            <w:sz w:val="24"/>
          </w:rPr>
          <w:fldChar w:fldCharType="begin"/>
        </w:r>
        <w:r>
          <w:rPr>
            <w:sz w:val="24"/>
          </w:rPr>
          <w:instrText xml:space="preserve"> PAGEREF _Toc352235615 \h </w:instrText>
        </w:r>
        <w:r>
          <w:rPr>
            <w:sz w:val="24"/>
          </w:rPr>
          <w:fldChar w:fldCharType="separate"/>
        </w:r>
        <w:r>
          <w:rPr>
            <w:sz w:val="24"/>
          </w:rPr>
          <w:t>29</w:t>
        </w:r>
        <w:r>
          <w:rPr>
            <w:sz w:val="24"/>
          </w:rPr>
          <w:fldChar w:fldCharType="end"/>
        </w:r>
      </w:hyperlink>
    </w:p>
    <w:p>
      <w:pPr>
        <w:pStyle w:val="TOC2"/>
        <w:tabs>
          <w:tab w:val="right" w:leader="dot" w:pos="8296"/>
        </w:tabs>
        <w:spacing w:line="324" w:lineRule="auto"/>
        <w:rPr>
          <w:sz w:val="24"/>
        </w:rPr>
      </w:pPr>
      <w:hyperlink w:anchor="_Toc352235616" w:history="1">
        <w:r>
          <w:rPr>
            <w:rStyle w:val="Hyperlink"/>
            <w:rFonts w:hAnsi="宋体"/>
            <w:sz w:val="24"/>
          </w:rPr>
          <w:t>（</w:t>
        </w:r>
        <w:r>
          <w:rPr>
            <w:rStyle w:val="Hyperlink"/>
            <w:sz w:val="24"/>
          </w:rPr>
          <w:t>1</w:t>
        </w:r>
        <w:r>
          <w:rPr>
            <w:rStyle w:val="Hyperlink"/>
            <w:rFonts w:hAnsi="宋体"/>
            <w:sz w:val="24"/>
          </w:rPr>
          <w:t>）建设单位及其联系方式</w:t>
        </w:r>
        <w:r>
          <w:rPr>
            <w:sz w:val="24"/>
          </w:rPr>
          <w:tab/>
        </w:r>
        <w:r>
          <w:rPr>
            <w:sz w:val="24"/>
          </w:rPr>
          <w:fldChar w:fldCharType="begin"/>
        </w:r>
        <w:r>
          <w:rPr>
            <w:sz w:val="24"/>
          </w:rPr>
          <w:instrText xml:space="preserve"> PAGEREF _Toc352235616 \h </w:instrText>
        </w:r>
        <w:r>
          <w:rPr>
            <w:sz w:val="24"/>
          </w:rPr>
          <w:fldChar w:fldCharType="separate"/>
        </w:r>
        <w:r>
          <w:rPr>
            <w:sz w:val="24"/>
          </w:rPr>
          <w:t>29</w:t>
        </w:r>
        <w:r>
          <w:rPr>
            <w:sz w:val="24"/>
          </w:rPr>
          <w:fldChar w:fldCharType="end"/>
        </w:r>
      </w:hyperlink>
    </w:p>
    <w:p>
      <w:pPr>
        <w:pStyle w:val="TOC2"/>
        <w:tabs>
          <w:tab w:val="right" w:leader="dot" w:pos="8296"/>
        </w:tabs>
        <w:spacing w:line="324" w:lineRule="auto"/>
        <w:rPr>
          <w:szCs w:val="22"/>
        </w:rPr>
      </w:pPr>
      <w:hyperlink w:anchor="_Toc352235617" w:history="1">
        <w:r>
          <w:rPr>
            <w:rStyle w:val="Hyperlink"/>
            <w:rFonts w:hAnsi="宋体"/>
            <w:sz w:val="24"/>
          </w:rPr>
          <w:t>（</w:t>
        </w:r>
        <w:r>
          <w:rPr>
            <w:rStyle w:val="Hyperlink"/>
            <w:sz w:val="24"/>
          </w:rPr>
          <w:t>2</w:t>
        </w:r>
        <w:r>
          <w:rPr>
            <w:rStyle w:val="Hyperlink"/>
            <w:rFonts w:hAnsi="宋体"/>
            <w:sz w:val="24"/>
          </w:rPr>
          <w:t>）环境影响评价单位及联系方式</w:t>
        </w:r>
        <w:r>
          <w:rPr>
            <w:sz w:val="24"/>
          </w:rPr>
          <w:tab/>
        </w:r>
        <w:r>
          <w:rPr>
            <w:sz w:val="24"/>
          </w:rPr>
          <w:fldChar w:fldCharType="begin"/>
        </w:r>
        <w:r>
          <w:rPr>
            <w:sz w:val="24"/>
          </w:rPr>
          <w:instrText xml:space="preserve"> PAGEREF _Toc352235617 \h </w:instrText>
        </w:r>
        <w:r>
          <w:rPr>
            <w:sz w:val="24"/>
          </w:rPr>
          <w:fldChar w:fldCharType="separate"/>
        </w:r>
        <w:r>
          <w:rPr>
            <w:sz w:val="24"/>
          </w:rPr>
          <w:t>29</w:t>
        </w:r>
        <w:r>
          <w:rPr>
            <w:sz w:val="24"/>
          </w:rPr>
          <w:fldChar w:fldCharType="end"/>
        </w:r>
      </w:hyperlink>
    </w:p>
    <w:p>
      <w:pPr>
        <w:adjustRightInd w:val="0"/>
        <w:snapToGrid w:val="0"/>
        <w:spacing w:line="360" w:lineRule="auto"/>
        <w:jc w:val="center"/>
        <w:rPr>
          <w:rFonts w:hint="eastAsia"/>
          <w:b/>
          <w:sz w:val="32"/>
          <w:szCs w:val="32"/>
        </w:rPr>
        <w:sectPr>
          <w:headerReference w:type="default" r:id="rId6"/>
          <w:footerReference w:type="even" r:id="rId7"/>
          <w:pgSz w:w="11906" w:h="16838"/>
          <w:pgMar w:top="1440" w:right="1800" w:bottom="1440" w:left="1800" w:header="851" w:footer="936" w:gutter="0"/>
          <w:pgNumType w:start="1"/>
          <w:cols w:space="708"/>
          <w:docGrid w:linePitch="312"/>
        </w:sectPr>
      </w:pPr>
      <w:r>
        <w:rPr>
          <w:sz w:val="24"/>
        </w:rPr>
        <w:fldChar w:fldCharType="end"/>
      </w:r>
    </w:p>
    <w:p>
      <w:pPr>
        <w:pStyle w:val="A6"/>
        <w:spacing w:before="240" w:after="120"/>
        <w:rPr>
          <w:rFonts w:hint="eastAsia"/>
        </w:rPr>
      </w:pPr>
      <w:bookmarkStart w:id="0" w:name="_Toc352235589"/>
      <w:r>
        <w:rPr>
          <w:rFonts w:hint="eastAsia"/>
        </w:rPr>
        <w:t>（一）建设项目概况</w:t>
      </w:r>
      <w:bookmarkEnd w:id="0"/>
    </w:p>
    <w:p>
      <w:pPr>
        <w:pStyle w:val="A12"/>
        <w:ind w:firstLine="482"/>
        <w:rPr>
          <w:rFonts w:hint="eastAsia"/>
        </w:rPr>
      </w:pPr>
      <w:bookmarkStart w:id="1" w:name="_Toc352235590"/>
      <w:r>
        <w:rPr>
          <w:rFonts w:hint="eastAsia"/>
        </w:rPr>
        <w:t>1、</w:t>
      </w:r>
      <w:r>
        <w:t>建设项目的地点及相关背景</w:t>
      </w:r>
      <w:bookmarkEnd w:id="1"/>
    </w:p>
    <w:p>
      <w:pPr>
        <w:adjustRightInd w:val="0"/>
        <w:snapToGrid w:val="0"/>
        <w:spacing w:line="396" w:lineRule="auto"/>
        <w:ind w:firstLine="480" w:firstLineChars="200"/>
        <w:rPr>
          <w:rFonts w:hAnsi="宋体" w:hint="eastAsia"/>
          <w:bCs/>
          <w:sz w:val="24"/>
        </w:rPr>
      </w:pPr>
      <w:r>
        <w:rPr>
          <w:rFonts w:hAnsi="宋体" w:hint="eastAsia"/>
          <w:bCs/>
          <w:sz w:val="24"/>
        </w:rPr>
        <w:t>项目建设地点：东乡县经济开发区渊山岗工业园区。</w:t>
      </w:r>
    </w:p>
    <w:p>
      <w:pPr>
        <w:adjustRightInd w:val="0"/>
        <w:snapToGrid w:val="0"/>
        <w:spacing w:line="396" w:lineRule="auto"/>
        <w:ind w:firstLine="480" w:firstLineChars="200"/>
        <w:rPr>
          <w:rFonts w:hAnsi="宋体" w:hint="eastAsia"/>
          <w:bCs/>
          <w:sz w:val="24"/>
        </w:rPr>
      </w:pPr>
      <w:r>
        <w:rPr>
          <w:rFonts w:hAnsi="宋体" w:hint="eastAsia"/>
          <w:bCs/>
          <w:sz w:val="24"/>
        </w:rPr>
        <w:t>相关背景：上海永冠胶粘制品有限公司创办于1995年，是以布基胶带为主体、以出口创汇为主导，引领行业发展的现代化胶粘制品的专业生产企业。公司位于上海市青浦区朱家角工业园区，目前共占地80多亩，公司现职员工725人，其中管理人员占18%，普工占82%。目前主要产品有：布基胶带、管道胶带、地毯胶带、双面PP胶带、铝箔胶带、清洁胶带、美纹纸胶带、玻璃纤维胶带、OPP（彩印）胶带、牛皮纸胶带、湿水压筋牛皮纸、压筋铝箔胶带、泡棉胶带、警示胶带等。其中80%的产品用于出口，出口的国家集中在日本、欧美、中东等地区。20%产品内销，为了扩大内销市场，同时满足国外市场的递增需求，现有的生产能力已不能满足市场的需求，需要新建生产基地，通过对东乡县经济开发区渊山岗工业园区的前期考察，公司拟在东乡县经济开发区渊山岗工业园区新建年产53000吨胶粘制品生产线建设项目。生产的产品有清洁胶带防粘硅纸、纱布、美纹纸胶带、PVC胶带，美纹纸为中间产品，不外售，全部用于做美纹纸胶带的原材料。</w:t>
      </w:r>
    </w:p>
    <w:p>
      <w:pPr>
        <w:pStyle w:val="A12"/>
        <w:ind w:firstLine="482"/>
        <w:rPr>
          <w:rFonts w:hint="eastAsia"/>
        </w:rPr>
      </w:pPr>
      <w:bookmarkStart w:id="2" w:name="_Toc352235591"/>
      <w:r>
        <w:rPr>
          <w:rFonts w:hint="eastAsia"/>
        </w:rPr>
        <w:t>2、</w:t>
      </w:r>
      <w:r>
        <w:t>建设项目主要建设内容、生产工艺、生产规模</w:t>
      </w:r>
      <w:r>
        <w:rPr>
          <w:rFonts w:hint="eastAsia"/>
        </w:rPr>
        <w:t>、投资</w:t>
      </w:r>
      <w:bookmarkEnd w:id="2"/>
    </w:p>
    <w:p>
      <w:pPr>
        <w:adjustRightInd w:val="0"/>
        <w:snapToGrid w:val="0"/>
        <w:spacing w:line="396" w:lineRule="auto"/>
        <w:ind w:firstLine="480" w:firstLineChars="200"/>
        <w:rPr>
          <w:rFonts w:hAnsi="宋体" w:hint="eastAsia"/>
          <w:bCs/>
          <w:sz w:val="24"/>
        </w:rPr>
      </w:pPr>
      <w:r>
        <w:rPr>
          <w:rFonts w:hAnsi="宋体" w:hint="eastAsia"/>
          <w:bCs/>
          <w:sz w:val="24"/>
        </w:rPr>
        <w:t>主要建设内容：PVC电工胶带生产车间、美纹纸胶带生产车间、清洁胶带防粘硅纸生产车间、织布车间、</w:t>
      </w:r>
      <w:r>
        <w:rPr>
          <w:rFonts w:hAnsi="宋体"/>
          <w:bCs/>
          <w:sz w:val="24"/>
        </w:rPr>
        <w:t>仓库、</w:t>
      </w:r>
      <w:r>
        <w:rPr>
          <w:rFonts w:hAnsi="宋体" w:hint="eastAsia"/>
          <w:bCs/>
          <w:sz w:val="24"/>
        </w:rPr>
        <w:t>废气处理系统、废水处理系统、固废收集系统、事故应急池、绿化、</w:t>
      </w:r>
      <w:r>
        <w:rPr>
          <w:rFonts w:hAnsi="宋体"/>
          <w:bCs/>
          <w:sz w:val="24"/>
        </w:rPr>
        <w:t>办公楼</w:t>
      </w:r>
      <w:r>
        <w:rPr>
          <w:rFonts w:hAnsi="宋体" w:hint="eastAsia"/>
          <w:bCs/>
          <w:sz w:val="24"/>
        </w:rPr>
        <w:t>、锅炉房</w:t>
      </w:r>
      <w:r>
        <w:rPr>
          <w:rFonts w:hAnsi="宋体"/>
          <w:bCs/>
          <w:sz w:val="24"/>
        </w:rPr>
        <w:t>等</w:t>
      </w:r>
      <w:r>
        <w:rPr>
          <w:rFonts w:hAnsi="宋体" w:hint="eastAsia"/>
          <w:bCs/>
          <w:sz w:val="24"/>
        </w:rPr>
        <w:t>。</w:t>
      </w:r>
    </w:p>
    <w:p>
      <w:pPr>
        <w:snapToGrid w:val="0"/>
        <w:spacing w:line="360" w:lineRule="auto"/>
        <w:ind w:firstLine="480" w:firstLineChars="200"/>
        <w:rPr>
          <w:rFonts w:hint="eastAsia"/>
          <w:sz w:val="24"/>
        </w:rPr>
      </w:pPr>
      <w:r>
        <w:rPr>
          <w:rFonts w:hAnsi="宋体" w:hint="eastAsia"/>
          <w:bCs/>
          <w:sz w:val="24"/>
        </w:rPr>
        <w:t>生产工艺：</w:t>
      </w:r>
      <w:r>
        <w:rPr>
          <w:sz w:val="24"/>
        </w:rPr>
        <w:t>包括</w:t>
      </w:r>
      <w:r>
        <w:rPr>
          <w:rFonts w:hint="eastAsia"/>
          <w:sz w:val="24"/>
        </w:rPr>
        <w:t>美纹纸胶带生产工艺，PVC电工胶带生产工艺，清洁胶带防粘硅纸生产工艺和</w:t>
      </w:r>
      <w:r>
        <w:rPr>
          <w:rFonts w:hint="eastAsia"/>
          <w:bCs/>
          <w:sz w:val="24"/>
        </w:rPr>
        <w:t>纱布</w:t>
      </w:r>
      <w:r>
        <w:rPr>
          <w:rFonts w:hint="eastAsia"/>
          <w:sz w:val="24"/>
        </w:rPr>
        <w:t>生产工艺，</w:t>
      </w:r>
      <w:r>
        <w:rPr>
          <w:rFonts w:hint="eastAsia"/>
          <w:bCs/>
          <w:sz w:val="24"/>
        </w:rPr>
        <w:t>美纹纸胶带生产工艺</w:t>
      </w:r>
      <w:r>
        <w:rPr>
          <w:rFonts w:hint="eastAsia"/>
          <w:sz w:val="24"/>
        </w:rPr>
        <w:t>包括碎浆、磨浆、</w:t>
      </w:r>
      <w:r>
        <w:rPr>
          <w:rFonts w:hint="eastAsia"/>
          <w:bCs/>
          <w:sz w:val="24"/>
        </w:rPr>
        <w:t>配料</w:t>
      </w:r>
      <w:r>
        <w:rPr>
          <w:rFonts w:hint="eastAsia"/>
          <w:sz w:val="24"/>
        </w:rPr>
        <w:t>、上网抄纸、</w:t>
      </w:r>
      <w:r>
        <w:rPr>
          <w:rFonts w:hint="eastAsia"/>
          <w:bCs/>
          <w:sz w:val="24"/>
        </w:rPr>
        <w:t>防渗、上硅、涂布、烘干、收卷、复卷、裁切、包装；PVC电工胶带生产工艺</w:t>
      </w:r>
      <w:r>
        <w:rPr>
          <w:rFonts w:hint="eastAsia"/>
          <w:sz w:val="24"/>
        </w:rPr>
        <w:t>包括</w:t>
      </w:r>
      <w:r>
        <w:rPr>
          <w:rFonts w:hint="eastAsia"/>
          <w:bCs/>
          <w:sz w:val="24"/>
        </w:rPr>
        <w:t>涂布、烘干、收卷、裁切、包装；清洁胶带防粘硅纸生产工艺</w:t>
      </w:r>
      <w:r>
        <w:rPr>
          <w:rFonts w:hint="eastAsia"/>
          <w:sz w:val="24"/>
        </w:rPr>
        <w:t>包括</w:t>
      </w:r>
      <w:r>
        <w:rPr>
          <w:rFonts w:hint="eastAsia"/>
          <w:bCs/>
          <w:sz w:val="24"/>
        </w:rPr>
        <w:t>防渗、上硅；纱布生产工艺整经、</w:t>
      </w:r>
      <w:r>
        <w:rPr>
          <w:rFonts w:hint="eastAsia"/>
          <w:sz w:val="24"/>
        </w:rPr>
        <w:t>倒经轴、</w:t>
      </w:r>
      <w:r>
        <w:rPr>
          <w:rFonts w:hint="eastAsia"/>
          <w:bCs/>
          <w:sz w:val="24"/>
        </w:rPr>
        <w:t>穿综、经轴上机、经纱整理、</w:t>
      </w:r>
      <w:r>
        <w:rPr>
          <w:rFonts w:hint="eastAsia"/>
          <w:sz w:val="24"/>
        </w:rPr>
        <w:t>织机调试、</w:t>
      </w:r>
      <w:r>
        <w:rPr>
          <w:rFonts w:hint="eastAsia"/>
          <w:bCs/>
          <w:sz w:val="24"/>
        </w:rPr>
        <w:t>织造。</w:t>
      </w:r>
    </w:p>
    <w:p>
      <w:pPr>
        <w:spacing w:line="360" w:lineRule="auto"/>
        <w:ind w:firstLine="480" w:firstLineChars="200"/>
        <w:rPr>
          <w:spacing w:val="5"/>
          <w:sz w:val="24"/>
        </w:rPr>
      </w:pPr>
      <w:r>
        <w:rPr>
          <w:rFonts w:hAnsi="宋体" w:hint="eastAsia"/>
          <w:bCs/>
          <w:sz w:val="24"/>
        </w:rPr>
        <w:t>生产规模：</w:t>
      </w:r>
      <w:r>
        <w:rPr>
          <w:sz w:val="24"/>
        </w:rPr>
        <w:t>年产53000吨</w:t>
      </w:r>
      <w:r>
        <w:rPr>
          <w:rFonts w:hint="eastAsia"/>
          <w:sz w:val="24"/>
        </w:rPr>
        <w:t>胶粘制品，具体产品方案见表1</w:t>
      </w:r>
      <w:r>
        <w:rPr>
          <w:spacing w:val="5"/>
          <w:sz w:val="24"/>
        </w:rPr>
        <w:t>。</w:t>
      </w:r>
    </w:p>
    <w:p>
      <w:pPr>
        <w:snapToGrid w:val="0"/>
        <w:spacing w:line="396" w:lineRule="auto"/>
        <w:jc w:val="center"/>
        <w:rPr>
          <w:rFonts w:hint="eastAsia"/>
          <w:sz w:val="24"/>
        </w:rPr>
      </w:pPr>
    </w:p>
    <w:p>
      <w:pPr>
        <w:snapToGrid w:val="0"/>
        <w:spacing w:line="396" w:lineRule="auto"/>
        <w:jc w:val="center"/>
        <w:rPr>
          <w:rFonts w:hint="eastAsia"/>
          <w:sz w:val="24"/>
        </w:rPr>
        <w:sectPr>
          <w:headerReference w:type="default" r:id="rId8"/>
          <w:footerReference w:type="even" r:id="rId9"/>
          <w:footerReference w:type="default" r:id="rId10"/>
          <w:pgSz w:w="11906" w:h="16838"/>
          <w:pgMar w:top="1134" w:right="1418" w:bottom="1418" w:left="1418" w:header="851" w:footer="936" w:gutter="0"/>
          <w:pgNumType w:start="1"/>
          <w:cols w:space="708"/>
          <w:docGrid w:linePitch="312"/>
        </w:sectPr>
      </w:pPr>
    </w:p>
    <w:p>
      <w:pPr>
        <w:snapToGrid w:val="0"/>
        <w:spacing w:line="396" w:lineRule="auto"/>
        <w:jc w:val="center"/>
        <w:rPr>
          <w:rFonts w:hint="eastAsia"/>
          <w:b/>
          <w:color w:val="FF0000"/>
          <w:sz w:val="24"/>
        </w:rPr>
      </w:pPr>
      <w:r>
        <w:rPr>
          <w:rFonts w:hint="eastAsia"/>
          <w:b/>
          <w:sz w:val="24"/>
        </w:rPr>
        <w:t>表1建设规模及产品方案</w:t>
      </w:r>
    </w:p>
    <w:tbl>
      <w:tblPr>
        <w:tblStyle w:val="TableNormal"/>
        <w:tblW w:w="0" w:type="auto"/>
        <w:jc w:val="center"/>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986"/>
        <w:gridCol w:w="1559"/>
        <w:gridCol w:w="1559"/>
        <w:gridCol w:w="3856"/>
      </w:tblGrid>
      <w:tr>
        <w:tblPrEx>
          <w:tblW w:w="0" w:type="auto"/>
          <w:jc w:val="center"/>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283"/>
          <w:jc w:val="center"/>
        </w:trPr>
        <w:tc>
          <w:tcPr>
            <w:tcW w:w="1986" w:type="dxa"/>
            <w:vAlign w:val="center"/>
          </w:tcPr>
          <w:p>
            <w:pPr>
              <w:autoSpaceDE w:val="0"/>
              <w:autoSpaceDN w:val="0"/>
              <w:adjustRightInd w:val="0"/>
              <w:jc w:val="center"/>
              <w:rPr>
                <w:rFonts w:hint="eastAsia"/>
                <w:bCs/>
                <w:szCs w:val="21"/>
              </w:rPr>
            </w:pPr>
            <w:r>
              <w:rPr>
                <w:rFonts w:hint="eastAsia"/>
                <w:bCs/>
                <w:szCs w:val="21"/>
              </w:rPr>
              <w:t>名称</w:t>
            </w:r>
          </w:p>
        </w:tc>
        <w:tc>
          <w:tcPr>
            <w:tcW w:w="1559" w:type="dxa"/>
            <w:vAlign w:val="center"/>
          </w:tcPr>
          <w:p>
            <w:pPr>
              <w:autoSpaceDE w:val="0"/>
              <w:autoSpaceDN w:val="0"/>
              <w:adjustRightInd w:val="0"/>
              <w:jc w:val="center"/>
              <w:rPr>
                <w:rFonts w:hint="eastAsia"/>
                <w:bCs/>
                <w:szCs w:val="21"/>
              </w:rPr>
            </w:pPr>
            <w:r>
              <w:rPr>
                <w:rFonts w:hint="eastAsia"/>
                <w:bCs/>
                <w:szCs w:val="21"/>
              </w:rPr>
              <w:t>规模（吨/年)</w:t>
            </w:r>
          </w:p>
        </w:tc>
        <w:tc>
          <w:tcPr>
            <w:tcW w:w="1559" w:type="dxa"/>
          </w:tcPr>
          <w:p>
            <w:pPr>
              <w:jc w:val="center"/>
              <w:rPr>
                <w:rFonts w:hint="eastAsia"/>
                <w:szCs w:val="21"/>
              </w:rPr>
            </w:pPr>
            <w:r>
              <w:rPr>
                <w:rFonts w:hint="eastAsia"/>
                <w:szCs w:val="21"/>
              </w:rPr>
              <w:t>规格</w:t>
            </w:r>
          </w:p>
        </w:tc>
        <w:tc>
          <w:tcPr>
            <w:tcW w:w="3856" w:type="dxa"/>
          </w:tcPr>
          <w:p>
            <w:pPr>
              <w:jc w:val="center"/>
              <w:rPr>
                <w:rFonts w:hint="eastAsia"/>
                <w:bCs/>
                <w:szCs w:val="21"/>
              </w:rPr>
            </w:pPr>
            <w:r>
              <w:rPr>
                <w:rFonts w:hint="eastAsia"/>
                <w:bCs/>
                <w:szCs w:val="21"/>
              </w:rPr>
              <w:t>备注</w:t>
            </w:r>
          </w:p>
        </w:tc>
      </w:tr>
      <w:tr>
        <w:tblPrEx>
          <w:tblW w:w="0" w:type="auto"/>
          <w:jc w:val="center"/>
          <w:tblLayout w:type="fixed"/>
          <w:tblCellMar>
            <w:top w:w="0" w:type="dxa"/>
            <w:left w:w="108" w:type="dxa"/>
            <w:bottom w:w="0" w:type="dxa"/>
            <w:right w:w="108" w:type="dxa"/>
          </w:tblCellMar>
          <w:tblLook w:val="0000"/>
        </w:tblPrEx>
        <w:trPr>
          <w:trHeight w:val="283"/>
          <w:jc w:val="center"/>
        </w:trPr>
        <w:tc>
          <w:tcPr>
            <w:tcW w:w="1986" w:type="dxa"/>
            <w:vAlign w:val="center"/>
          </w:tcPr>
          <w:p>
            <w:pPr>
              <w:autoSpaceDE w:val="0"/>
              <w:autoSpaceDN w:val="0"/>
              <w:adjustRightInd w:val="0"/>
              <w:jc w:val="center"/>
              <w:rPr>
                <w:rFonts w:hint="eastAsia"/>
                <w:szCs w:val="21"/>
              </w:rPr>
            </w:pPr>
            <w:bookmarkStart w:id="3" w:name="OLE_LINK11"/>
            <w:r>
              <w:rPr>
                <w:rFonts w:hint="eastAsia"/>
              </w:rPr>
              <w:t>美纹纸胶带</w:t>
            </w:r>
            <w:bookmarkEnd w:id="3"/>
          </w:p>
        </w:tc>
        <w:tc>
          <w:tcPr>
            <w:tcW w:w="1559" w:type="dxa"/>
            <w:vAlign w:val="center"/>
          </w:tcPr>
          <w:p>
            <w:pPr>
              <w:autoSpaceDE w:val="0"/>
              <w:autoSpaceDN w:val="0"/>
              <w:adjustRightInd w:val="0"/>
              <w:jc w:val="center"/>
              <w:rPr>
                <w:rFonts w:hint="eastAsia"/>
                <w:szCs w:val="21"/>
              </w:rPr>
            </w:pPr>
            <w:r>
              <w:t>40500t/</w:t>
            </w:r>
            <w:r>
              <w:rPr>
                <w:rFonts w:hint="eastAsia"/>
              </w:rPr>
              <w:t>a</w:t>
            </w:r>
          </w:p>
        </w:tc>
        <w:tc>
          <w:tcPr>
            <w:tcW w:w="1559" w:type="dxa"/>
            <w:vAlign w:val="center"/>
          </w:tcPr>
          <w:p>
            <w:pPr>
              <w:jc w:val="center"/>
              <w:rPr>
                <w:rFonts w:hint="eastAsia"/>
                <w:szCs w:val="21"/>
              </w:rPr>
            </w:pPr>
            <w:r>
              <w:rPr>
                <w:rFonts w:hint="eastAsia"/>
                <w:szCs w:val="21"/>
              </w:rPr>
              <w:t>克重90g/m</w:t>
            </w:r>
            <w:r>
              <w:rPr>
                <w:rFonts w:hint="eastAsia"/>
                <w:szCs w:val="21"/>
                <w:vertAlign w:val="superscript"/>
              </w:rPr>
              <w:t>2</w:t>
            </w:r>
          </w:p>
        </w:tc>
        <w:tc>
          <w:tcPr>
            <w:tcW w:w="3856" w:type="dxa"/>
          </w:tcPr>
          <w:p>
            <w:pPr>
              <w:jc w:val="center"/>
              <w:rPr>
                <w:rFonts w:hint="eastAsia"/>
                <w:szCs w:val="21"/>
              </w:rPr>
            </w:pPr>
          </w:p>
        </w:tc>
      </w:tr>
      <w:tr>
        <w:tblPrEx>
          <w:tblW w:w="0" w:type="auto"/>
          <w:jc w:val="center"/>
          <w:tblLayout w:type="fixed"/>
          <w:tblCellMar>
            <w:top w:w="0" w:type="dxa"/>
            <w:left w:w="108" w:type="dxa"/>
            <w:bottom w:w="0" w:type="dxa"/>
            <w:right w:w="108" w:type="dxa"/>
          </w:tblCellMar>
          <w:tblLook w:val="0000"/>
        </w:tblPrEx>
        <w:trPr>
          <w:trHeight w:val="283"/>
          <w:jc w:val="center"/>
        </w:trPr>
        <w:tc>
          <w:tcPr>
            <w:tcW w:w="1986" w:type="dxa"/>
            <w:vAlign w:val="center"/>
          </w:tcPr>
          <w:p>
            <w:pPr>
              <w:autoSpaceDE w:val="0"/>
              <w:autoSpaceDN w:val="0"/>
              <w:adjustRightInd w:val="0"/>
              <w:jc w:val="center"/>
              <w:rPr>
                <w:rFonts w:hint="eastAsia"/>
                <w:szCs w:val="21"/>
              </w:rPr>
            </w:pPr>
            <w:r>
              <w:rPr>
                <w:rFonts w:hint="eastAsia"/>
              </w:rPr>
              <w:t>PVC电工胶带</w:t>
            </w:r>
          </w:p>
        </w:tc>
        <w:tc>
          <w:tcPr>
            <w:tcW w:w="1559" w:type="dxa"/>
            <w:vAlign w:val="center"/>
          </w:tcPr>
          <w:p>
            <w:pPr>
              <w:autoSpaceDE w:val="0"/>
              <w:autoSpaceDN w:val="0"/>
              <w:adjustRightInd w:val="0"/>
              <w:jc w:val="center"/>
              <w:rPr>
                <w:rFonts w:hint="eastAsia"/>
                <w:szCs w:val="21"/>
              </w:rPr>
            </w:pPr>
            <w:r>
              <w:rPr>
                <w:rFonts w:hint="eastAsia"/>
              </w:rPr>
              <w:t>9000</w:t>
            </w:r>
            <w:r>
              <w:t xml:space="preserve"> </w:t>
            </w:r>
            <w:r>
              <w:rPr>
                <w:rFonts w:hint="eastAsia"/>
              </w:rPr>
              <w:t>t/a</w:t>
            </w:r>
          </w:p>
        </w:tc>
        <w:tc>
          <w:tcPr>
            <w:tcW w:w="1559" w:type="dxa"/>
            <w:vAlign w:val="center"/>
          </w:tcPr>
          <w:p>
            <w:pPr>
              <w:jc w:val="center"/>
              <w:rPr>
                <w:rFonts w:hint="eastAsia"/>
                <w:szCs w:val="21"/>
              </w:rPr>
            </w:pPr>
            <w:r>
              <w:rPr>
                <w:rFonts w:hint="eastAsia"/>
                <w:szCs w:val="21"/>
              </w:rPr>
              <w:t>克重198g/m</w:t>
            </w:r>
            <w:r>
              <w:rPr>
                <w:rFonts w:hint="eastAsia"/>
                <w:szCs w:val="21"/>
                <w:vertAlign w:val="superscript"/>
              </w:rPr>
              <w:t>2</w:t>
            </w:r>
          </w:p>
        </w:tc>
        <w:tc>
          <w:tcPr>
            <w:tcW w:w="3856" w:type="dxa"/>
          </w:tcPr>
          <w:p>
            <w:pPr>
              <w:jc w:val="center"/>
              <w:rPr>
                <w:rFonts w:hint="eastAsia"/>
                <w:szCs w:val="21"/>
              </w:rPr>
            </w:pPr>
          </w:p>
        </w:tc>
      </w:tr>
      <w:tr>
        <w:tblPrEx>
          <w:tblW w:w="0" w:type="auto"/>
          <w:jc w:val="center"/>
          <w:tblLayout w:type="fixed"/>
          <w:tblCellMar>
            <w:top w:w="0" w:type="dxa"/>
            <w:left w:w="108" w:type="dxa"/>
            <w:bottom w:w="0" w:type="dxa"/>
            <w:right w:w="108" w:type="dxa"/>
          </w:tblCellMar>
          <w:tblLook w:val="0000"/>
        </w:tblPrEx>
        <w:trPr>
          <w:trHeight w:val="283"/>
          <w:jc w:val="center"/>
        </w:trPr>
        <w:tc>
          <w:tcPr>
            <w:tcW w:w="1986" w:type="dxa"/>
            <w:vAlign w:val="center"/>
          </w:tcPr>
          <w:p>
            <w:pPr>
              <w:autoSpaceDE w:val="0"/>
              <w:autoSpaceDN w:val="0"/>
              <w:adjustRightInd w:val="0"/>
              <w:jc w:val="center"/>
              <w:rPr>
                <w:rFonts w:hint="eastAsia"/>
                <w:szCs w:val="21"/>
              </w:rPr>
            </w:pPr>
            <w:r>
              <w:rPr>
                <w:rFonts w:hint="eastAsia"/>
              </w:rPr>
              <w:t>清洁胶带防粘硅纸</w:t>
            </w:r>
          </w:p>
        </w:tc>
        <w:tc>
          <w:tcPr>
            <w:tcW w:w="1559" w:type="dxa"/>
            <w:vAlign w:val="center"/>
          </w:tcPr>
          <w:p>
            <w:pPr>
              <w:autoSpaceDE w:val="0"/>
              <w:autoSpaceDN w:val="0"/>
              <w:adjustRightInd w:val="0"/>
              <w:jc w:val="center"/>
              <w:rPr>
                <w:rFonts w:hint="eastAsia"/>
                <w:szCs w:val="21"/>
              </w:rPr>
            </w:pPr>
            <w:bookmarkStart w:id="4" w:name="OLE_LINK3"/>
            <w:r>
              <w:rPr>
                <w:rFonts w:hint="eastAsia"/>
              </w:rPr>
              <w:t>2000</w:t>
            </w:r>
            <w:bookmarkEnd w:id="4"/>
            <w:r>
              <w:t xml:space="preserve"> </w:t>
            </w:r>
            <w:r>
              <w:rPr>
                <w:rFonts w:hint="eastAsia"/>
              </w:rPr>
              <w:t>t/a</w:t>
            </w:r>
          </w:p>
        </w:tc>
        <w:tc>
          <w:tcPr>
            <w:tcW w:w="1559" w:type="dxa"/>
            <w:vAlign w:val="center"/>
          </w:tcPr>
          <w:p>
            <w:pPr>
              <w:autoSpaceDE w:val="0"/>
              <w:autoSpaceDN w:val="0"/>
              <w:adjustRightInd w:val="0"/>
              <w:jc w:val="center"/>
              <w:rPr>
                <w:rFonts w:hint="eastAsia"/>
                <w:szCs w:val="21"/>
              </w:rPr>
            </w:pPr>
            <w:r>
              <w:rPr>
                <w:rFonts w:hint="eastAsia"/>
                <w:szCs w:val="21"/>
              </w:rPr>
              <w:t>克重40g/m</w:t>
            </w:r>
            <w:r>
              <w:rPr>
                <w:rFonts w:hint="eastAsia"/>
                <w:szCs w:val="21"/>
                <w:vertAlign w:val="superscript"/>
              </w:rPr>
              <w:t>2</w:t>
            </w:r>
          </w:p>
        </w:tc>
        <w:tc>
          <w:tcPr>
            <w:tcW w:w="3856" w:type="dxa"/>
            <w:vAlign w:val="center"/>
          </w:tcPr>
          <w:p>
            <w:pPr>
              <w:autoSpaceDE w:val="0"/>
              <w:autoSpaceDN w:val="0"/>
              <w:adjustRightInd w:val="0"/>
              <w:jc w:val="center"/>
              <w:rPr>
                <w:rFonts w:hint="eastAsia"/>
                <w:szCs w:val="21"/>
              </w:rPr>
            </w:pPr>
          </w:p>
        </w:tc>
      </w:tr>
      <w:tr>
        <w:tblPrEx>
          <w:tblW w:w="0" w:type="auto"/>
          <w:jc w:val="center"/>
          <w:tblLayout w:type="fixed"/>
          <w:tblCellMar>
            <w:top w:w="0" w:type="dxa"/>
            <w:left w:w="108" w:type="dxa"/>
            <w:bottom w:w="0" w:type="dxa"/>
            <w:right w:w="108" w:type="dxa"/>
          </w:tblCellMar>
          <w:tblLook w:val="0000"/>
        </w:tblPrEx>
        <w:trPr>
          <w:trHeight w:val="283"/>
          <w:jc w:val="center"/>
        </w:trPr>
        <w:tc>
          <w:tcPr>
            <w:tcW w:w="1986" w:type="dxa"/>
            <w:vAlign w:val="center"/>
          </w:tcPr>
          <w:p>
            <w:pPr>
              <w:autoSpaceDE w:val="0"/>
              <w:autoSpaceDN w:val="0"/>
              <w:adjustRightInd w:val="0"/>
              <w:jc w:val="center"/>
              <w:rPr>
                <w:rFonts w:hint="eastAsia"/>
                <w:szCs w:val="21"/>
              </w:rPr>
            </w:pPr>
            <w:r>
              <w:rPr>
                <w:rFonts w:hint="eastAsia"/>
                <w:bCs/>
              </w:rPr>
              <w:t>纱布</w:t>
            </w:r>
          </w:p>
        </w:tc>
        <w:tc>
          <w:tcPr>
            <w:tcW w:w="1559" w:type="dxa"/>
            <w:vAlign w:val="center"/>
          </w:tcPr>
          <w:p>
            <w:pPr>
              <w:autoSpaceDE w:val="0"/>
              <w:autoSpaceDN w:val="0"/>
              <w:adjustRightInd w:val="0"/>
              <w:jc w:val="center"/>
              <w:rPr>
                <w:rFonts w:hint="eastAsia"/>
                <w:szCs w:val="21"/>
              </w:rPr>
            </w:pPr>
            <w:r>
              <w:rPr>
                <w:rFonts w:hint="eastAsia"/>
              </w:rPr>
              <w:t>15</w:t>
            </w:r>
            <w:r>
              <w:t xml:space="preserve">00 </w:t>
            </w:r>
            <w:r>
              <w:rPr>
                <w:rFonts w:hint="eastAsia"/>
              </w:rPr>
              <w:t>t/a</w:t>
            </w:r>
          </w:p>
        </w:tc>
        <w:tc>
          <w:tcPr>
            <w:tcW w:w="1559" w:type="dxa"/>
            <w:vAlign w:val="center"/>
          </w:tcPr>
          <w:p>
            <w:pPr>
              <w:autoSpaceDE w:val="0"/>
              <w:autoSpaceDN w:val="0"/>
              <w:adjustRightInd w:val="0"/>
              <w:jc w:val="center"/>
              <w:rPr>
                <w:rFonts w:hint="eastAsia"/>
                <w:szCs w:val="21"/>
              </w:rPr>
            </w:pPr>
            <w:r>
              <w:rPr>
                <w:rFonts w:hint="eastAsia"/>
                <w:szCs w:val="21"/>
              </w:rPr>
              <w:t>克重30g/m</w:t>
            </w:r>
            <w:r>
              <w:rPr>
                <w:rFonts w:hint="eastAsia"/>
                <w:szCs w:val="21"/>
                <w:vertAlign w:val="superscript"/>
              </w:rPr>
              <w:t>2</w:t>
            </w:r>
          </w:p>
        </w:tc>
        <w:tc>
          <w:tcPr>
            <w:tcW w:w="3856" w:type="dxa"/>
            <w:vAlign w:val="center"/>
          </w:tcPr>
          <w:p>
            <w:pPr>
              <w:autoSpaceDE w:val="0"/>
              <w:autoSpaceDN w:val="0"/>
              <w:adjustRightInd w:val="0"/>
              <w:jc w:val="center"/>
              <w:rPr>
                <w:rFonts w:hint="eastAsia"/>
                <w:szCs w:val="21"/>
              </w:rPr>
            </w:pPr>
          </w:p>
        </w:tc>
      </w:tr>
      <w:tr>
        <w:tblPrEx>
          <w:tblW w:w="0" w:type="auto"/>
          <w:jc w:val="center"/>
          <w:tblLayout w:type="fixed"/>
          <w:tblCellMar>
            <w:top w:w="0" w:type="dxa"/>
            <w:left w:w="108" w:type="dxa"/>
            <w:bottom w:w="0" w:type="dxa"/>
            <w:right w:w="108" w:type="dxa"/>
          </w:tblCellMar>
          <w:tblLook w:val="0000"/>
        </w:tblPrEx>
        <w:trPr>
          <w:trHeight w:val="283"/>
          <w:jc w:val="center"/>
        </w:trPr>
        <w:tc>
          <w:tcPr>
            <w:tcW w:w="1986" w:type="dxa"/>
            <w:vAlign w:val="center"/>
          </w:tcPr>
          <w:p>
            <w:pPr>
              <w:autoSpaceDE w:val="0"/>
              <w:autoSpaceDN w:val="0"/>
              <w:adjustRightInd w:val="0"/>
              <w:jc w:val="center"/>
              <w:rPr>
                <w:rFonts w:hint="eastAsia"/>
                <w:bCs/>
              </w:rPr>
            </w:pPr>
            <w:r>
              <w:rPr>
                <w:rFonts w:hint="eastAsia"/>
                <w:szCs w:val="21"/>
              </w:rPr>
              <w:t>橡胶类胶水</w:t>
            </w:r>
          </w:p>
        </w:tc>
        <w:tc>
          <w:tcPr>
            <w:tcW w:w="1559" w:type="dxa"/>
            <w:vAlign w:val="center"/>
          </w:tcPr>
          <w:p>
            <w:pPr>
              <w:autoSpaceDE w:val="0"/>
              <w:autoSpaceDN w:val="0"/>
              <w:adjustRightInd w:val="0"/>
              <w:jc w:val="center"/>
              <w:rPr>
                <w:rFonts w:hint="eastAsia"/>
              </w:rPr>
            </w:pPr>
            <w:r>
              <w:rPr>
                <w:szCs w:val="21"/>
              </w:rPr>
              <w:t>14310</w:t>
            </w:r>
            <w:r>
              <w:t xml:space="preserve"> </w:t>
            </w:r>
            <w:r>
              <w:rPr>
                <w:rFonts w:hint="eastAsia"/>
              </w:rPr>
              <w:t>t/a</w:t>
            </w:r>
          </w:p>
        </w:tc>
        <w:tc>
          <w:tcPr>
            <w:tcW w:w="1559" w:type="dxa"/>
            <w:vAlign w:val="center"/>
          </w:tcPr>
          <w:p>
            <w:pPr>
              <w:autoSpaceDE w:val="0"/>
              <w:autoSpaceDN w:val="0"/>
              <w:adjustRightInd w:val="0"/>
              <w:jc w:val="center"/>
              <w:rPr>
                <w:rFonts w:hint="eastAsia"/>
                <w:szCs w:val="21"/>
              </w:rPr>
            </w:pPr>
          </w:p>
        </w:tc>
        <w:tc>
          <w:tcPr>
            <w:tcW w:w="3856" w:type="dxa"/>
            <w:vAlign w:val="center"/>
          </w:tcPr>
          <w:p>
            <w:pPr>
              <w:autoSpaceDE w:val="0"/>
              <w:autoSpaceDN w:val="0"/>
              <w:adjustRightInd w:val="0"/>
              <w:rPr>
                <w:rFonts w:hint="eastAsia"/>
                <w:szCs w:val="21"/>
              </w:rPr>
            </w:pPr>
            <w:r>
              <w:rPr>
                <w:rFonts w:hint="eastAsia"/>
                <w:szCs w:val="21"/>
              </w:rPr>
              <w:t>全部用于生产美纹纸胶带、PVC胶带、</w:t>
            </w:r>
            <w:r>
              <w:rPr>
                <w:rFonts w:hint="eastAsia"/>
              </w:rPr>
              <w:t>清洁胶带防粘硅纸产品，不外售</w:t>
            </w:r>
          </w:p>
        </w:tc>
      </w:tr>
    </w:tbl>
    <w:p>
      <w:pPr>
        <w:adjustRightInd w:val="0"/>
        <w:snapToGrid w:val="0"/>
        <w:spacing w:line="396" w:lineRule="auto"/>
        <w:ind w:firstLine="480" w:firstLineChars="200"/>
        <w:rPr>
          <w:rFonts w:hAnsi="宋体" w:hint="eastAsia"/>
          <w:bCs/>
          <w:sz w:val="24"/>
        </w:rPr>
      </w:pPr>
    </w:p>
    <w:p>
      <w:pPr>
        <w:adjustRightInd w:val="0"/>
        <w:snapToGrid w:val="0"/>
        <w:spacing w:line="396" w:lineRule="auto"/>
        <w:ind w:firstLine="480" w:firstLineChars="200"/>
        <w:rPr>
          <w:rFonts w:hAnsi="宋体" w:hint="eastAsia"/>
          <w:bCs/>
          <w:sz w:val="24"/>
        </w:rPr>
      </w:pPr>
      <w:r>
        <w:rPr>
          <w:rFonts w:hAnsi="宋体" w:hint="eastAsia"/>
          <w:bCs/>
          <w:sz w:val="24"/>
        </w:rPr>
        <w:t>投资：项目总投资3800万元，其中环保投资约390万元，占工程总投资的10.3</w:t>
      </w:r>
      <w:r>
        <w:rPr>
          <w:rFonts w:hAnsi="宋体"/>
          <w:bCs/>
          <w:sz w:val="24"/>
        </w:rPr>
        <w:t>%</w:t>
      </w:r>
      <w:r>
        <w:rPr>
          <w:rFonts w:hAnsi="宋体" w:hint="eastAsia"/>
          <w:bCs/>
          <w:sz w:val="24"/>
        </w:rPr>
        <w:t>。</w:t>
      </w:r>
    </w:p>
    <w:p>
      <w:pPr>
        <w:pStyle w:val="A12"/>
        <w:spacing w:line="360" w:lineRule="auto"/>
        <w:ind w:firstLine="482"/>
        <w:rPr>
          <w:rFonts w:hint="eastAsia"/>
        </w:rPr>
      </w:pPr>
      <w:bookmarkStart w:id="5" w:name="_Toc352235592"/>
      <w:r>
        <w:rPr>
          <w:rFonts w:hint="eastAsia"/>
        </w:rPr>
        <w:t>3、与</w:t>
      </w:r>
      <w:r>
        <w:t>法律法规、政策、规划的相符性</w:t>
      </w:r>
      <w:bookmarkEnd w:id="5"/>
    </w:p>
    <w:p>
      <w:pPr>
        <w:adjustRightInd w:val="0"/>
        <w:snapToGrid w:val="0"/>
        <w:spacing w:line="396" w:lineRule="auto"/>
        <w:ind w:firstLine="480" w:firstLineChars="200"/>
        <w:rPr>
          <w:rFonts w:hAnsi="宋体"/>
          <w:bCs/>
          <w:sz w:val="24"/>
        </w:rPr>
      </w:pPr>
      <w:r>
        <w:rPr>
          <w:rFonts w:hAnsi="宋体" w:hint="eastAsia"/>
          <w:bCs/>
          <w:sz w:val="24"/>
        </w:rPr>
        <w:t>江西永冠科技发展有限公司胶粘制品生产线建设项目</w:t>
      </w:r>
      <w:r>
        <w:rPr>
          <w:rFonts w:hAnsi="宋体"/>
          <w:bCs/>
          <w:sz w:val="24"/>
        </w:rPr>
        <w:t>，</w:t>
      </w:r>
      <w:r>
        <w:rPr>
          <w:rFonts w:hAnsi="宋体" w:hint="eastAsia"/>
          <w:bCs/>
          <w:sz w:val="24"/>
        </w:rPr>
        <w:t>产品为美纹纸胶带、PVC电工胶带、清洁胶带防粘硅纸和纱布，且中间产品美纹纸全部用于做美纹纸胶带的原材料，不外售，产品不属于</w:t>
      </w:r>
      <w:r>
        <w:rPr>
          <w:rFonts w:hAnsi="宋体"/>
          <w:bCs/>
          <w:sz w:val="24"/>
        </w:rPr>
        <w:t xml:space="preserve">《产业结构调整指导目录（2011年本）修正》 </w:t>
      </w:r>
      <w:r>
        <w:rPr>
          <w:rFonts w:hAnsi="宋体" w:hint="eastAsia"/>
          <w:bCs/>
          <w:sz w:val="24"/>
        </w:rPr>
        <w:t>中</w:t>
      </w:r>
      <w:r>
        <w:rPr>
          <w:rFonts w:hAnsi="宋体"/>
          <w:bCs/>
          <w:sz w:val="24"/>
        </w:rPr>
        <w:t>鼓励类、限制类和淘汰类，符合国家产业政策的要求。</w:t>
      </w:r>
    </w:p>
    <w:p>
      <w:pPr>
        <w:adjustRightInd w:val="0"/>
        <w:snapToGrid w:val="0"/>
        <w:spacing w:line="396" w:lineRule="auto"/>
        <w:ind w:firstLine="480" w:firstLineChars="200"/>
        <w:rPr>
          <w:rFonts w:hAnsi="宋体"/>
          <w:bCs/>
          <w:sz w:val="24"/>
        </w:rPr>
      </w:pPr>
      <w:r>
        <w:rPr>
          <w:rFonts w:hAnsi="宋体"/>
          <w:bCs/>
          <w:sz w:val="24"/>
        </w:rPr>
        <w:t>根据赣环督字[2005]45号的精神，本项目不属于需要特殊保护的区域内禁止和限制的建设项目</w:t>
      </w:r>
      <w:r>
        <w:rPr>
          <w:rFonts w:hAnsi="宋体" w:hint="eastAsia"/>
          <w:bCs/>
          <w:sz w:val="24"/>
        </w:rPr>
        <w:t>，公司生产的产品为胶粘制品，且中间产品美纹纸使用的原料为进口原浆，且中间产品美纹纸全部用于做美纹纸胶带的原材料，不外售，项目生产符合《江西省造纸工业结构调整和</w:t>
      </w:r>
      <w:r>
        <w:rPr>
          <w:rFonts w:hAnsi="宋体" w:hint="eastAsia"/>
          <w:bCs/>
          <w:sz w:val="24"/>
        </w:rPr>
        <w:t>“</w:t>
      </w:r>
      <w:r>
        <w:rPr>
          <w:rFonts w:hAnsi="宋体" w:hint="eastAsia"/>
          <w:bCs/>
          <w:sz w:val="24"/>
        </w:rPr>
        <w:t>十一五</w:t>
      </w:r>
      <w:r>
        <w:rPr>
          <w:rFonts w:hAnsi="宋体" w:hint="eastAsia"/>
          <w:bCs/>
          <w:sz w:val="24"/>
        </w:rPr>
        <w:t>”</w:t>
      </w:r>
      <w:r>
        <w:rPr>
          <w:rFonts w:hAnsi="宋体" w:hint="eastAsia"/>
          <w:bCs/>
          <w:sz w:val="24"/>
        </w:rPr>
        <w:t>发展规划》的要求</w:t>
      </w:r>
      <w:r>
        <w:rPr>
          <w:rFonts w:hAnsi="宋体"/>
          <w:bCs/>
          <w:sz w:val="24"/>
        </w:rPr>
        <w:t>。因此，项目符合地方环保产业政策的要求。</w:t>
      </w:r>
    </w:p>
    <w:p>
      <w:pPr>
        <w:adjustRightInd w:val="0"/>
        <w:snapToGrid w:val="0"/>
        <w:spacing w:line="396" w:lineRule="auto"/>
        <w:ind w:firstLine="480" w:firstLineChars="200"/>
        <w:rPr>
          <w:rFonts w:hAnsi="宋体"/>
          <w:bCs/>
          <w:sz w:val="24"/>
        </w:rPr>
      </w:pPr>
      <w:r>
        <w:rPr>
          <w:rFonts w:hAnsi="宋体" w:hint="eastAsia"/>
          <w:bCs/>
          <w:sz w:val="24"/>
        </w:rPr>
        <w:t>项目厂址位于东乡县经济开发区渊山岗工业园区，</w:t>
      </w:r>
      <w:r>
        <w:rPr>
          <w:rFonts w:hAnsi="宋体"/>
          <w:bCs/>
          <w:sz w:val="24"/>
        </w:rPr>
        <w:t>江西东乡经济开发区是2005年经省政府批准的省级经济开发区，</w:t>
      </w:r>
      <w:r>
        <w:rPr>
          <w:rFonts w:hAnsi="宋体" w:hint="eastAsia"/>
          <w:bCs/>
          <w:sz w:val="24"/>
        </w:rPr>
        <w:t>规划面积10.8平方公里，规划为</w:t>
      </w:r>
      <w:r>
        <w:rPr>
          <w:rFonts w:hAnsi="宋体" w:hint="eastAsia"/>
          <w:bCs/>
          <w:sz w:val="24"/>
        </w:rPr>
        <w:t>“</w:t>
      </w:r>
      <w:r>
        <w:rPr>
          <w:rFonts w:hAnsi="宋体" w:hint="eastAsia"/>
          <w:bCs/>
          <w:sz w:val="24"/>
        </w:rPr>
        <w:t>一区四园</w:t>
      </w:r>
      <w:r>
        <w:rPr>
          <w:rFonts w:hAnsi="宋体" w:hint="eastAsia"/>
          <w:bCs/>
          <w:sz w:val="24"/>
        </w:rPr>
        <w:t>”</w:t>
      </w:r>
      <w:r>
        <w:rPr>
          <w:rFonts w:hAnsi="宋体" w:hint="eastAsia"/>
          <w:bCs/>
          <w:sz w:val="24"/>
        </w:rPr>
        <w:t>即开发区，东山工业园、大富工业园、渊山岗工业园、南山工业园，开发区初步形成了医药、化工、机电、轻纺、陶瓷五大主导产业；根据《东乡经济开发区控制性详细规划》，渊山工业园的产业定位为以轻纺、机电、陶瓷等为主的二类工业用地及化工为主的三类工业用地，江西省环境保护局以赣环督字[2008]375号文对东乡经济开发区项目规划环评进行了批复，要求北片区不得设置化工项目等三类工业和大气污染型项目。江西永冠科技发展有限公司的产品为胶粘制品，建设在东乡县经济开发区渊山岗工业园，属经济开发区南片区，因此符合东乡经济开发区控制性详细规划和规划环评的要求。</w:t>
      </w:r>
    </w:p>
    <w:p>
      <w:pPr>
        <w:pStyle w:val="A6"/>
        <w:spacing w:before="240" w:after="120" w:line="360" w:lineRule="auto"/>
        <w:rPr>
          <w:rFonts w:hint="eastAsia"/>
        </w:rPr>
        <w:sectPr>
          <w:headerReference w:type="default" r:id="rId11"/>
          <w:footerReference w:type="even" r:id="rId12"/>
          <w:footerReference w:type="default" r:id="rId13"/>
          <w:type w:val="nextPage"/>
          <w:pgSz w:w="11906" w:h="16838"/>
          <w:pgMar w:top="1134" w:right="1418" w:bottom="1418" w:left="1418" w:header="851" w:footer="936" w:gutter="0"/>
          <w:pgNumType w:start="2"/>
          <w:cols w:space="708"/>
          <w:titlePg w:val="0"/>
          <w:docGrid w:linePitch="312"/>
        </w:sectPr>
      </w:pPr>
      <w:bookmarkStart w:id="6" w:name="_Toc352235593"/>
    </w:p>
    <w:p>
      <w:pPr>
        <w:pStyle w:val="A6"/>
        <w:spacing w:before="240" w:after="120" w:line="360" w:lineRule="auto"/>
        <w:rPr>
          <w:rFonts w:hint="eastAsia"/>
        </w:rPr>
      </w:pPr>
      <w:r>
        <w:rPr>
          <w:rFonts w:hint="eastAsia"/>
        </w:rPr>
        <w:t>（二）</w:t>
      </w:r>
      <w:r>
        <w:t>建设项目周围环境现状</w:t>
      </w:r>
      <w:bookmarkEnd w:id="6"/>
    </w:p>
    <w:p>
      <w:pPr>
        <w:pStyle w:val="A12"/>
        <w:spacing w:line="360" w:lineRule="auto"/>
        <w:ind w:firstLine="482"/>
        <w:rPr>
          <w:rFonts w:hint="eastAsia"/>
        </w:rPr>
      </w:pPr>
      <w:bookmarkStart w:id="7" w:name="_Toc352235594"/>
      <w:r>
        <w:rPr>
          <w:rFonts w:hint="eastAsia"/>
        </w:rPr>
        <w:t>1、</w:t>
      </w:r>
      <w:r>
        <w:t>建设项目</w:t>
      </w:r>
      <w:r>
        <w:rPr>
          <w:rFonts w:hint="eastAsia"/>
        </w:rPr>
        <w:t>周围环境现状</w:t>
      </w:r>
      <w:bookmarkEnd w:id="7"/>
    </w:p>
    <w:p>
      <w:pPr>
        <w:autoSpaceDE w:val="0"/>
        <w:autoSpaceDN w:val="0"/>
        <w:adjustRightInd w:val="0"/>
        <w:snapToGrid w:val="0"/>
        <w:spacing w:line="360" w:lineRule="auto"/>
        <w:ind w:firstLine="499" w:firstLineChars="208"/>
        <w:rPr>
          <w:rFonts w:hint="eastAsia"/>
          <w:sz w:val="24"/>
        </w:rPr>
      </w:pPr>
      <w:r>
        <w:rPr>
          <w:rFonts w:hAnsi="宋体" w:hint="eastAsia"/>
          <w:bCs/>
          <w:sz w:val="24"/>
        </w:rPr>
        <w:t>抚州</w:t>
      </w:r>
      <w:r>
        <w:rPr>
          <w:rFonts w:hAnsi="宋体"/>
          <w:bCs/>
          <w:sz w:val="24"/>
        </w:rPr>
        <w:t>市</w:t>
      </w:r>
      <w:r>
        <w:rPr>
          <w:sz w:val="24"/>
        </w:rPr>
        <w:t>环境监测站</w:t>
      </w:r>
      <w:r>
        <w:rPr>
          <w:rFonts w:hint="eastAsia"/>
          <w:sz w:val="24"/>
        </w:rPr>
        <w:t>市</w:t>
      </w:r>
      <w:r>
        <w:rPr>
          <w:sz w:val="24"/>
        </w:rPr>
        <w:t>环境监测站</w:t>
      </w:r>
      <w:r>
        <w:rPr>
          <w:rFonts w:hint="eastAsia"/>
          <w:sz w:val="24"/>
        </w:rPr>
        <w:t>于</w:t>
      </w:r>
      <w:r>
        <w:rPr>
          <w:sz w:val="24"/>
        </w:rPr>
        <w:t>201</w:t>
      </w:r>
      <w:r>
        <w:rPr>
          <w:rFonts w:hint="eastAsia"/>
          <w:sz w:val="24"/>
        </w:rPr>
        <w:t>2</w:t>
      </w:r>
      <w:r>
        <w:rPr>
          <w:sz w:val="24"/>
        </w:rPr>
        <w:t>年</w:t>
      </w:r>
      <w:r>
        <w:rPr>
          <w:rFonts w:hint="eastAsia"/>
          <w:sz w:val="24"/>
        </w:rPr>
        <w:t>6</w:t>
      </w:r>
      <w:r>
        <w:rPr>
          <w:sz w:val="24"/>
        </w:rPr>
        <w:t>月</w:t>
      </w:r>
      <w:r>
        <w:rPr>
          <w:rFonts w:hint="eastAsia"/>
          <w:sz w:val="24"/>
        </w:rPr>
        <w:t>27</w:t>
      </w:r>
      <w:r>
        <w:rPr>
          <w:sz w:val="24"/>
        </w:rPr>
        <w:t>日-</w:t>
      </w:r>
      <w:r>
        <w:rPr>
          <w:rFonts w:hint="eastAsia"/>
          <w:sz w:val="24"/>
        </w:rPr>
        <w:t>7</w:t>
      </w:r>
      <w:r>
        <w:rPr>
          <w:sz w:val="24"/>
        </w:rPr>
        <w:t>月</w:t>
      </w:r>
      <w:r>
        <w:rPr>
          <w:rFonts w:hint="eastAsia"/>
          <w:sz w:val="24"/>
        </w:rPr>
        <w:t>3</w:t>
      </w:r>
      <w:r>
        <w:rPr>
          <w:sz w:val="24"/>
        </w:rPr>
        <w:t>日现场监测，</w:t>
      </w:r>
      <w:r>
        <w:rPr>
          <w:rFonts w:hint="eastAsia"/>
          <w:sz w:val="24"/>
        </w:rPr>
        <w:t>在项目</w:t>
      </w:r>
      <w:r>
        <w:rPr>
          <w:sz w:val="24"/>
        </w:rPr>
        <w:t>主导风上风向100米处，A2厂址处，A3主导风下风向1000米处</w:t>
      </w:r>
      <w:r>
        <w:rPr>
          <w:rFonts w:hint="eastAsia"/>
          <w:sz w:val="24"/>
        </w:rPr>
        <w:t>,共设置3个环境空气现状监测点，监测结果表明，各测点环境空气中</w:t>
      </w:r>
      <w:r>
        <w:rPr>
          <w:rFonts w:hint="eastAsia"/>
          <w:spacing w:val="4"/>
          <w:kern w:val="24"/>
          <w:sz w:val="24"/>
          <w:lang w:val="zh-CN"/>
        </w:rPr>
        <w:t>TSP</w:t>
      </w:r>
      <w:r>
        <w:rPr>
          <w:spacing w:val="4"/>
          <w:kern w:val="24"/>
          <w:sz w:val="24"/>
          <w:lang w:val="zh-CN"/>
        </w:rPr>
        <w:t>、PM</w:t>
      </w:r>
      <w:r>
        <w:rPr>
          <w:spacing w:val="4"/>
          <w:kern w:val="24"/>
          <w:sz w:val="24"/>
          <w:vertAlign w:val="subscript"/>
          <w:lang w:val="zh-CN"/>
        </w:rPr>
        <w:t>10</w:t>
      </w:r>
      <w:r>
        <w:rPr>
          <w:spacing w:val="4"/>
          <w:kern w:val="24"/>
          <w:sz w:val="24"/>
          <w:lang w:val="zh-CN"/>
        </w:rPr>
        <w:t>、SO</w:t>
      </w:r>
      <w:r>
        <w:rPr>
          <w:spacing w:val="4"/>
          <w:kern w:val="24"/>
          <w:sz w:val="24"/>
          <w:vertAlign w:val="subscript"/>
          <w:lang w:val="zh-CN"/>
        </w:rPr>
        <w:t>2</w:t>
      </w:r>
      <w:r>
        <w:rPr>
          <w:spacing w:val="4"/>
          <w:kern w:val="24"/>
          <w:sz w:val="24"/>
          <w:lang w:val="zh-CN"/>
        </w:rPr>
        <w:t>、NO</w:t>
      </w:r>
      <w:r>
        <w:rPr>
          <w:spacing w:val="4"/>
          <w:kern w:val="24"/>
          <w:sz w:val="24"/>
          <w:vertAlign w:val="subscript"/>
          <w:lang w:val="zh-CN"/>
        </w:rPr>
        <w:t>2</w:t>
      </w:r>
      <w:r>
        <w:rPr>
          <w:spacing w:val="4"/>
          <w:kern w:val="24"/>
          <w:sz w:val="24"/>
          <w:lang w:val="zh-CN"/>
        </w:rPr>
        <w:t>日均值均可满足《环境空气质量标准》(GB3095-1996)中二级标准要求</w:t>
      </w:r>
      <w:r>
        <w:rPr>
          <w:rFonts w:hint="eastAsia"/>
          <w:spacing w:val="4"/>
          <w:kern w:val="24"/>
          <w:sz w:val="24"/>
          <w:lang w:val="zh-CN"/>
        </w:rPr>
        <w:t>，</w:t>
      </w:r>
      <w:r>
        <w:rPr>
          <w:rFonts w:hint="eastAsia"/>
          <w:sz w:val="24"/>
        </w:rPr>
        <w:t>甲苯</w:t>
      </w:r>
      <w:r>
        <w:rPr>
          <w:spacing w:val="4"/>
          <w:kern w:val="24"/>
          <w:sz w:val="24"/>
          <w:lang w:val="zh-CN"/>
        </w:rPr>
        <w:t>日均值可满足</w:t>
      </w:r>
      <w:r>
        <w:rPr>
          <w:rFonts w:hint="eastAsia"/>
          <w:sz w:val="24"/>
        </w:rPr>
        <w:t>苏联居民区大气中有害物质的最大允许浓度,</w:t>
      </w:r>
      <w:r>
        <w:rPr>
          <w:sz w:val="24"/>
        </w:rPr>
        <w:t xml:space="preserve"> 非甲烷总烃</w:t>
      </w:r>
      <w:r>
        <w:rPr>
          <w:spacing w:val="4"/>
          <w:kern w:val="24"/>
          <w:sz w:val="24"/>
          <w:lang w:val="zh-CN"/>
        </w:rPr>
        <w:t>日均值可满足</w:t>
      </w:r>
      <w:r>
        <w:rPr>
          <w:sz w:val="24"/>
        </w:rPr>
        <w:t>以色列空气质量标准</w:t>
      </w:r>
      <w:r>
        <w:rPr>
          <w:rFonts w:hint="eastAsia"/>
          <w:sz w:val="24"/>
        </w:rPr>
        <w:t>.</w:t>
      </w:r>
    </w:p>
    <w:p>
      <w:pPr>
        <w:autoSpaceDE w:val="0"/>
        <w:autoSpaceDN w:val="0"/>
        <w:adjustRightInd w:val="0"/>
        <w:snapToGrid w:val="0"/>
        <w:spacing w:line="360" w:lineRule="auto"/>
        <w:ind w:firstLine="499" w:firstLineChars="208"/>
        <w:rPr>
          <w:rFonts w:hint="eastAsia"/>
          <w:sz w:val="24"/>
        </w:rPr>
      </w:pPr>
      <w:r>
        <w:rPr>
          <w:rFonts w:hint="eastAsia"/>
          <w:sz w:val="24"/>
        </w:rPr>
        <w:t>项目外排废水经处理后排入北港，在</w:t>
      </w:r>
      <w:r>
        <w:rPr>
          <w:sz w:val="24"/>
        </w:rPr>
        <w:t>排污口入北港上游500m</w:t>
      </w:r>
      <w:r>
        <w:rPr>
          <w:rFonts w:hint="eastAsia"/>
          <w:sz w:val="24"/>
        </w:rPr>
        <w:t>处、</w:t>
      </w:r>
      <w:r>
        <w:rPr>
          <w:sz w:val="24"/>
        </w:rPr>
        <w:t>排污口入北港</w:t>
      </w:r>
      <w:r>
        <w:rPr>
          <w:rFonts w:hint="eastAsia"/>
          <w:sz w:val="24"/>
        </w:rPr>
        <w:t>处、</w:t>
      </w:r>
      <w:r>
        <w:rPr>
          <w:sz w:val="24"/>
        </w:rPr>
        <w:t>下游</w:t>
      </w:r>
      <w:r>
        <w:rPr>
          <w:rFonts w:hint="eastAsia"/>
          <w:sz w:val="24"/>
        </w:rPr>
        <w:t>1000</w:t>
      </w:r>
      <w:r>
        <w:rPr>
          <w:sz w:val="24"/>
        </w:rPr>
        <w:t>m处、下游</w:t>
      </w:r>
      <w:r>
        <w:rPr>
          <w:rFonts w:hint="eastAsia"/>
          <w:sz w:val="24"/>
        </w:rPr>
        <w:t>3000</w:t>
      </w:r>
      <w:r>
        <w:rPr>
          <w:sz w:val="24"/>
        </w:rPr>
        <w:t>m处和下游</w:t>
      </w:r>
      <w:r>
        <w:rPr>
          <w:rFonts w:hint="eastAsia"/>
          <w:sz w:val="24"/>
        </w:rPr>
        <w:t>5000</w:t>
      </w:r>
      <w:r>
        <w:rPr>
          <w:sz w:val="24"/>
        </w:rPr>
        <w:t>m处</w:t>
      </w:r>
      <w:r>
        <w:rPr>
          <w:rFonts w:hint="eastAsia"/>
          <w:sz w:val="24"/>
        </w:rPr>
        <w:t>共设置5个地表水环境现状监测断面，现状监测结果表明，各断面水质中</w:t>
      </w:r>
      <w:r>
        <w:rPr>
          <w:bCs/>
          <w:sz w:val="24"/>
        </w:rPr>
        <w:t>pH、COD</w:t>
      </w:r>
      <w:r>
        <w:rPr>
          <w:bCs/>
          <w:sz w:val="24"/>
          <w:vertAlign w:val="subscript"/>
        </w:rPr>
        <w:t>Cr</w:t>
      </w:r>
      <w:r>
        <w:rPr>
          <w:bCs/>
          <w:sz w:val="24"/>
        </w:rPr>
        <w:t>、BOD</w:t>
      </w:r>
      <w:r>
        <w:rPr>
          <w:bCs/>
          <w:sz w:val="24"/>
          <w:vertAlign w:val="subscript"/>
        </w:rPr>
        <w:t>5</w:t>
      </w:r>
      <w:r>
        <w:rPr>
          <w:bCs/>
          <w:sz w:val="24"/>
        </w:rPr>
        <w:t>、NH</w:t>
      </w:r>
      <w:r>
        <w:rPr>
          <w:bCs/>
          <w:sz w:val="24"/>
          <w:vertAlign w:val="subscript"/>
        </w:rPr>
        <w:t>3</w:t>
      </w:r>
      <w:r>
        <w:rPr>
          <w:bCs/>
          <w:sz w:val="24"/>
        </w:rPr>
        <w:t>-N、</w:t>
      </w:r>
      <w:r>
        <w:rPr>
          <w:rFonts w:hint="eastAsia"/>
          <w:bCs/>
          <w:sz w:val="24"/>
        </w:rPr>
        <w:t>石油类</w:t>
      </w:r>
      <w:r>
        <w:rPr>
          <w:sz w:val="24"/>
        </w:rPr>
        <w:t>、</w:t>
      </w:r>
      <w:r>
        <w:rPr>
          <w:rFonts w:hint="eastAsia"/>
          <w:sz w:val="24"/>
        </w:rPr>
        <w:t>甲苯等指标均可满足《地表水环境质量标准》（GB3838-2002）中</w:t>
      </w:r>
      <w:r>
        <w:rPr>
          <w:rFonts w:hint="eastAsia"/>
          <w:sz w:val="24"/>
        </w:rPr>
        <w:t>Ⅲ</w:t>
      </w:r>
      <w:r>
        <w:rPr>
          <w:rFonts w:hint="eastAsia"/>
          <w:sz w:val="24"/>
        </w:rPr>
        <w:t>类标准。</w:t>
      </w:r>
    </w:p>
    <w:p>
      <w:pPr>
        <w:autoSpaceDE w:val="0"/>
        <w:autoSpaceDN w:val="0"/>
        <w:adjustRightInd w:val="0"/>
        <w:snapToGrid w:val="0"/>
        <w:spacing w:line="360" w:lineRule="auto"/>
        <w:ind w:firstLine="499" w:firstLineChars="208"/>
        <w:rPr>
          <w:rFonts w:hint="eastAsia"/>
          <w:sz w:val="24"/>
        </w:rPr>
      </w:pPr>
      <w:r>
        <w:rPr>
          <w:rFonts w:hint="eastAsia"/>
          <w:sz w:val="24"/>
        </w:rPr>
        <w:t>在厂址</w:t>
      </w:r>
      <w:r>
        <w:rPr>
          <w:sz w:val="24"/>
        </w:rPr>
        <w:t>、</w:t>
      </w:r>
      <w:r>
        <w:rPr>
          <w:rFonts w:hint="eastAsia"/>
          <w:sz w:val="24"/>
        </w:rPr>
        <w:t>桂家山</w:t>
      </w:r>
      <w:r>
        <w:rPr>
          <w:sz w:val="24"/>
        </w:rPr>
        <w:t>、</w:t>
      </w:r>
      <w:r>
        <w:rPr>
          <w:rFonts w:hint="eastAsia"/>
          <w:sz w:val="24"/>
        </w:rPr>
        <w:t>桐岗上共设置3个地下水环境现状监测点，现状监测结果表明，各测点水质中</w:t>
      </w:r>
      <w:r>
        <w:rPr>
          <w:sz w:val="24"/>
        </w:rPr>
        <w:t>pH、高锰酸盐指数、氨氮(NH</w:t>
      </w:r>
      <w:r>
        <w:rPr>
          <w:sz w:val="24"/>
          <w:vertAlign w:val="subscript"/>
        </w:rPr>
        <w:t>3</w:t>
      </w:r>
      <w:r>
        <w:rPr>
          <w:sz w:val="24"/>
        </w:rPr>
        <w:t>-N)、硫酸盐</w:t>
      </w:r>
      <w:r>
        <w:rPr>
          <w:rFonts w:hint="eastAsia"/>
          <w:sz w:val="24"/>
        </w:rPr>
        <w:t>等指标均可满足《地下水质量标准》（GB/T14848-93）中</w:t>
      </w:r>
      <w:r>
        <w:rPr>
          <w:rFonts w:hint="eastAsia"/>
          <w:sz w:val="24"/>
        </w:rPr>
        <w:t>Ⅲ</w:t>
      </w:r>
      <w:r>
        <w:rPr>
          <w:rFonts w:hint="eastAsia"/>
          <w:sz w:val="24"/>
        </w:rPr>
        <w:t>类标准。</w:t>
      </w:r>
    </w:p>
    <w:p>
      <w:pPr>
        <w:autoSpaceDE w:val="0"/>
        <w:autoSpaceDN w:val="0"/>
        <w:adjustRightInd w:val="0"/>
        <w:snapToGrid w:val="0"/>
        <w:spacing w:line="360" w:lineRule="auto"/>
        <w:ind w:firstLine="499" w:firstLineChars="208"/>
        <w:rPr>
          <w:rFonts w:hint="eastAsia"/>
          <w:sz w:val="24"/>
        </w:rPr>
      </w:pPr>
      <w:r>
        <w:rPr>
          <w:rFonts w:hint="eastAsia"/>
          <w:sz w:val="24"/>
        </w:rPr>
        <w:t>在厂址</w:t>
      </w:r>
      <w:r>
        <w:rPr>
          <w:sz w:val="24"/>
        </w:rPr>
        <w:t>、</w:t>
      </w:r>
      <w:r>
        <w:rPr>
          <w:rFonts w:hint="eastAsia"/>
          <w:sz w:val="24"/>
        </w:rPr>
        <w:t>桂家山共设置2个土壤环境质量现状监测点，现状监测结果表明，两测点土壤中</w:t>
      </w:r>
      <w:r>
        <w:rPr>
          <w:sz w:val="24"/>
        </w:rPr>
        <w:t>pH、Cu、Pb、</w:t>
      </w:r>
      <w:r>
        <w:rPr>
          <w:rFonts w:cs="Arial" w:hint="eastAsia"/>
          <w:sz w:val="24"/>
          <w:lang w:val="zh-CN"/>
        </w:rPr>
        <w:t>锌</w:t>
      </w:r>
      <w:r>
        <w:rPr>
          <w:sz w:val="24"/>
        </w:rPr>
        <w:t>、</w:t>
      </w:r>
      <w:r>
        <w:rPr>
          <w:rFonts w:cs="Arial" w:hint="eastAsia"/>
          <w:sz w:val="24"/>
          <w:lang w:val="zh-CN"/>
        </w:rPr>
        <w:t>铬</w:t>
      </w:r>
      <w:r>
        <w:rPr>
          <w:sz w:val="24"/>
        </w:rPr>
        <w:t>、</w:t>
      </w:r>
      <w:r>
        <w:rPr>
          <w:rFonts w:hint="eastAsia"/>
          <w:sz w:val="24"/>
        </w:rPr>
        <w:t>镉等指标均可满足《土壤环境质量标准》（GB15618-1995）中二级标准。</w:t>
      </w:r>
    </w:p>
    <w:p>
      <w:pPr>
        <w:autoSpaceDE w:val="0"/>
        <w:autoSpaceDN w:val="0"/>
        <w:adjustRightInd w:val="0"/>
        <w:snapToGrid w:val="0"/>
        <w:spacing w:line="360" w:lineRule="auto"/>
        <w:ind w:firstLine="499" w:firstLineChars="208"/>
        <w:rPr>
          <w:rFonts w:hint="eastAsia"/>
          <w:sz w:val="24"/>
        </w:rPr>
      </w:pPr>
      <w:r>
        <w:rPr>
          <w:rFonts w:hint="eastAsia"/>
          <w:sz w:val="24"/>
        </w:rPr>
        <w:t>声环境现状监测结果表明，厂界四周昼夜间等效连续A声级值均可满足《声环境质量标准》（GB3096-2008）中3类标准要求。</w:t>
      </w:r>
    </w:p>
    <w:p>
      <w:pPr>
        <w:pStyle w:val="A12"/>
        <w:spacing w:line="360" w:lineRule="auto"/>
        <w:ind w:firstLine="482"/>
        <w:rPr>
          <w:rFonts w:hint="eastAsia"/>
        </w:rPr>
      </w:pPr>
      <w:bookmarkStart w:id="8" w:name="_Toc352235595"/>
      <w:r>
        <w:rPr>
          <w:rFonts w:hint="eastAsia"/>
        </w:rPr>
        <w:t>2、</w:t>
      </w:r>
      <w:r>
        <w:t>建设项目环境影响评价范围</w:t>
      </w:r>
      <w:bookmarkEnd w:id="8"/>
    </w:p>
    <w:p>
      <w:pPr>
        <w:adjustRightInd w:val="0"/>
        <w:snapToGrid w:val="0"/>
        <w:spacing w:line="396" w:lineRule="auto"/>
        <w:ind w:firstLine="480" w:firstLineChars="200"/>
        <w:rPr>
          <w:sz w:val="24"/>
        </w:rPr>
      </w:pPr>
      <w:r>
        <w:rPr>
          <w:sz w:val="24"/>
        </w:rPr>
        <w:t>(1) 环境空气：本次评价范围定为以</w:t>
      </w:r>
      <w:r>
        <w:rPr>
          <w:rFonts w:hint="eastAsia"/>
          <w:sz w:val="24"/>
        </w:rPr>
        <w:t>锅炉房的排气筒</w:t>
      </w:r>
      <w:r>
        <w:rPr>
          <w:sz w:val="24"/>
        </w:rPr>
        <w:t>为中心点，周边半径为</w:t>
      </w:r>
      <w:r>
        <w:rPr>
          <w:rFonts w:hint="eastAsia"/>
          <w:sz w:val="24"/>
        </w:rPr>
        <w:t>2.5</w:t>
      </w:r>
      <w:r>
        <w:rPr>
          <w:sz w:val="24"/>
        </w:rPr>
        <w:t>km的范围。</w:t>
      </w:r>
    </w:p>
    <w:p>
      <w:pPr>
        <w:adjustRightInd w:val="0"/>
        <w:snapToGrid w:val="0"/>
        <w:spacing w:line="396" w:lineRule="auto"/>
        <w:ind w:firstLine="480" w:firstLineChars="200"/>
        <w:rPr>
          <w:sz w:val="24"/>
        </w:rPr>
      </w:pPr>
      <w:r>
        <w:rPr>
          <w:sz w:val="24"/>
        </w:rPr>
        <w:t>(2) 地表水：废水排放口上游500m至下游5000m的水域。</w:t>
      </w:r>
    </w:p>
    <w:p>
      <w:pPr>
        <w:widowControl/>
        <w:numPr>
          <w:ilvl w:val="0"/>
          <w:numId w:val="1"/>
        </w:numPr>
        <w:tabs>
          <w:tab w:val="left" w:pos="990"/>
        </w:tabs>
        <w:adjustRightInd w:val="0"/>
        <w:snapToGrid w:val="0"/>
        <w:spacing w:line="396" w:lineRule="auto"/>
        <w:jc w:val="left"/>
        <w:rPr>
          <w:sz w:val="24"/>
        </w:rPr>
      </w:pPr>
      <w:r>
        <w:rPr>
          <w:sz w:val="24"/>
        </w:rPr>
        <w:t>声环境：为厂界外100m。</w:t>
      </w:r>
    </w:p>
    <w:p>
      <w:pPr>
        <w:widowControl/>
        <w:numPr>
          <w:ilvl w:val="0"/>
          <w:numId w:val="1"/>
        </w:numPr>
        <w:tabs>
          <w:tab w:val="left" w:pos="990"/>
          <w:tab w:val="left" w:pos="7620"/>
        </w:tabs>
        <w:adjustRightInd w:val="0"/>
        <w:snapToGrid w:val="0"/>
        <w:spacing w:line="396" w:lineRule="auto"/>
        <w:jc w:val="left"/>
        <w:rPr>
          <w:rFonts w:hint="eastAsia"/>
          <w:sz w:val="24"/>
        </w:rPr>
      </w:pPr>
      <w:r>
        <w:rPr>
          <w:sz w:val="24"/>
        </w:rPr>
        <w:t>风险评价范围：大气环境影响评价范围为距离源点3km。</w:t>
      </w:r>
    </w:p>
    <w:p>
      <w:pPr>
        <w:widowControl/>
        <w:numPr>
          <w:ilvl w:val="0"/>
          <w:numId w:val="1"/>
        </w:numPr>
        <w:tabs>
          <w:tab w:val="left" w:pos="990"/>
          <w:tab w:val="left" w:pos="7620"/>
        </w:tabs>
        <w:adjustRightInd w:val="0"/>
        <w:snapToGrid w:val="0"/>
        <w:spacing w:line="396" w:lineRule="auto"/>
        <w:jc w:val="left"/>
        <w:rPr>
          <w:sz w:val="24"/>
        </w:rPr>
      </w:pPr>
      <w:r>
        <w:rPr>
          <w:rFonts w:hint="eastAsia"/>
          <w:sz w:val="24"/>
        </w:rPr>
        <w:t>地下水：厂界边界向外延伸1公里。</w:t>
      </w:r>
    </w:p>
    <w:p>
      <w:pPr>
        <w:adjustRightInd w:val="0"/>
        <w:snapToGrid w:val="0"/>
        <w:spacing w:line="360" w:lineRule="auto"/>
        <w:ind w:firstLine="480" w:firstLineChars="200"/>
        <w:rPr>
          <w:rFonts w:hint="eastAsia"/>
          <w:color w:val="000000"/>
          <w:sz w:val="24"/>
        </w:rPr>
      </w:pPr>
      <w:r>
        <w:rPr>
          <w:rFonts w:hint="eastAsia"/>
          <w:color w:val="000000"/>
          <w:sz w:val="24"/>
        </w:rPr>
        <w:t>评价范围示意图见图1</w:t>
      </w:r>
    </w:p>
    <w:p>
      <w:pPr>
        <w:adjustRightInd w:val="0"/>
        <w:snapToGrid w:val="0"/>
        <w:spacing w:line="360" w:lineRule="auto"/>
        <w:ind w:firstLine="480" w:firstLineChars="200"/>
        <w:rPr>
          <w:rFonts w:hint="eastAsia"/>
          <w:color w:val="000000"/>
          <w:sz w:val="24"/>
        </w:rPr>
        <w:sectPr>
          <w:headerReference w:type="default" r:id="rId14"/>
          <w:footerReference w:type="even" r:id="rId15"/>
          <w:footerReference w:type="default" r:id="rId16"/>
          <w:type w:val="nextPage"/>
          <w:pgSz w:w="11906" w:h="16838"/>
          <w:pgMar w:top="1134" w:right="1418" w:bottom="1418" w:left="1418" w:header="851" w:footer="936" w:gutter="0"/>
          <w:pgNumType w:start="3"/>
          <w:cols w:space="708"/>
          <w:titlePg w:val="0"/>
          <w:docGrid w:linePitch="312"/>
        </w:sectPr>
      </w:pPr>
    </w:p>
    <w:p>
      <w:pPr>
        <w:ind w:left="-945" w:right="-945" w:leftChars="-450" w:rightChars="-450"/>
        <w:jc w:val="center"/>
        <w:rPr>
          <w:rFonts w:hint="eastAsia"/>
        </w:rPr>
      </w:pPr>
      <w:r>
        <w:pict>
          <v:group id="画布 20" o:spid="_x0000_i1025" editas="canvas" style="width:438pt;height:364.95pt;mso-position-horizontal-relative:char;mso-position-vertical-relative:line" coordorigin="1800,1504" coordsize="8760,7299">
            <o:lock v:ext="edit" aspectratio="t" text="t"/>
            <o:diagram v:ext="edit" dgmstyle="0" dgmscalex="0" dgmscaley="0" revers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editas="canvas" style="width:8760;height:7299;left:1800;mso-position-horizontal-relative:char;mso-position-vertical-relative:line;mso-wrap-style:square;position:absolute;top:1504" o:preferrelative="f" filled="f" stroked="t">
              <v:fill o:detectmouseclick="t"/>
              <v:stroke linestyle="single"/>
              <o:lock v:ext="edit" aspectratio="t" text="t"/>
              <o:diagram v:ext="edit" dgmstyle="0" dgmscalex="0" dgmscaley="0" reverse="f"/>
            </v:shape>
            <v:shape id="图片 22" o:spid="_x0000_s1027" type="#_x0000_t75" style="width:8745;height:6780;left:1801;mso-wrap-style:square;position:absolute;top:1504" filled="f" stroked="f">
              <v:stroke linestyle="single"/>
              <v:imagedata r:id="rId17" o:title="风险评价范围图(简本用)副本"/>
              <v:path o:extrusionok="f"/>
              <o:lock v:ext="edit" aspectratio="t"/>
            </v:shape>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自选图形 23" o:spid="_x0000_s1028" type="#_x0000_t61" style="width:2159;height:467;left:2160;mso-wrap-style:square;position:absolute;top:4079" adj="22320,36910" stroked="t" strokecolor="red" strokeweight="1.25pt">
              <v:stroke linestyle="single"/>
              <v:textbox>
                <w:txbxContent>
                  <w:p>
                    <w:pPr>
                      <w:jc w:val="center"/>
                    </w:pPr>
                    <w:r>
                      <w:rPr>
                        <w:rFonts w:hint="eastAsia"/>
                      </w:rPr>
                      <w:t>地表水评价范围</w:t>
                    </w:r>
                  </w:p>
                </w:txbxContent>
              </v:textbox>
            </v:shape>
            <v:shape id="自选图形 24" o:spid="_x0000_s1029" type="#_x0000_t61" style="width:2159;height:467;left:5053;mso-wrap-style:square;position:absolute;top:4403" adj="22320,36910" stroked="t" strokecolor="red" strokeweight="1.25pt">
              <v:stroke linestyle="single"/>
              <v:textbox>
                <w:txbxContent>
                  <w:p>
                    <w:pPr>
                      <w:jc w:val="center"/>
                    </w:pPr>
                    <w:r>
                      <w:rPr>
                        <w:rFonts w:hint="eastAsia"/>
                      </w:rPr>
                      <w:t>声环境评价范围</w:t>
                    </w:r>
                  </w:p>
                </w:txbxContent>
              </v:textbox>
            </v:shape>
            <v:shape id="自选图形 25" o:spid="_x0000_s1030" type="#_x0000_t61" style="width:2159;height:467;left:4205;mso-wrap-style:square;position:absolute;top:5248" adj="22320,36910" stroked="t" strokecolor="red" strokeweight="1.25pt">
              <v:stroke linestyle="single"/>
              <v:textbox>
                <w:txbxContent>
                  <w:p>
                    <w:pPr>
                      <w:jc w:val="center"/>
                    </w:pPr>
                    <w:r>
                      <w:rPr>
                        <w:rFonts w:hint="eastAsia"/>
                      </w:rPr>
                      <w:t>地下水评价范围</w:t>
                    </w:r>
                  </w:p>
                </w:txbxContent>
              </v:textbox>
            </v:shape>
            <v:shape id="自选图形 26" o:spid="_x0000_s1031" type="#_x0000_t61" style="width:2520;height:467;left:4320;mso-wrap-style:square;position:absolute;top:1942" adj="19123,36910" stroked="t" strokecolor="red" strokeweight="1.25pt">
              <v:stroke linestyle="single"/>
              <v:textbox>
                <w:txbxContent>
                  <w:p>
                    <w:pPr>
                      <w:jc w:val="center"/>
                    </w:pPr>
                    <w:r>
                      <w:rPr>
                        <w:rFonts w:hint="eastAsia"/>
                      </w:rPr>
                      <w:t>大气环境影响评价范围</w:t>
                    </w:r>
                  </w:p>
                </w:txbxContent>
              </v:textbox>
            </v:shape>
            <v:shape id="自选图形 27" o:spid="_x0000_s1032" type="#_x0000_t61" style="width:2340;height:467;left:7380;mso-wrap-style:square;position:absolute;top:4624" adj="194,38528" stroked="t" strokecolor="#3cc" strokeweight="1.25pt">
              <v:stroke linestyle="single"/>
              <v:textbox>
                <w:txbxContent>
                  <w:p>
                    <w:pPr>
                      <w:jc w:val="center"/>
                    </w:pPr>
                    <w:r>
                      <w:rPr>
                        <w:rFonts w:hint="eastAsia"/>
                      </w:rPr>
                      <w:t>锅炉排气筒所在位置轩</w:t>
                    </w:r>
                  </w:p>
                </w:txbxContent>
              </v:textbox>
            </v:shape>
            <v:rect id="矩形 28" o:spid="_x0000_s1033" style="width:179;height:228;left:6840;mso-wrap-style:square;position:absolute;top:8452" filled="t" fillcolor="red" stroked="t" strokecolor="red">
              <v:stroke linestyle="single"/>
            </v:rect>
            <v:shapetype id="_x0000_t202" coordsize="21600,21600" o:spt="202" path="m,l,21600r21600,l21600,xe">
              <v:stroke joinstyle="miter"/>
              <v:path gradientshapeok="t" o:connecttype="rect"/>
            </v:shapetype>
            <v:shape id="文本框 29" o:spid="_x0000_s1034" type="#_x0000_t202" style="width:2700;height:468;left:5999;mso-wrap-style:square;position:absolute;top:8335" filled="f" stroked="f">
              <v:stroke linestyle="single"/>
              <v:textbox>
                <w:txbxContent>
                  <w:p>
                    <w:pPr>
                      <w:rPr>
                        <w:rFonts w:hint="eastAsia"/>
                      </w:rPr>
                    </w:pPr>
                    <w:r>
                      <w:rPr>
                        <w:rFonts w:hint="eastAsia"/>
                      </w:rPr>
                      <w:t>图例:     项目所处位置</w:t>
                    </w:r>
                  </w:p>
                </w:txbxContent>
              </v:textbox>
            </v:shape>
            <v:shape id="自选图形 30" o:spid="_x0000_s1035" type="#_x0000_t61" style="width:2160;height:468;left:3587;mso-wrap-style:square;position:absolute;top:2961" adj="22320,36923" stroked="t" strokecolor="red" strokeweight="1.25pt">
              <v:stroke linestyle="single"/>
              <v:textbox>
                <w:txbxContent>
                  <w:p>
                    <w:pPr>
                      <w:jc w:val="center"/>
                    </w:pPr>
                    <w:r>
                      <w:rPr>
                        <w:rFonts w:hint="eastAsia"/>
                      </w:rPr>
                      <w:t>环境空气评价范围</w:t>
                    </w:r>
                  </w:p>
                </w:txbxContent>
              </v:textbox>
            </v:shape>
            <w10:wrap type="none"/>
            <w10:anchorlock/>
          </v:group>
        </w:pict>
      </w:r>
    </w:p>
    <w:p>
      <w:pPr>
        <w:adjustRightInd w:val="0"/>
        <w:snapToGrid w:val="0"/>
        <w:spacing w:line="396" w:lineRule="auto"/>
        <w:ind w:firstLine="480" w:firstLineChars="200"/>
        <w:rPr>
          <w:rFonts w:hint="eastAsia"/>
          <w:sz w:val="24"/>
        </w:rPr>
      </w:pPr>
    </w:p>
    <w:p>
      <w:pPr>
        <w:adjustRightInd w:val="0"/>
        <w:snapToGrid w:val="0"/>
        <w:spacing w:line="396" w:lineRule="auto"/>
        <w:ind w:firstLine="480" w:firstLineChars="200"/>
        <w:jc w:val="center"/>
        <w:rPr>
          <w:rFonts w:hint="eastAsia"/>
          <w:sz w:val="24"/>
        </w:rPr>
      </w:pPr>
      <w:r>
        <w:rPr>
          <w:rFonts w:hint="eastAsia"/>
          <w:b/>
          <w:sz w:val="24"/>
        </w:rPr>
        <w:t>图1 建设项目评价范围示意图      比例 1：500000</w:t>
      </w:r>
    </w:p>
    <w:p>
      <w:pPr>
        <w:pStyle w:val="A6"/>
        <w:spacing w:before="240" w:after="120" w:line="360" w:lineRule="auto"/>
        <w:rPr>
          <w:rFonts w:hint="eastAsia"/>
        </w:rPr>
        <w:sectPr>
          <w:headerReference w:type="default" r:id="rId18"/>
          <w:footerReference w:type="even" r:id="rId19"/>
          <w:footerReference w:type="default" r:id="rId20"/>
          <w:type w:val="nextPage"/>
          <w:pgSz w:w="11906" w:h="16838"/>
          <w:pgMar w:top="1134" w:right="1418" w:bottom="1418" w:left="1418" w:header="851" w:footer="936" w:gutter="0"/>
          <w:pgNumType w:start="4"/>
          <w:cols w:space="708"/>
          <w:titlePg w:val="0"/>
          <w:docGrid w:linePitch="312"/>
        </w:sectPr>
      </w:pPr>
      <w:bookmarkStart w:id="9" w:name="_Toc352235596"/>
    </w:p>
    <w:p>
      <w:pPr>
        <w:pStyle w:val="A6"/>
        <w:spacing w:before="240" w:after="120" w:line="360" w:lineRule="auto"/>
        <w:rPr>
          <w:rFonts w:hint="eastAsia"/>
        </w:rPr>
      </w:pPr>
      <w:r>
        <w:rPr>
          <w:rFonts w:hint="eastAsia"/>
        </w:rPr>
        <w:t>（三）</w:t>
      </w:r>
      <w:r>
        <w:t>建设项目环境影响预测及拟采取的主要措施与效果</w:t>
      </w:r>
      <w:bookmarkEnd w:id="9"/>
    </w:p>
    <w:p>
      <w:pPr>
        <w:pStyle w:val="A12"/>
        <w:spacing w:line="420" w:lineRule="auto"/>
        <w:ind w:firstLine="482"/>
        <w:rPr>
          <w:rFonts w:hint="eastAsia"/>
        </w:rPr>
      </w:pPr>
      <w:bookmarkStart w:id="10" w:name="_Toc352235597"/>
      <w:r>
        <w:rPr>
          <w:rFonts w:hint="eastAsia"/>
        </w:rPr>
        <w:t>1、</w:t>
      </w:r>
      <w:r>
        <w:t>建设项目</w:t>
      </w:r>
      <w:r>
        <w:rPr>
          <w:rFonts w:hint="eastAsia"/>
        </w:rPr>
        <w:t>主要污染物排放情况</w:t>
      </w:r>
      <w:bookmarkEnd w:id="10"/>
    </w:p>
    <w:p>
      <w:pPr>
        <w:adjustRightInd w:val="0"/>
        <w:snapToGrid w:val="0"/>
        <w:spacing w:line="408" w:lineRule="auto"/>
        <w:ind w:firstLine="480" w:firstLineChars="200"/>
        <w:rPr>
          <w:rFonts w:hint="eastAsia"/>
          <w:sz w:val="24"/>
        </w:rPr>
      </w:pPr>
      <w:bookmarkStart w:id="11" w:name="_Toc272482151"/>
      <w:bookmarkStart w:id="12" w:name="_Toc272482431"/>
      <w:r>
        <w:rPr>
          <w:rFonts w:ascii="宋体" w:hAnsi="宋体" w:hint="eastAsia"/>
          <w:sz w:val="24"/>
        </w:rPr>
        <w:t>（1）</w:t>
      </w:r>
      <w:r>
        <w:rPr>
          <w:rFonts w:hint="eastAsia"/>
          <w:sz w:val="24"/>
        </w:rPr>
        <w:t>废气污染源及其污染物排放情况</w:t>
      </w:r>
    </w:p>
    <w:p>
      <w:pPr>
        <w:adjustRightInd w:val="0"/>
        <w:snapToGrid w:val="0"/>
        <w:spacing w:line="408" w:lineRule="auto"/>
        <w:ind w:firstLine="480" w:firstLineChars="200"/>
        <w:rPr>
          <w:sz w:val="24"/>
        </w:rPr>
      </w:pPr>
      <w:r>
        <w:rPr>
          <w:rFonts w:hint="eastAsia"/>
          <w:sz w:val="24"/>
        </w:rPr>
        <w:t>项目废气主要是包括燃煤废气、工艺废气。工艺废气</w:t>
      </w:r>
      <w:r>
        <w:rPr>
          <w:sz w:val="24"/>
        </w:rPr>
        <w:t>包括含</w:t>
      </w:r>
      <w:r>
        <w:rPr>
          <w:rFonts w:hint="eastAsia"/>
          <w:sz w:val="24"/>
        </w:rPr>
        <w:t>甲苯</w:t>
      </w:r>
      <w:r>
        <w:rPr>
          <w:sz w:val="24"/>
        </w:rPr>
        <w:t>废气</w:t>
      </w:r>
      <w:r>
        <w:rPr>
          <w:rFonts w:hint="eastAsia"/>
          <w:sz w:val="24"/>
        </w:rPr>
        <w:t>、</w:t>
      </w:r>
      <w:r>
        <w:rPr>
          <w:sz w:val="24"/>
        </w:rPr>
        <w:t>热胶废气和无组织废气</w:t>
      </w:r>
      <w:r>
        <w:rPr>
          <w:rFonts w:hint="eastAsia"/>
          <w:sz w:val="24"/>
        </w:rPr>
        <w:t>。</w:t>
      </w:r>
    </w:p>
    <w:p>
      <w:pPr>
        <w:spacing w:line="408" w:lineRule="auto"/>
        <w:rPr>
          <w:sz w:val="24"/>
        </w:rPr>
      </w:pPr>
      <w:r>
        <w:rPr>
          <w:rFonts w:hint="eastAsia"/>
          <w:sz w:val="24"/>
        </w:rPr>
        <w:t xml:space="preserve">     </w:t>
      </w:r>
      <w:r>
        <w:rPr>
          <w:rFonts w:ascii="宋体" w:hAnsi="宋体" w:hint="eastAsia"/>
          <w:kern w:val="0"/>
          <w:sz w:val="24"/>
        </w:rPr>
        <w:t>①</w:t>
      </w:r>
      <w:r>
        <w:rPr>
          <w:rFonts w:hint="eastAsia"/>
          <w:sz w:val="24"/>
        </w:rPr>
        <w:t>燃煤废气</w:t>
      </w:r>
    </w:p>
    <w:p>
      <w:pPr>
        <w:spacing w:line="408" w:lineRule="auto"/>
        <w:ind w:firstLine="600" w:firstLineChars="250"/>
        <w:rPr>
          <w:rFonts w:hint="eastAsia"/>
          <w:sz w:val="24"/>
        </w:rPr>
      </w:pPr>
      <w:r>
        <w:rPr>
          <w:sz w:val="24"/>
        </w:rPr>
        <w:t>燃煤废气主要来自锅炉和导热油炉燃烧煤工段，燃煤废气主要污染物为SO</w:t>
      </w:r>
      <w:r>
        <w:rPr>
          <w:sz w:val="24"/>
          <w:vertAlign w:val="subscript"/>
        </w:rPr>
        <w:t>2</w:t>
      </w:r>
      <w:r>
        <w:rPr>
          <w:sz w:val="24"/>
        </w:rPr>
        <w:t>、烟尘和NO</w:t>
      </w:r>
      <w:r>
        <w:rPr>
          <w:sz w:val="24"/>
          <w:vertAlign w:val="subscript"/>
        </w:rPr>
        <w:t>X</w:t>
      </w:r>
      <w:r>
        <w:rPr>
          <w:sz w:val="24"/>
        </w:rPr>
        <w:t>，</w:t>
      </w:r>
      <w:r>
        <w:rPr>
          <w:rFonts w:hint="eastAsia"/>
          <w:sz w:val="24"/>
        </w:rPr>
        <w:t>燃煤废气</w:t>
      </w:r>
      <w:r>
        <w:rPr>
          <w:sz w:val="24"/>
        </w:rPr>
        <w:t>排</w:t>
      </w:r>
      <w:r>
        <w:rPr>
          <w:rFonts w:hint="eastAsia"/>
          <w:sz w:val="24"/>
        </w:rPr>
        <w:t>气</w:t>
      </w:r>
      <w:r>
        <w:rPr>
          <w:sz w:val="24"/>
        </w:rPr>
        <w:t>量</w:t>
      </w:r>
      <w:r>
        <w:rPr>
          <w:rFonts w:hint="eastAsia"/>
          <w:sz w:val="24"/>
        </w:rPr>
        <w:t>12349</w:t>
      </w:r>
      <w:r>
        <w:rPr>
          <w:sz w:val="24"/>
        </w:rPr>
        <w:t>m</w:t>
      </w:r>
      <w:r>
        <w:rPr>
          <w:sz w:val="24"/>
          <w:vertAlign w:val="superscript"/>
        </w:rPr>
        <w:t>3</w:t>
      </w:r>
      <w:r>
        <w:rPr>
          <w:sz w:val="24"/>
        </w:rPr>
        <w:t>/h，</w:t>
      </w:r>
      <w:r>
        <w:rPr>
          <w:rFonts w:hint="eastAsia"/>
          <w:sz w:val="24"/>
        </w:rPr>
        <w:t>主要污染物SO</w:t>
      </w:r>
      <w:r>
        <w:rPr>
          <w:rFonts w:hint="eastAsia"/>
          <w:sz w:val="24"/>
          <w:vertAlign w:val="subscript"/>
        </w:rPr>
        <w:t>2</w:t>
      </w:r>
      <w:r>
        <w:rPr>
          <w:rFonts w:hint="eastAsia"/>
          <w:sz w:val="24"/>
        </w:rPr>
        <w:t>、</w:t>
      </w:r>
      <w:r>
        <w:rPr>
          <w:sz w:val="24"/>
        </w:rPr>
        <w:t>烟尘</w:t>
      </w:r>
      <w:r>
        <w:rPr>
          <w:rFonts w:hint="eastAsia"/>
          <w:sz w:val="24"/>
        </w:rPr>
        <w:t>、NO</w:t>
      </w:r>
      <w:r>
        <w:rPr>
          <w:rFonts w:hint="eastAsia"/>
          <w:sz w:val="24"/>
          <w:vertAlign w:val="subscript"/>
        </w:rPr>
        <w:t>X</w:t>
      </w:r>
      <w:r>
        <w:rPr>
          <w:sz w:val="24"/>
        </w:rPr>
        <w:t>产生浓度为</w:t>
      </w:r>
      <w:r>
        <w:rPr>
          <w:rFonts w:hint="eastAsia"/>
          <w:sz w:val="24"/>
        </w:rPr>
        <w:t>1555</w:t>
      </w:r>
      <w:r>
        <w:rPr>
          <w:sz w:val="24"/>
        </w:rPr>
        <w:t>mg/m</w:t>
      </w:r>
      <w:r>
        <w:rPr>
          <w:sz w:val="24"/>
          <w:vertAlign w:val="superscript"/>
        </w:rPr>
        <w:t>3</w:t>
      </w:r>
      <w:r>
        <w:rPr>
          <w:rFonts w:hint="eastAsia"/>
          <w:sz w:val="24"/>
        </w:rPr>
        <w:t>、3702</w:t>
      </w:r>
      <w:r>
        <w:rPr>
          <w:sz w:val="24"/>
        </w:rPr>
        <w:t>mg/m</w:t>
      </w:r>
      <w:r>
        <w:rPr>
          <w:sz w:val="24"/>
          <w:vertAlign w:val="superscript"/>
        </w:rPr>
        <w:t>3</w:t>
      </w:r>
      <w:r>
        <w:rPr>
          <w:rFonts w:hint="eastAsia"/>
          <w:sz w:val="24"/>
        </w:rPr>
        <w:t>、286</w:t>
      </w:r>
      <w:r>
        <w:rPr>
          <w:sz w:val="24"/>
        </w:rPr>
        <w:t>mg/m</w:t>
      </w:r>
      <w:r>
        <w:rPr>
          <w:sz w:val="24"/>
          <w:vertAlign w:val="superscript"/>
        </w:rPr>
        <w:t>3</w:t>
      </w:r>
      <w:r>
        <w:rPr>
          <w:rFonts w:hint="eastAsia"/>
          <w:sz w:val="24"/>
        </w:rPr>
        <w:t>，</w:t>
      </w:r>
      <w:r>
        <w:rPr>
          <w:sz w:val="24"/>
        </w:rPr>
        <w:t>采用旋流板塔脱硫除尘</w:t>
      </w:r>
      <w:r>
        <w:rPr>
          <w:snapToGrid w:val="0"/>
          <w:sz w:val="24"/>
        </w:rPr>
        <w:t>装置（双</w:t>
      </w:r>
      <w:r>
        <w:rPr>
          <w:sz w:val="24"/>
        </w:rPr>
        <w:t>碱法）对燃煤废气进行治理，治理后烟尘的去除效率为95%，SO</w:t>
      </w:r>
      <w:r>
        <w:rPr>
          <w:sz w:val="24"/>
          <w:vertAlign w:val="subscript"/>
        </w:rPr>
        <w:t>2</w:t>
      </w:r>
      <w:r>
        <w:rPr>
          <w:sz w:val="24"/>
        </w:rPr>
        <w:t>的去除效率</w:t>
      </w:r>
      <w:r>
        <w:rPr>
          <w:rFonts w:hint="eastAsia"/>
          <w:sz w:val="24"/>
        </w:rPr>
        <w:t>为</w:t>
      </w:r>
      <w:r>
        <w:rPr>
          <w:sz w:val="24"/>
        </w:rPr>
        <w:t>80%，NO</w:t>
      </w:r>
      <w:r>
        <w:rPr>
          <w:sz w:val="24"/>
          <w:vertAlign w:val="subscript"/>
        </w:rPr>
        <w:t>X</w:t>
      </w:r>
      <w:r>
        <w:rPr>
          <w:sz w:val="24"/>
        </w:rPr>
        <w:t>的去除效率为30%，</w:t>
      </w:r>
      <w:r>
        <w:rPr>
          <w:rFonts w:hint="eastAsia"/>
          <w:sz w:val="24"/>
        </w:rPr>
        <w:t>处理后的燃煤废气经1根40米高烟囱排放；</w:t>
      </w:r>
    </w:p>
    <w:p>
      <w:pPr>
        <w:adjustRightInd w:val="0"/>
        <w:snapToGrid w:val="0"/>
        <w:spacing w:line="408" w:lineRule="auto"/>
        <w:ind w:firstLine="480" w:firstLineChars="200"/>
        <w:rPr>
          <w:rFonts w:ascii="宋体" w:hAnsi="宋体"/>
          <w:kern w:val="0"/>
          <w:sz w:val="24"/>
        </w:rPr>
      </w:pPr>
      <w:r>
        <w:rPr>
          <w:rFonts w:ascii="宋体" w:hAnsi="宋体" w:hint="eastAsia"/>
          <w:kern w:val="0"/>
          <w:sz w:val="24"/>
        </w:rPr>
        <w:t>②</w:t>
      </w:r>
      <w:r>
        <w:rPr>
          <w:rFonts w:hint="eastAsia"/>
          <w:sz w:val="24"/>
        </w:rPr>
        <w:t>甲苯</w:t>
      </w:r>
      <w:r>
        <w:rPr>
          <w:sz w:val="24"/>
        </w:rPr>
        <w:t>废气</w:t>
      </w:r>
    </w:p>
    <w:p>
      <w:pPr>
        <w:spacing w:line="408" w:lineRule="auto"/>
        <w:ind w:firstLine="480" w:firstLineChars="200"/>
        <w:rPr>
          <w:sz w:val="24"/>
        </w:rPr>
      </w:pPr>
      <w:bookmarkEnd w:id="11"/>
      <w:bookmarkEnd w:id="12"/>
      <w:r>
        <w:rPr>
          <w:sz w:val="24"/>
        </w:rPr>
        <w:t>含</w:t>
      </w:r>
      <w:r>
        <w:rPr>
          <w:rFonts w:hint="eastAsia"/>
          <w:sz w:val="24"/>
        </w:rPr>
        <w:t>甲苯</w:t>
      </w:r>
      <w:r>
        <w:rPr>
          <w:sz w:val="24"/>
        </w:rPr>
        <w:t>废气来源于：</w:t>
      </w:r>
    </w:p>
    <w:p>
      <w:pPr>
        <w:spacing w:line="408" w:lineRule="auto"/>
        <w:ind w:firstLine="480" w:firstLineChars="200"/>
        <w:rPr>
          <w:rFonts w:hint="eastAsia"/>
          <w:sz w:val="24"/>
        </w:rPr>
      </w:pPr>
      <w:r>
        <w:rPr>
          <w:rFonts w:hint="eastAsia"/>
          <w:sz w:val="24"/>
        </w:rPr>
        <w:t>a、PVC电工胶带生产的烘干工序中产生的含甲苯废气</w:t>
      </w:r>
      <w:r>
        <w:rPr>
          <w:sz w:val="24"/>
        </w:rPr>
        <w:t>，</w:t>
      </w:r>
      <w:r>
        <w:rPr>
          <w:rFonts w:hint="eastAsia"/>
          <w:sz w:val="24"/>
        </w:rPr>
        <w:t>PVC电工胶带生产分布在4个生产车间，其中烘干工序分布在两个车间，烘干生产线采用整体密闭风管（在净化系统中用以输送气流的管道称为风管，通过风管使系统的设备和部件连成一个整体</w:t>
      </w:r>
      <w:r>
        <w:rPr>
          <w:sz w:val="24"/>
        </w:rPr>
        <w:t>）</w:t>
      </w:r>
      <w:r>
        <w:rPr>
          <w:rFonts w:hint="eastAsia"/>
          <w:sz w:val="24"/>
        </w:rPr>
        <w:t>收集烘干工序中产生的含甲苯废气，收集后的含甲苯废气</w:t>
      </w:r>
      <w:r>
        <w:rPr>
          <w:sz w:val="24"/>
        </w:rPr>
        <w:t>送至</w:t>
      </w:r>
      <w:r>
        <w:rPr>
          <w:rFonts w:hint="eastAsia"/>
          <w:sz w:val="24"/>
        </w:rPr>
        <w:t>甲苯回收装置回收，通过回收装置后甲苯</w:t>
      </w:r>
      <w:r>
        <w:rPr>
          <w:sz w:val="24"/>
        </w:rPr>
        <w:t>的</w:t>
      </w:r>
      <w:r>
        <w:rPr>
          <w:rFonts w:hint="eastAsia"/>
          <w:sz w:val="24"/>
        </w:rPr>
        <w:t>排放</w:t>
      </w:r>
      <w:r>
        <w:rPr>
          <w:sz w:val="24"/>
        </w:rPr>
        <w:t>量为</w:t>
      </w:r>
      <w:r>
        <w:rPr>
          <w:rFonts w:hint="eastAsia"/>
          <w:sz w:val="24"/>
        </w:rPr>
        <w:t>3.9</w:t>
      </w:r>
      <w:r>
        <w:rPr>
          <w:sz w:val="24"/>
        </w:rPr>
        <w:t>t/a</w:t>
      </w:r>
      <w:r>
        <w:rPr>
          <w:rFonts w:hint="eastAsia"/>
          <w:sz w:val="24"/>
        </w:rPr>
        <w:t>，甲苯</w:t>
      </w:r>
      <w:r>
        <w:rPr>
          <w:sz w:val="24"/>
        </w:rPr>
        <w:t>产生浓度约</w:t>
      </w:r>
      <w:r>
        <w:rPr>
          <w:rFonts w:hint="eastAsia"/>
          <w:sz w:val="24"/>
        </w:rPr>
        <w:t>108.3</w:t>
      </w:r>
      <w:r>
        <w:rPr>
          <w:sz w:val="24"/>
        </w:rPr>
        <w:t>mg/m</w:t>
      </w:r>
      <w:r>
        <w:rPr>
          <w:sz w:val="24"/>
          <w:vertAlign w:val="superscript"/>
        </w:rPr>
        <w:t>3</w:t>
      </w:r>
      <w:r>
        <w:rPr>
          <w:sz w:val="24"/>
        </w:rPr>
        <w:t xml:space="preserve"> (</w:t>
      </w:r>
      <w:r>
        <w:rPr>
          <w:rFonts w:hint="eastAsia"/>
          <w:sz w:val="24"/>
        </w:rPr>
        <w:t>3.9</w:t>
      </w:r>
      <w:r>
        <w:rPr>
          <w:sz w:val="24"/>
        </w:rPr>
        <w:t>×10</w:t>
      </w:r>
      <w:r>
        <w:rPr>
          <w:sz w:val="24"/>
          <w:vertAlign w:val="superscript"/>
        </w:rPr>
        <w:t>9</w:t>
      </w:r>
      <w:r>
        <w:rPr>
          <w:sz w:val="24"/>
        </w:rPr>
        <w:t>/</w:t>
      </w:r>
      <w:r>
        <w:rPr>
          <w:rFonts w:hint="eastAsia"/>
          <w:sz w:val="24"/>
        </w:rPr>
        <w:t>2500</w:t>
      </w:r>
      <w:r>
        <w:rPr>
          <w:sz w:val="24"/>
        </w:rPr>
        <w:t>×</w:t>
      </w:r>
      <w:r>
        <w:rPr>
          <w:rFonts w:hint="eastAsia"/>
          <w:sz w:val="24"/>
        </w:rPr>
        <w:t>24</w:t>
      </w:r>
      <w:r>
        <w:rPr>
          <w:sz w:val="24"/>
        </w:rPr>
        <w:t>×300×</w:t>
      </w:r>
      <w:r>
        <w:rPr>
          <w:rFonts w:hint="eastAsia"/>
          <w:sz w:val="24"/>
        </w:rPr>
        <w:t>2</w:t>
      </w:r>
      <w:r>
        <w:rPr>
          <w:sz w:val="24"/>
        </w:rPr>
        <w:t>)</w:t>
      </w:r>
      <w:r>
        <w:rPr>
          <w:rFonts w:hint="eastAsia"/>
          <w:sz w:val="24"/>
        </w:rPr>
        <w:t>，通过活性炭吸附后甲苯排放</w:t>
      </w:r>
      <w:r>
        <w:rPr>
          <w:sz w:val="24"/>
        </w:rPr>
        <w:t>浓度约</w:t>
      </w:r>
      <w:r>
        <w:rPr>
          <w:rFonts w:hint="eastAsia"/>
          <w:sz w:val="24"/>
        </w:rPr>
        <w:t>10.8</w:t>
      </w:r>
      <w:r>
        <w:rPr>
          <w:sz w:val="24"/>
        </w:rPr>
        <w:t>mg/m</w:t>
      </w:r>
      <w:r>
        <w:rPr>
          <w:sz w:val="24"/>
          <w:vertAlign w:val="superscript"/>
        </w:rPr>
        <w:t>3</w:t>
      </w:r>
      <w:r>
        <w:rPr>
          <w:rFonts w:hint="eastAsia"/>
          <w:sz w:val="24"/>
        </w:rPr>
        <w:t>，通过2根15m排气筒排放。</w:t>
      </w:r>
    </w:p>
    <w:p>
      <w:pPr>
        <w:spacing w:line="408" w:lineRule="auto"/>
        <w:ind w:firstLine="480" w:firstLineChars="200"/>
        <w:rPr>
          <w:rFonts w:hint="eastAsia"/>
          <w:sz w:val="24"/>
        </w:rPr>
      </w:pPr>
      <w:r>
        <w:rPr>
          <w:rFonts w:hint="eastAsia"/>
          <w:sz w:val="24"/>
        </w:rPr>
        <w:t>b、美纹纸胶带的烘干工序中产生的含甲苯尾气</w:t>
      </w:r>
      <w:r>
        <w:rPr>
          <w:sz w:val="24"/>
        </w:rPr>
        <w:t>，</w:t>
      </w:r>
      <w:r>
        <w:rPr>
          <w:rFonts w:hint="eastAsia"/>
          <w:sz w:val="24"/>
        </w:rPr>
        <w:t>美纹纸胶带生产分布在2个生产车间，烘干生产线采用整体密闭风管（在净化系统中用以输送气流的管道称为风管，通过风管使系统的设备和部件连成一个整体</w:t>
      </w:r>
      <w:r>
        <w:rPr>
          <w:sz w:val="24"/>
        </w:rPr>
        <w:t>）</w:t>
      </w:r>
      <w:r>
        <w:rPr>
          <w:rFonts w:hint="eastAsia"/>
          <w:sz w:val="24"/>
        </w:rPr>
        <w:t>收集烘干工序中产生的含甲苯废气，收集后的含甲苯废气</w:t>
      </w:r>
      <w:r>
        <w:rPr>
          <w:sz w:val="24"/>
        </w:rPr>
        <w:t>送至</w:t>
      </w:r>
      <w:r>
        <w:rPr>
          <w:rFonts w:hint="eastAsia"/>
          <w:sz w:val="24"/>
        </w:rPr>
        <w:t>甲苯回收装置回收，通过回收装置后甲苯</w:t>
      </w:r>
      <w:r>
        <w:rPr>
          <w:sz w:val="24"/>
        </w:rPr>
        <w:t>的</w:t>
      </w:r>
      <w:r>
        <w:rPr>
          <w:rFonts w:hint="eastAsia"/>
          <w:sz w:val="24"/>
        </w:rPr>
        <w:t>排放</w:t>
      </w:r>
      <w:r>
        <w:rPr>
          <w:sz w:val="24"/>
        </w:rPr>
        <w:t>量为67.5t/a</w:t>
      </w:r>
      <w:r>
        <w:rPr>
          <w:rFonts w:hint="eastAsia"/>
          <w:sz w:val="24"/>
        </w:rPr>
        <w:t>，甲苯</w:t>
      </w:r>
      <w:r>
        <w:rPr>
          <w:sz w:val="24"/>
        </w:rPr>
        <w:t>产生浓度约</w:t>
      </w:r>
      <w:r>
        <w:rPr>
          <w:rFonts w:hint="eastAsia"/>
          <w:sz w:val="24"/>
        </w:rPr>
        <w:t>312.5</w:t>
      </w:r>
      <w:r>
        <w:rPr>
          <w:sz w:val="24"/>
        </w:rPr>
        <w:t>mg/m</w:t>
      </w:r>
      <w:r>
        <w:rPr>
          <w:sz w:val="24"/>
          <w:vertAlign w:val="superscript"/>
        </w:rPr>
        <w:t>3</w:t>
      </w:r>
      <w:r>
        <w:rPr>
          <w:sz w:val="24"/>
        </w:rPr>
        <w:t xml:space="preserve"> (67.5×10</w:t>
      </w:r>
      <w:r>
        <w:rPr>
          <w:sz w:val="24"/>
          <w:vertAlign w:val="superscript"/>
        </w:rPr>
        <w:t>9</w:t>
      </w:r>
      <w:r>
        <w:rPr>
          <w:sz w:val="24"/>
        </w:rPr>
        <w:t>/</w:t>
      </w:r>
      <w:r>
        <w:rPr>
          <w:rFonts w:hint="eastAsia"/>
          <w:sz w:val="24"/>
        </w:rPr>
        <w:t>15000</w:t>
      </w:r>
      <w:r>
        <w:rPr>
          <w:sz w:val="24"/>
        </w:rPr>
        <w:t>×</w:t>
      </w:r>
      <w:r>
        <w:rPr>
          <w:rFonts w:hint="eastAsia"/>
          <w:sz w:val="24"/>
        </w:rPr>
        <w:t>24</w:t>
      </w:r>
      <w:r>
        <w:rPr>
          <w:sz w:val="24"/>
        </w:rPr>
        <w:t>×300×</w:t>
      </w:r>
      <w:r>
        <w:rPr>
          <w:rFonts w:hint="eastAsia"/>
          <w:sz w:val="24"/>
        </w:rPr>
        <w:t>2</w:t>
      </w:r>
      <w:r>
        <w:rPr>
          <w:sz w:val="24"/>
        </w:rPr>
        <w:t>)</w:t>
      </w:r>
      <w:r>
        <w:rPr>
          <w:rFonts w:hint="eastAsia"/>
          <w:sz w:val="24"/>
        </w:rPr>
        <w:t>，通过活性炭吸附后甲苯排放</w:t>
      </w:r>
      <w:r>
        <w:rPr>
          <w:sz w:val="24"/>
        </w:rPr>
        <w:t>浓度约</w:t>
      </w:r>
      <w:r>
        <w:rPr>
          <w:rFonts w:hint="eastAsia"/>
          <w:sz w:val="24"/>
        </w:rPr>
        <w:t>31.2</w:t>
      </w:r>
      <w:r>
        <w:rPr>
          <w:sz w:val="24"/>
        </w:rPr>
        <w:t>mg/m</w:t>
      </w:r>
      <w:r>
        <w:rPr>
          <w:sz w:val="24"/>
          <w:vertAlign w:val="superscript"/>
        </w:rPr>
        <w:t>3</w:t>
      </w:r>
      <w:r>
        <w:rPr>
          <w:rFonts w:hint="eastAsia"/>
          <w:sz w:val="24"/>
        </w:rPr>
        <w:t>，通过2根15m排气筒排放。</w:t>
      </w:r>
    </w:p>
    <w:p>
      <w:pPr>
        <w:spacing w:line="408" w:lineRule="auto"/>
        <w:ind w:firstLine="480" w:firstLineChars="200"/>
        <w:rPr>
          <w:rFonts w:hint="eastAsia"/>
          <w:sz w:val="24"/>
        </w:rPr>
        <w:sectPr>
          <w:headerReference w:type="default" r:id="rId21"/>
          <w:footerReference w:type="even" r:id="rId22"/>
          <w:footerReference w:type="default" r:id="rId23"/>
          <w:type w:val="nextPage"/>
          <w:pgSz w:w="11906" w:h="16838"/>
          <w:pgMar w:top="1134" w:right="1418" w:bottom="1418" w:left="1418" w:header="851" w:footer="936" w:gutter="0"/>
          <w:pgNumType w:start="5"/>
          <w:cols w:space="708"/>
          <w:titlePg w:val="0"/>
          <w:docGrid w:linePitch="312"/>
        </w:sectPr>
      </w:pPr>
      <w:r>
        <w:rPr>
          <w:rFonts w:hint="eastAsia"/>
          <w:sz w:val="24"/>
        </w:rPr>
        <w:t>c、</w:t>
      </w:r>
      <w:r>
        <w:rPr>
          <w:rFonts w:hint="eastAsia"/>
          <w:bCs/>
          <w:sz w:val="24"/>
        </w:rPr>
        <w:t>清洁胶带防粘硅纸</w:t>
      </w:r>
      <w:r>
        <w:rPr>
          <w:rFonts w:hint="eastAsia"/>
          <w:sz w:val="24"/>
        </w:rPr>
        <w:t>的烘干工序中产生的含甲苯尾气</w:t>
      </w:r>
      <w:r>
        <w:rPr>
          <w:sz w:val="24"/>
        </w:rPr>
        <w:t>，</w:t>
      </w:r>
    </w:p>
    <w:p>
      <w:pPr>
        <w:spacing w:line="408" w:lineRule="auto"/>
        <w:ind w:firstLine="480" w:firstLineChars="200"/>
        <w:rPr>
          <w:rFonts w:hint="eastAsia"/>
          <w:sz w:val="24"/>
        </w:rPr>
      </w:pPr>
      <w:r>
        <w:rPr>
          <w:rFonts w:hint="eastAsia"/>
          <w:sz w:val="24"/>
        </w:rPr>
        <w:t>生产分布1个生产车间，烘干生产线采用整体密闭风管（在净化系统中用以输送气流的管道称为风管，通过风管使系统的设备和部件连成一个整体</w:t>
      </w:r>
      <w:r>
        <w:rPr>
          <w:sz w:val="24"/>
        </w:rPr>
        <w:t>）</w:t>
      </w:r>
      <w:r>
        <w:rPr>
          <w:rFonts w:hint="eastAsia"/>
          <w:sz w:val="24"/>
        </w:rPr>
        <w:t>收集烘干工序中产生的含甲苯废气，收集后的含甲苯废气</w:t>
      </w:r>
      <w:r>
        <w:rPr>
          <w:sz w:val="24"/>
        </w:rPr>
        <w:t>送至</w:t>
      </w:r>
      <w:r>
        <w:rPr>
          <w:rFonts w:hint="eastAsia"/>
          <w:sz w:val="24"/>
        </w:rPr>
        <w:t>甲苯回收装置回收，通过回收装置后甲苯</w:t>
      </w:r>
      <w:r>
        <w:rPr>
          <w:sz w:val="24"/>
        </w:rPr>
        <w:t>的</w:t>
      </w:r>
      <w:r>
        <w:rPr>
          <w:rFonts w:hint="eastAsia"/>
          <w:sz w:val="24"/>
        </w:rPr>
        <w:t>排放</w:t>
      </w:r>
      <w:r>
        <w:rPr>
          <w:sz w:val="24"/>
        </w:rPr>
        <w:t>量为</w:t>
      </w:r>
      <w:r>
        <w:rPr>
          <w:rFonts w:hint="eastAsia"/>
          <w:sz w:val="24"/>
        </w:rPr>
        <w:t>5.1</w:t>
      </w:r>
      <w:r>
        <w:rPr>
          <w:sz w:val="24"/>
        </w:rPr>
        <w:t>t/a</w:t>
      </w:r>
      <w:r>
        <w:rPr>
          <w:rFonts w:hint="eastAsia"/>
          <w:sz w:val="24"/>
        </w:rPr>
        <w:t>，甲苯</w:t>
      </w:r>
      <w:r>
        <w:rPr>
          <w:sz w:val="24"/>
        </w:rPr>
        <w:t>产生浓度约</w:t>
      </w:r>
      <w:r>
        <w:rPr>
          <w:rFonts w:hint="eastAsia"/>
          <w:sz w:val="24"/>
        </w:rPr>
        <w:t>141.7</w:t>
      </w:r>
      <w:r>
        <w:rPr>
          <w:sz w:val="24"/>
        </w:rPr>
        <w:t>mg/m</w:t>
      </w:r>
      <w:r>
        <w:rPr>
          <w:sz w:val="24"/>
          <w:vertAlign w:val="superscript"/>
        </w:rPr>
        <w:t>3</w:t>
      </w:r>
      <w:r>
        <w:rPr>
          <w:sz w:val="24"/>
        </w:rPr>
        <w:t xml:space="preserve"> (</w:t>
      </w:r>
      <w:r>
        <w:rPr>
          <w:rFonts w:hint="eastAsia"/>
          <w:sz w:val="24"/>
        </w:rPr>
        <w:t>5.1</w:t>
      </w:r>
      <w:r>
        <w:rPr>
          <w:sz w:val="24"/>
        </w:rPr>
        <w:t>×10</w:t>
      </w:r>
      <w:r>
        <w:rPr>
          <w:sz w:val="24"/>
          <w:vertAlign w:val="superscript"/>
        </w:rPr>
        <w:t>9</w:t>
      </w:r>
      <w:r>
        <w:rPr>
          <w:sz w:val="24"/>
        </w:rPr>
        <w:t>/</w:t>
      </w:r>
      <w:r>
        <w:rPr>
          <w:rFonts w:hint="eastAsia"/>
          <w:sz w:val="24"/>
        </w:rPr>
        <w:t>50</w:t>
      </w:r>
      <w:r>
        <w:rPr>
          <w:sz w:val="24"/>
        </w:rPr>
        <w:t>00×</w:t>
      </w:r>
      <w:r>
        <w:rPr>
          <w:rFonts w:hint="eastAsia"/>
          <w:sz w:val="24"/>
        </w:rPr>
        <w:t>24</w:t>
      </w:r>
      <w:r>
        <w:rPr>
          <w:sz w:val="24"/>
        </w:rPr>
        <w:t>×300)</w:t>
      </w:r>
      <w:r>
        <w:rPr>
          <w:rFonts w:hint="eastAsia"/>
          <w:sz w:val="24"/>
        </w:rPr>
        <w:t>，通过活性炭吸附后甲苯排放</w:t>
      </w:r>
      <w:r>
        <w:rPr>
          <w:sz w:val="24"/>
        </w:rPr>
        <w:t>浓度约</w:t>
      </w:r>
      <w:r>
        <w:rPr>
          <w:rFonts w:hint="eastAsia"/>
          <w:sz w:val="24"/>
        </w:rPr>
        <w:t>14.1</w:t>
      </w:r>
      <w:r>
        <w:rPr>
          <w:sz w:val="24"/>
        </w:rPr>
        <w:t>mg/m</w:t>
      </w:r>
      <w:r>
        <w:rPr>
          <w:sz w:val="24"/>
          <w:vertAlign w:val="superscript"/>
        </w:rPr>
        <w:t>3</w:t>
      </w:r>
      <w:r>
        <w:rPr>
          <w:rFonts w:hint="eastAsia"/>
          <w:sz w:val="24"/>
        </w:rPr>
        <w:t>，通过1根15m排气筒排放。</w:t>
      </w:r>
    </w:p>
    <w:p>
      <w:pPr>
        <w:adjustRightInd w:val="0"/>
        <w:snapToGrid w:val="0"/>
        <w:spacing w:line="408" w:lineRule="auto"/>
        <w:ind w:firstLine="480" w:firstLineChars="200"/>
        <w:rPr>
          <w:rFonts w:hint="eastAsia"/>
          <w:sz w:val="24"/>
        </w:rPr>
      </w:pPr>
      <w:r>
        <w:rPr>
          <w:rFonts w:hint="eastAsia"/>
          <w:sz w:val="24"/>
        </w:rPr>
        <w:t>d、橡胶类胶水的搅拌溶解工序产生的甲苯废气，建设单位拟在甲苯产生工段用集气罩收集</w:t>
      </w:r>
      <w:r>
        <w:rPr>
          <w:sz w:val="24"/>
        </w:rPr>
        <w:t>后</w:t>
      </w:r>
      <w:r>
        <w:rPr>
          <w:rFonts w:hint="eastAsia"/>
          <w:sz w:val="24"/>
        </w:rPr>
        <w:t>与热胶废气一起处理;</w:t>
      </w:r>
    </w:p>
    <w:p>
      <w:pPr>
        <w:adjustRightInd w:val="0"/>
        <w:snapToGrid w:val="0"/>
        <w:spacing w:line="408" w:lineRule="auto"/>
        <w:rPr>
          <w:rFonts w:ascii="宋体" w:hAnsi="宋体" w:hint="eastAsia"/>
          <w:sz w:val="24"/>
        </w:rPr>
      </w:pPr>
      <w:r>
        <w:rPr>
          <w:rFonts w:ascii="宋体" w:hAnsi="宋体" w:hint="eastAsia"/>
          <w:kern w:val="0"/>
          <w:sz w:val="24"/>
        </w:rPr>
        <w:t xml:space="preserve">    </w:t>
      </w:r>
      <w:r>
        <w:rPr>
          <w:rFonts w:ascii="宋体" w:hAnsi="宋体" w:hint="eastAsia"/>
          <w:kern w:val="0"/>
          <w:sz w:val="24"/>
        </w:rPr>
        <w:t>③</w:t>
      </w:r>
      <w:r>
        <w:rPr>
          <w:rFonts w:ascii="宋体" w:hAnsi="宋体" w:hint="eastAsia"/>
          <w:sz w:val="24"/>
        </w:rPr>
        <w:t>热胶废气</w:t>
      </w:r>
    </w:p>
    <w:p>
      <w:pPr>
        <w:adjustRightInd w:val="0"/>
        <w:snapToGrid w:val="0"/>
        <w:spacing w:line="408" w:lineRule="auto"/>
        <w:ind w:firstLine="600" w:firstLineChars="250"/>
        <w:rPr>
          <w:rFonts w:ascii="黑体" w:eastAsia="黑体" w:hAnsi="黑体" w:hint="eastAsia"/>
          <w:sz w:val="24"/>
        </w:rPr>
      </w:pPr>
      <w:r>
        <w:rPr>
          <w:rFonts w:hint="eastAsia"/>
          <w:sz w:val="24"/>
        </w:rPr>
        <w:t>在炼胶、混炼、切胶工序中的天然橡胶、合成橡胶等原料受热产生</w:t>
      </w:r>
      <w:r>
        <w:rPr>
          <w:sz w:val="24"/>
        </w:rPr>
        <w:t>水分</w:t>
      </w:r>
      <w:r>
        <w:rPr>
          <w:rFonts w:hint="eastAsia"/>
          <w:sz w:val="24"/>
        </w:rPr>
        <w:t>，</w:t>
      </w:r>
      <w:r>
        <w:rPr>
          <w:sz w:val="24"/>
        </w:rPr>
        <w:t>烯烃和</w:t>
      </w:r>
    </w:p>
    <w:p>
      <w:pPr>
        <w:adjustRightInd w:val="0"/>
        <w:snapToGrid w:val="0"/>
        <w:spacing w:line="408" w:lineRule="auto"/>
        <w:rPr>
          <w:rFonts w:ascii="宋体" w:hAnsi="宋体" w:hint="eastAsia"/>
          <w:kern w:val="0"/>
          <w:sz w:val="24"/>
        </w:rPr>
      </w:pPr>
      <w:r>
        <w:rPr>
          <w:sz w:val="24"/>
        </w:rPr>
        <w:t>烷烃</w:t>
      </w:r>
      <w:r>
        <w:rPr>
          <w:rFonts w:hint="eastAsia"/>
          <w:sz w:val="24"/>
        </w:rPr>
        <w:t>等有机物，</w:t>
      </w:r>
      <w:r>
        <w:rPr>
          <w:sz w:val="24"/>
        </w:rPr>
        <w:t>以非甲烷总烃排放速率作为其考核标准。由于其毒性较低，借鉴同类型生产项目，根据物料平衡得，</w:t>
      </w:r>
      <w:r>
        <w:rPr>
          <w:rFonts w:hint="eastAsia"/>
          <w:sz w:val="24"/>
        </w:rPr>
        <w:t>在炼胶、混炼、切胶工序中的</w:t>
      </w:r>
      <w:r>
        <w:rPr>
          <w:sz w:val="24"/>
        </w:rPr>
        <w:t>每年产生的非甲烷总烃产生量约</w:t>
      </w:r>
      <w:r>
        <w:rPr>
          <w:rFonts w:hint="eastAsia"/>
          <w:sz w:val="24"/>
        </w:rPr>
        <w:t>6.5</w:t>
      </w:r>
      <w:r>
        <w:rPr>
          <w:sz w:val="24"/>
        </w:rPr>
        <w:t>t/a，非甲烷总烃产生速率约</w:t>
      </w:r>
      <w:r>
        <w:rPr>
          <w:rFonts w:hint="eastAsia"/>
          <w:sz w:val="24"/>
        </w:rPr>
        <w:t>0.9</w:t>
      </w:r>
      <w:r>
        <w:rPr>
          <w:sz w:val="24"/>
        </w:rPr>
        <w:t>kg/h。非甲烷总烃</w:t>
      </w:r>
      <w:r>
        <w:rPr>
          <w:rFonts w:hint="eastAsia"/>
          <w:sz w:val="24"/>
        </w:rPr>
        <w:t>经</w:t>
      </w:r>
      <w:r>
        <w:rPr>
          <w:sz w:val="24"/>
        </w:rPr>
        <w:t>集气罩吸风收集后统一活性炭吸附装置处理后，</w:t>
      </w:r>
      <w:r>
        <w:rPr>
          <w:kern w:val="24"/>
          <w:sz w:val="24"/>
        </w:rPr>
        <w:t>非甲烷总烃有组织排放量为</w:t>
      </w:r>
      <w:r>
        <w:rPr>
          <w:rFonts w:hint="eastAsia"/>
          <w:kern w:val="24"/>
          <w:sz w:val="24"/>
        </w:rPr>
        <w:t>0.65</w:t>
      </w:r>
      <w:r>
        <w:rPr>
          <w:kern w:val="24"/>
          <w:sz w:val="24"/>
        </w:rPr>
        <w:t>t/a，</w:t>
      </w:r>
      <w:r>
        <w:rPr>
          <w:sz w:val="24"/>
        </w:rPr>
        <w:t>经</w:t>
      </w:r>
      <w:r>
        <w:rPr>
          <w:rFonts w:hint="eastAsia"/>
          <w:sz w:val="24"/>
        </w:rPr>
        <w:t>1根</w:t>
      </w:r>
      <w:r>
        <w:rPr>
          <w:sz w:val="24"/>
        </w:rPr>
        <w:t>15m高排气筒室外高空排</w:t>
      </w:r>
      <w:r>
        <w:rPr>
          <w:kern w:val="24"/>
          <w:sz w:val="24"/>
        </w:rPr>
        <w:t>放</w:t>
      </w:r>
      <w:r>
        <w:rPr>
          <w:rFonts w:hint="eastAsia"/>
          <w:kern w:val="24"/>
          <w:sz w:val="24"/>
        </w:rPr>
        <w:t>。</w:t>
      </w:r>
    </w:p>
    <w:p>
      <w:pPr>
        <w:adjustRightInd w:val="0"/>
        <w:snapToGrid w:val="0"/>
        <w:spacing w:line="420" w:lineRule="auto"/>
        <w:ind w:firstLine="480" w:firstLineChars="200"/>
        <w:rPr>
          <w:rFonts w:ascii="宋体" w:hAnsi="宋体"/>
          <w:kern w:val="0"/>
          <w:sz w:val="24"/>
        </w:rPr>
      </w:pPr>
      <w:r>
        <w:rPr>
          <w:rFonts w:ascii="宋体" w:hAnsi="宋体" w:hint="eastAsia"/>
          <w:kern w:val="0"/>
          <w:sz w:val="24"/>
        </w:rPr>
        <w:t>④</w:t>
      </w:r>
      <w:r>
        <w:rPr>
          <w:rFonts w:ascii="宋体" w:hAnsi="宋体"/>
          <w:kern w:val="0"/>
          <w:sz w:val="24"/>
        </w:rPr>
        <w:t>无组织废气</w:t>
      </w:r>
    </w:p>
    <w:p>
      <w:pPr>
        <w:adjustRightInd w:val="0"/>
        <w:snapToGrid w:val="0"/>
        <w:spacing w:line="420" w:lineRule="auto"/>
        <w:ind w:firstLine="480" w:firstLineChars="200"/>
        <w:rPr>
          <w:rFonts w:ascii="宋体" w:hAnsi="宋体" w:hint="eastAsia"/>
          <w:kern w:val="0"/>
          <w:sz w:val="24"/>
        </w:rPr>
      </w:pPr>
      <w:r>
        <w:rPr>
          <w:rFonts w:hint="eastAsia"/>
          <w:sz w:val="24"/>
        </w:rPr>
        <w:t>项目生产过程中会有少量无组织排放废气，主要污染物为甲苯、非甲烷总烃，</w:t>
      </w:r>
      <w:r>
        <w:rPr>
          <w:sz w:val="24"/>
        </w:rPr>
        <w:t>以5%计算无组织外溢烟气量，并以集气罩集气效率95%计，</w:t>
      </w:r>
      <w:r>
        <w:rPr>
          <w:rFonts w:hint="eastAsia"/>
          <w:sz w:val="24"/>
        </w:rPr>
        <w:t>可计算得到甲苯的无组织排放量为0.03kg/h、非甲烷总烃的无组织排放量为0.002kg/h。</w:t>
      </w:r>
      <w:r>
        <w:rPr>
          <w:sz w:val="24"/>
        </w:rPr>
        <w:t>项目无组织排放废气相关产气点均设有顶部集气罩，集气直接与废气管路相连进入废气净化设施，减小了废气无组织外泄。在车间中通过加强车间通风，达到改善作业环境的目的</w:t>
      </w:r>
      <w:r>
        <w:rPr>
          <w:rFonts w:ascii="宋体" w:hAnsi="宋体" w:hint="eastAsia"/>
          <w:kern w:val="0"/>
          <w:sz w:val="24"/>
        </w:rPr>
        <w:t>。</w:t>
      </w:r>
    </w:p>
    <w:p>
      <w:pPr>
        <w:adjustRightInd w:val="0"/>
        <w:snapToGrid w:val="0"/>
        <w:spacing w:line="420" w:lineRule="auto"/>
        <w:ind w:firstLine="480" w:firstLineChars="200"/>
        <w:rPr>
          <w:spacing w:val="4"/>
          <w:sz w:val="24"/>
        </w:rPr>
      </w:pPr>
      <w:r>
        <w:rPr>
          <w:spacing w:val="4"/>
          <w:sz w:val="24"/>
        </w:rPr>
        <w:t>（2）废水</w:t>
      </w:r>
      <w:r>
        <w:rPr>
          <w:rFonts w:hint="eastAsia"/>
          <w:spacing w:val="4"/>
          <w:sz w:val="24"/>
        </w:rPr>
        <w:t>排放</w:t>
      </w:r>
      <w:r>
        <w:rPr>
          <w:spacing w:val="4"/>
          <w:sz w:val="24"/>
        </w:rPr>
        <w:t>情况</w:t>
      </w:r>
    </w:p>
    <w:p>
      <w:pPr>
        <w:spacing w:line="408" w:lineRule="auto"/>
        <w:ind w:firstLine="480" w:firstLineChars="200"/>
        <w:rPr>
          <w:rFonts w:hint="eastAsia"/>
          <w:sz w:val="24"/>
        </w:rPr>
        <w:sectPr>
          <w:headerReference w:type="default" r:id="rId24"/>
          <w:footerReference w:type="even" r:id="rId25"/>
          <w:footerReference w:type="default" r:id="rId26"/>
          <w:type w:val="nextPage"/>
          <w:pgSz w:w="11906" w:h="16838"/>
          <w:pgMar w:top="1134" w:right="1418" w:bottom="1418" w:left="1418" w:header="851" w:footer="936" w:gutter="0"/>
          <w:pgNumType w:start="6"/>
          <w:cols w:space="708"/>
          <w:titlePg w:val="0"/>
          <w:docGrid w:linePitch="312"/>
        </w:sectPr>
      </w:pPr>
      <w:r>
        <w:rPr>
          <w:rFonts w:hint="eastAsia"/>
          <w:sz w:val="24"/>
        </w:rPr>
        <w:t>项目排放的废水主要为白水回收系统排放的废水、锅炉除尘水、地面冲洗水和</w:t>
      </w:r>
      <w:r>
        <w:rPr>
          <w:rFonts w:hint="eastAsia"/>
          <w:sz w:val="24"/>
          <w:lang w:val="zh-CN"/>
        </w:rPr>
        <w:t>活性炭再生废水</w:t>
      </w:r>
      <w:r>
        <w:rPr>
          <w:rFonts w:hint="eastAsia"/>
          <w:sz w:val="24"/>
        </w:rPr>
        <w:t>，锅炉除尘水排放量为260m</w:t>
      </w:r>
      <w:r>
        <w:rPr>
          <w:rFonts w:hint="eastAsia"/>
          <w:sz w:val="24"/>
          <w:vertAlign w:val="superscript"/>
        </w:rPr>
        <w:t>3</w:t>
      </w:r>
      <w:r>
        <w:rPr>
          <w:rFonts w:hint="eastAsia"/>
          <w:sz w:val="24"/>
        </w:rPr>
        <w:t>/d，经斜筛+沉淀后回用，废水排放量为224.2</w:t>
      </w:r>
      <w:r>
        <w:rPr>
          <w:sz w:val="24"/>
        </w:rPr>
        <w:t xml:space="preserve"> m</w:t>
      </w:r>
      <w:r>
        <w:rPr>
          <w:sz w:val="24"/>
          <w:vertAlign w:val="superscript"/>
        </w:rPr>
        <w:t>3</w:t>
      </w:r>
      <w:r>
        <w:rPr>
          <w:rFonts w:hint="eastAsia"/>
          <w:sz w:val="24"/>
        </w:rPr>
        <w:t>/d，造纸过程产生的白水大部分循环使用，</w:t>
      </w:r>
      <w:r>
        <w:rPr>
          <w:rFonts w:hint="eastAsia"/>
          <w:sz w:val="24"/>
          <w:lang w:val="zh-CN"/>
        </w:rPr>
        <w:t>活性炭再生废水</w:t>
      </w:r>
      <w:r>
        <w:rPr>
          <w:rFonts w:hint="eastAsia"/>
          <w:sz w:val="24"/>
        </w:rPr>
        <w:t>排放量为38</w:t>
      </w:r>
      <w:r>
        <w:rPr>
          <w:sz w:val="24"/>
        </w:rPr>
        <w:t xml:space="preserve"> m</w:t>
      </w:r>
      <w:r>
        <w:rPr>
          <w:sz w:val="24"/>
          <w:vertAlign w:val="superscript"/>
        </w:rPr>
        <w:t>3</w:t>
      </w:r>
      <w:r>
        <w:rPr>
          <w:rFonts w:hint="eastAsia"/>
          <w:sz w:val="24"/>
        </w:rPr>
        <w:t>/d，生活污水排放量为12m</w:t>
      </w:r>
      <w:r>
        <w:rPr>
          <w:rFonts w:hint="eastAsia"/>
          <w:sz w:val="24"/>
          <w:vertAlign w:val="superscript"/>
        </w:rPr>
        <w:t>3</w:t>
      </w:r>
      <w:r>
        <w:rPr>
          <w:rFonts w:hint="eastAsia"/>
          <w:sz w:val="24"/>
        </w:rPr>
        <w:t>/d，地面冲洗水排放量为8m</w:t>
      </w:r>
      <w:r>
        <w:rPr>
          <w:rFonts w:hint="eastAsia"/>
          <w:sz w:val="24"/>
          <w:vertAlign w:val="superscript"/>
        </w:rPr>
        <w:t>3</w:t>
      </w:r>
      <w:r>
        <w:rPr>
          <w:rFonts w:hint="eastAsia"/>
          <w:sz w:val="24"/>
        </w:rPr>
        <w:t>/d，</w:t>
      </w:r>
      <w:r>
        <w:rPr>
          <w:rFonts w:hint="eastAsia"/>
          <w:sz w:val="24"/>
          <w:lang w:val="zh-CN"/>
        </w:rPr>
        <w:t>活性炭再生废水经</w:t>
      </w:r>
      <w:r>
        <w:rPr>
          <w:sz w:val="24"/>
        </w:rPr>
        <w:t>微电解</w:t>
      </w:r>
      <w:r>
        <w:rPr>
          <w:rFonts w:hint="eastAsia"/>
          <w:sz w:val="24"/>
        </w:rPr>
        <w:t>预处理后与其他生产废水、生活污水一起处理，</w:t>
      </w:r>
      <w:r>
        <w:rPr>
          <w:sz w:val="24"/>
        </w:rPr>
        <w:t>废水中主要污染物为COD</w:t>
      </w:r>
      <w:r>
        <w:rPr>
          <w:sz w:val="24"/>
          <w:vertAlign w:val="subscript"/>
        </w:rPr>
        <w:t>Cr</w:t>
      </w:r>
      <w:r>
        <w:rPr>
          <w:sz w:val="24"/>
        </w:rPr>
        <w:t>，BOD</w:t>
      </w:r>
      <w:r>
        <w:rPr>
          <w:sz w:val="24"/>
          <w:vertAlign w:val="subscript"/>
        </w:rPr>
        <w:t>5</w:t>
      </w:r>
      <w:r>
        <w:rPr>
          <w:sz w:val="24"/>
        </w:rPr>
        <w:t>，SS，</w:t>
      </w:r>
      <w:r>
        <w:rPr>
          <w:rFonts w:hint="eastAsia"/>
          <w:sz w:val="24"/>
        </w:rPr>
        <w:t>氨氮、 甲苯</w:t>
      </w:r>
      <w:r>
        <w:rPr>
          <w:sz w:val="24"/>
        </w:rPr>
        <w:t>，</w:t>
      </w:r>
      <w:r>
        <w:rPr>
          <w:rFonts w:hint="eastAsia"/>
          <w:sz w:val="24"/>
        </w:rPr>
        <w:t>混合废水采用</w:t>
      </w:r>
      <w:r>
        <w:rPr>
          <w:rFonts w:hint="eastAsia"/>
          <w:sz w:val="24"/>
        </w:rPr>
        <w:t>“</w:t>
      </w:r>
      <w:r>
        <w:rPr>
          <w:rFonts w:hint="eastAsia"/>
          <w:sz w:val="24"/>
        </w:rPr>
        <w:t>水解酸化 +生化</w:t>
      </w:r>
      <w:r>
        <w:rPr>
          <w:rFonts w:hint="eastAsia"/>
          <w:sz w:val="24"/>
        </w:rPr>
        <w:t>”</w:t>
      </w:r>
      <w:r>
        <w:rPr>
          <w:rFonts w:hint="eastAsia"/>
          <w:sz w:val="24"/>
        </w:rPr>
        <w:t>措施处理，处理后</w:t>
      </w:r>
      <w:r>
        <w:rPr>
          <w:sz w:val="24"/>
        </w:rPr>
        <w:t>废水中主要污染物</w:t>
      </w:r>
    </w:p>
    <w:p>
      <w:pPr>
        <w:spacing w:line="408" w:lineRule="auto"/>
        <w:ind w:firstLine="480" w:firstLineChars="200"/>
        <w:rPr>
          <w:rFonts w:hint="eastAsia"/>
          <w:sz w:val="24"/>
        </w:rPr>
      </w:pPr>
      <w:r>
        <w:rPr>
          <w:rFonts w:hint="eastAsia"/>
          <w:sz w:val="24"/>
        </w:rPr>
        <w:t>的排放浓度为</w:t>
      </w:r>
      <w:r>
        <w:rPr>
          <w:sz w:val="24"/>
        </w:rPr>
        <w:t>COD</w:t>
      </w:r>
      <w:r>
        <w:rPr>
          <w:sz w:val="24"/>
          <w:vertAlign w:val="subscript"/>
        </w:rPr>
        <w:t>Cr</w:t>
      </w:r>
      <w:r>
        <w:rPr>
          <w:sz w:val="24"/>
        </w:rPr>
        <w:t xml:space="preserve"> </w:t>
      </w:r>
      <w:r>
        <w:rPr>
          <w:rFonts w:hint="eastAsia"/>
          <w:sz w:val="24"/>
        </w:rPr>
        <w:t>73.74</w:t>
      </w:r>
      <w:r>
        <w:rPr>
          <w:sz w:val="24"/>
        </w:rPr>
        <w:t>mg/L，BOD</w:t>
      </w:r>
      <w:r>
        <w:rPr>
          <w:sz w:val="24"/>
          <w:vertAlign w:val="subscript"/>
        </w:rPr>
        <w:t>5</w:t>
      </w:r>
      <w:r>
        <w:rPr>
          <w:sz w:val="24"/>
        </w:rPr>
        <w:t xml:space="preserve"> </w:t>
      </w:r>
      <w:r>
        <w:rPr>
          <w:rFonts w:hint="eastAsia"/>
          <w:sz w:val="24"/>
        </w:rPr>
        <w:t>16.51</w:t>
      </w:r>
      <w:r>
        <w:rPr>
          <w:sz w:val="24"/>
        </w:rPr>
        <w:t>mg/L，SS</w:t>
      </w:r>
      <w:r>
        <w:rPr>
          <w:rFonts w:hint="eastAsia"/>
          <w:sz w:val="24"/>
        </w:rPr>
        <w:t>33.13</w:t>
      </w:r>
      <w:r>
        <w:rPr>
          <w:sz w:val="24"/>
        </w:rPr>
        <w:t>mg/L</w:t>
      </w:r>
      <w:r>
        <w:rPr>
          <w:rFonts w:hint="eastAsia"/>
          <w:sz w:val="24"/>
        </w:rPr>
        <w:t>，氨氮0.848</w:t>
      </w:r>
      <w:r>
        <w:rPr>
          <w:sz w:val="24"/>
        </w:rPr>
        <w:t>mg/L</w:t>
      </w:r>
      <w:r>
        <w:rPr>
          <w:rFonts w:hint="eastAsia"/>
          <w:sz w:val="24"/>
        </w:rPr>
        <w:t>、 甲苯0.072</w:t>
      </w:r>
      <w:r>
        <w:rPr>
          <w:sz w:val="24"/>
        </w:rPr>
        <w:t>mg/L</w:t>
      </w:r>
      <w:r>
        <w:rPr>
          <w:rFonts w:hint="eastAsia"/>
          <w:sz w:val="24"/>
        </w:rPr>
        <w:t>，处理后废水排到东乡县污水处理厂。</w:t>
      </w:r>
    </w:p>
    <w:p>
      <w:pPr>
        <w:adjustRightInd w:val="0"/>
        <w:snapToGrid w:val="0"/>
        <w:spacing w:line="420" w:lineRule="auto"/>
        <w:ind w:firstLine="480" w:firstLineChars="200"/>
        <w:rPr>
          <w:spacing w:val="4"/>
          <w:sz w:val="24"/>
        </w:rPr>
      </w:pPr>
      <w:r>
        <w:rPr>
          <w:rFonts w:hint="eastAsia"/>
          <w:spacing w:val="4"/>
          <w:sz w:val="24"/>
        </w:rPr>
        <w:t>（3）</w:t>
      </w:r>
      <w:r>
        <w:rPr>
          <w:spacing w:val="4"/>
          <w:sz w:val="24"/>
        </w:rPr>
        <w:t>固体废物</w:t>
      </w:r>
    </w:p>
    <w:p>
      <w:pPr>
        <w:adjustRightInd w:val="0"/>
        <w:snapToGrid w:val="0"/>
        <w:spacing w:line="420" w:lineRule="auto"/>
        <w:ind w:firstLine="480" w:firstLineChars="200"/>
        <w:rPr>
          <w:rFonts w:hint="eastAsia"/>
          <w:spacing w:val="4"/>
          <w:sz w:val="24"/>
        </w:rPr>
      </w:pPr>
      <w:r>
        <w:rPr>
          <w:sz w:val="24"/>
        </w:rPr>
        <w:t>项目生产过程中产生的</w:t>
      </w:r>
      <w:r>
        <w:rPr>
          <w:rFonts w:hint="eastAsia"/>
          <w:sz w:val="24"/>
        </w:rPr>
        <w:t>固体</w:t>
      </w:r>
      <w:r>
        <w:rPr>
          <w:sz w:val="24"/>
        </w:rPr>
        <w:t>废物主要为</w:t>
      </w:r>
      <w:r>
        <w:rPr>
          <w:rFonts w:hint="eastAsia"/>
          <w:sz w:val="24"/>
        </w:rPr>
        <w:t>边角料42t/a、废活性炭280t/a、煤渣2306.1t/a、废水处理污泥2192t/a、织布的废线头和不合格的纱布7.5t/a和生活垃圾37.2t/a、脱硫渣792t/a、除杂废渣150t/a。其中废活性炭</w:t>
      </w:r>
      <w:r>
        <w:rPr>
          <w:sz w:val="24"/>
        </w:rPr>
        <w:t>属危险废物</w:t>
      </w:r>
      <w:r>
        <w:rPr>
          <w:rFonts w:hint="eastAsia"/>
          <w:spacing w:val="4"/>
          <w:sz w:val="24"/>
        </w:rPr>
        <w:t>。</w:t>
      </w:r>
    </w:p>
    <w:p>
      <w:pPr>
        <w:adjustRightInd w:val="0"/>
        <w:snapToGrid w:val="0"/>
        <w:spacing w:line="420" w:lineRule="auto"/>
        <w:ind w:firstLine="480" w:firstLineChars="200"/>
        <w:rPr>
          <w:spacing w:val="4"/>
          <w:sz w:val="24"/>
        </w:rPr>
      </w:pPr>
      <w:r>
        <w:rPr>
          <w:rFonts w:hint="eastAsia"/>
          <w:spacing w:val="4"/>
          <w:sz w:val="24"/>
        </w:rPr>
        <w:t>（4）</w:t>
      </w:r>
      <w:r>
        <w:rPr>
          <w:spacing w:val="4"/>
          <w:sz w:val="24"/>
        </w:rPr>
        <w:t>噪声</w:t>
      </w:r>
    </w:p>
    <w:p>
      <w:pPr>
        <w:adjustRightInd w:val="0"/>
        <w:snapToGrid w:val="0"/>
        <w:spacing w:line="420" w:lineRule="auto"/>
        <w:ind w:firstLine="470" w:firstLineChars="196"/>
        <w:rPr>
          <w:spacing w:val="4"/>
          <w:sz w:val="24"/>
        </w:rPr>
      </w:pPr>
      <w:r>
        <w:rPr>
          <w:rFonts w:hint="eastAsia"/>
          <w:sz w:val="24"/>
        </w:rPr>
        <w:t>项目的噪声主要来源于碎浆机、造纸机、裁切机、织造机、空压机、开炼机、风机、泵等</w:t>
      </w:r>
      <w:r>
        <w:rPr>
          <w:rFonts w:hint="eastAsia"/>
          <w:spacing w:val="4"/>
          <w:sz w:val="24"/>
        </w:rPr>
        <w:t>，其等效连续A声级值在75～90dB(A)范围。</w:t>
      </w:r>
      <w:r>
        <w:rPr>
          <w:spacing w:val="4"/>
          <w:sz w:val="24"/>
        </w:rPr>
        <w:t>采用</w:t>
      </w:r>
      <w:r>
        <w:rPr>
          <w:rFonts w:hint="eastAsia"/>
          <w:spacing w:val="4"/>
          <w:sz w:val="24"/>
        </w:rPr>
        <w:t>减震、消声等</w:t>
      </w:r>
      <w:r>
        <w:rPr>
          <w:spacing w:val="4"/>
          <w:sz w:val="24"/>
        </w:rPr>
        <w:t>降噪措施后，可使厂界噪声满足《工业企业厂界环境噪声排放标准》（GB12348-2008）3类标准要求。</w:t>
      </w:r>
    </w:p>
    <w:p>
      <w:pPr>
        <w:pStyle w:val="A12"/>
        <w:spacing w:line="420" w:lineRule="auto"/>
        <w:ind w:firstLine="482"/>
      </w:pPr>
      <w:bookmarkStart w:id="13" w:name="_Toc352235598"/>
      <w:r>
        <w:rPr>
          <w:rFonts w:hint="eastAsia"/>
        </w:rPr>
        <w:t>2</w:t>
      </w:r>
      <w:r>
        <w:t>、建设项目评价范围内的环境保护目标分布情况</w:t>
      </w:r>
      <w:bookmarkEnd w:id="13"/>
    </w:p>
    <w:p>
      <w:pPr>
        <w:adjustRightInd w:val="0"/>
        <w:snapToGrid w:val="0"/>
        <w:spacing w:line="396" w:lineRule="auto"/>
        <w:ind w:firstLine="480" w:firstLineChars="200"/>
        <w:rPr>
          <w:rFonts w:hint="eastAsia"/>
        </w:rPr>
      </w:pPr>
      <w:r>
        <w:rPr>
          <w:rFonts w:hAnsi="宋体"/>
          <w:sz w:val="24"/>
        </w:rPr>
        <w:t>从现场勘察和环境敏感点分布情况来看，项目位于东乡县经济开发区渊山岗工业园区，</w:t>
      </w:r>
      <w:r>
        <w:t>项目位于</w:t>
      </w:r>
      <w:r>
        <w:rPr>
          <w:rFonts w:hint="eastAsia"/>
        </w:rPr>
        <w:t>东乡县经济开发区渊山岗工业园区</w:t>
      </w:r>
      <w:r>
        <w:t>，</w:t>
      </w:r>
      <w:r>
        <w:rPr>
          <w:rFonts w:hint="eastAsia"/>
        </w:rPr>
        <w:t>厂址所在地及周边范围内的环境保护目标主要是周边居民点，此外无其他珍稀动植物资源，名胜古迹及生态脆弱区等特殊环境敏感点。水环境保护目标主要是抚河和北港，</w:t>
      </w:r>
      <w:r>
        <w:t>评价区内主要环境敏感点</w:t>
      </w:r>
      <w:r>
        <w:rPr>
          <w:rFonts w:hint="eastAsia"/>
        </w:rPr>
        <w:t>见</w:t>
      </w:r>
      <w:r>
        <w:t>表</w:t>
      </w:r>
      <w:r>
        <w:rPr>
          <w:rFonts w:hint="eastAsia"/>
        </w:rPr>
        <w:t>2和图2</w:t>
      </w:r>
      <w:r>
        <w:t>。</w:t>
      </w:r>
    </w:p>
    <w:p>
      <w:pPr>
        <w:adjustRightInd w:val="0"/>
        <w:snapToGrid w:val="0"/>
        <w:spacing w:line="396" w:lineRule="auto"/>
        <w:jc w:val="center"/>
        <w:rPr>
          <w:b/>
        </w:rPr>
      </w:pPr>
      <w:r>
        <w:rPr>
          <w:b/>
        </w:rPr>
        <w:t>表</w:t>
      </w:r>
      <w:r>
        <w:rPr>
          <w:rFonts w:hint="eastAsia"/>
          <w:b/>
        </w:rPr>
        <w:t>2</w:t>
      </w:r>
      <w:r>
        <w:rPr>
          <w:b/>
        </w:rPr>
        <w:t xml:space="preserve">  厂区周围敏感点分布</w:t>
      </w:r>
    </w:p>
    <w:tbl>
      <w:tblPr>
        <w:tblStyle w:val="TableNormal"/>
        <w:tblW w:w="0" w:type="auto"/>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125"/>
        <w:gridCol w:w="816"/>
        <w:gridCol w:w="1685"/>
        <w:gridCol w:w="704"/>
        <w:gridCol w:w="2239"/>
        <w:gridCol w:w="1274"/>
        <w:gridCol w:w="1077"/>
      </w:tblGrid>
      <w:tr>
        <w:tblPrEx>
          <w:tblW w:w="0" w:type="auto"/>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trPr>
        <w:tc>
          <w:tcPr>
            <w:tcW w:w="1125" w:type="dxa"/>
            <w:vAlign w:val="center"/>
          </w:tcPr>
          <w:p>
            <w:pPr>
              <w:autoSpaceDE w:val="0"/>
              <w:autoSpaceDN w:val="0"/>
              <w:adjustRightInd w:val="0"/>
              <w:snapToGrid w:val="0"/>
              <w:jc w:val="center"/>
              <w:rPr>
                <w:bCs/>
                <w:szCs w:val="21"/>
              </w:rPr>
            </w:pPr>
            <w:r>
              <w:rPr>
                <w:rFonts w:hint="eastAsia"/>
                <w:bCs/>
                <w:szCs w:val="21"/>
              </w:rPr>
              <w:t>环境要素</w:t>
            </w:r>
          </w:p>
        </w:tc>
        <w:tc>
          <w:tcPr>
            <w:tcW w:w="816" w:type="dxa"/>
            <w:vAlign w:val="center"/>
          </w:tcPr>
          <w:p>
            <w:pPr>
              <w:autoSpaceDE w:val="0"/>
              <w:autoSpaceDN w:val="0"/>
              <w:adjustRightInd w:val="0"/>
              <w:snapToGrid w:val="0"/>
              <w:jc w:val="center"/>
              <w:rPr>
                <w:bCs/>
                <w:szCs w:val="21"/>
              </w:rPr>
            </w:pPr>
            <w:r>
              <w:rPr>
                <w:rFonts w:hint="eastAsia"/>
                <w:bCs/>
                <w:szCs w:val="21"/>
              </w:rPr>
              <w:t>序号</w:t>
            </w:r>
          </w:p>
        </w:tc>
        <w:tc>
          <w:tcPr>
            <w:tcW w:w="1685" w:type="dxa"/>
            <w:vAlign w:val="center"/>
          </w:tcPr>
          <w:p>
            <w:pPr>
              <w:autoSpaceDE w:val="0"/>
              <w:autoSpaceDN w:val="0"/>
              <w:adjustRightInd w:val="0"/>
              <w:snapToGrid w:val="0"/>
              <w:jc w:val="center"/>
              <w:rPr>
                <w:bCs/>
                <w:szCs w:val="21"/>
              </w:rPr>
            </w:pPr>
            <w:r>
              <w:rPr>
                <w:rFonts w:hint="eastAsia"/>
                <w:bCs/>
                <w:szCs w:val="21"/>
              </w:rPr>
              <w:t>名称</w:t>
            </w:r>
          </w:p>
        </w:tc>
        <w:tc>
          <w:tcPr>
            <w:tcW w:w="704" w:type="dxa"/>
            <w:vAlign w:val="center"/>
          </w:tcPr>
          <w:p>
            <w:pPr>
              <w:autoSpaceDE w:val="0"/>
              <w:autoSpaceDN w:val="0"/>
              <w:adjustRightInd w:val="0"/>
              <w:snapToGrid w:val="0"/>
              <w:jc w:val="center"/>
              <w:rPr>
                <w:bCs/>
                <w:szCs w:val="21"/>
              </w:rPr>
            </w:pPr>
            <w:r>
              <w:rPr>
                <w:rFonts w:hint="eastAsia"/>
                <w:bCs/>
                <w:szCs w:val="21"/>
              </w:rPr>
              <w:t>方位</w:t>
            </w:r>
          </w:p>
        </w:tc>
        <w:tc>
          <w:tcPr>
            <w:tcW w:w="2239" w:type="dxa"/>
            <w:vAlign w:val="center"/>
          </w:tcPr>
          <w:p>
            <w:pPr>
              <w:pStyle w:val="D3"/>
            </w:pPr>
            <w:r>
              <w:rPr>
                <w:rFonts w:hint="eastAsia"/>
              </w:rPr>
              <w:t>距离厂址边界(米)</w:t>
            </w:r>
          </w:p>
        </w:tc>
        <w:tc>
          <w:tcPr>
            <w:tcW w:w="1274" w:type="dxa"/>
            <w:vAlign w:val="center"/>
          </w:tcPr>
          <w:p>
            <w:pPr>
              <w:autoSpaceDE w:val="0"/>
              <w:autoSpaceDN w:val="0"/>
              <w:adjustRightInd w:val="0"/>
              <w:snapToGrid w:val="0"/>
              <w:jc w:val="center"/>
              <w:rPr>
                <w:bCs/>
                <w:szCs w:val="21"/>
              </w:rPr>
            </w:pPr>
            <w:r>
              <w:rPr>
                <w:rFonts w:hint="eastAsia"/>
                <w:bCs/>
                <w:szCs w:val="21"/>
              </w:rPr>
              <w:t>规模(人)</w:t>
            </w:r>
          </w:p>
        </w:tc>
        <w:tc>
          <w:tcPr>
            <w:tcW w:w="1077" w:type="dxa"/>
            <w:vAlign w:val="center"/>
          </w:tcPr>
          <w:p>
            <w:pPr>
              <w:autoSpaceDE w:val="0"/>
              <w:autoSpaceDN w:val="0"/>
              <w:adjustRightInd w:val="0"/>
              <w:snapToGrid w:val="0"/>
              <w:jc w:val="center"/>
              <w:rPr>
                <w:bCs/>
                <w:szCs w:val="21"/>
              </w:rPr>
            </w:pPr>
            <w:r>
              <w:rPr>
                <w:rFonts w:hint="eastAsia"/>
                <w:bCs/>
                <w:szCs w:val="21"/>
              </w:rPr>
              <w:t>环境功能</w:t>
            </w:r>
          </w:p>
        </w:tc>
      </w:tr>
      <w:tr>
        <w:tblPrEx>
          <w:tblW w:w="0" w:type="auto"/>
          <w:tblInd w:w="108" w:type="dxa"/>
          <w:tblLayout w:type="fixed"/>
          <w:tblCellMar>
            <w:top w:w="0" w:type="dxa"/>
            <w:left w:w="108" w:type="dxa"/>
            <w:bottom w:w="0" w:type="dxa"/>
            <w:right w:w="108" w:type="dxa"/>
          </w:tblCellMar>
          <w:tblLook w:val="0000"/>
        </w:tblPrEx>
        <w:trPr>
          <w:trHeight w:val="340"/>
        </w:trPr>
        <w:tc>
          <w:tcPr>
            <w:tcW w:w="1125" w:type="dxa"/>
            <w:vMerge w:val="restart"/>
            <w:vAlign w:val="center"/>
          </w:tcPr>
          <w:p>
            <w:pPr>
              <w:autoSpaceDE w:val="0"/>
              <w:autoSpaceDN w:val="0"/>
              <w:adjustRightInd w:val="0"/>
              <w:snapToGrid w:val="0"/>
              <w:jc w:val="center"/>
              <w:rPr>
                <w:szCs w:val="21"/>
              </w:rPr>
            </w:pPr>
            <w:r>
              <w:rPr>
                <w:rFonts w:hint="eastAsia"/>
                <w:szCs w:val="21"/>
              </w:rPr>
              <w:t>环境空气</w:t>
            </w:r>
          </w:p>
        </w:tc>
        <w:tc>
          <w:tcPr>
            <w:tcW w:w="816" w:type="dxa"/>
            <w:vAlign w:val="center"/>
          </w:tcPr>
          <w:p>
            <w:pPr>
              <w:autoSpaceDE w:val="0"/>
              <w:autoSpaceDN w:val="0"/>
              <w:adjustRightInd w:val="0"/>
              <w:snapToGrid w:val="0"/>
              <w:jc w:val="center"/>
              <w:rPr>
                <w:szCs w:val="21"/>
              </w:rPr>
            </w:pPr>
            <w:r>
              <w:rPr>
                <w:rFonts w:hint="eastAsia"/>
                <w:szCs w:val="21"/>
              </w:rPr>
              <w:t>1</w:t>
            </w:r>
          </w:p>
        </w:tc>
        <w:tc>
          <w:tcPr>
            <w:tcW w:w="1685" w:type="dxa"/>
            <w:vAlign w:val="center"/>
          </w:tcPr>
          <w:p>
            <w:pPr>
              <w:autoSpaceDE w:val="0"/>
              <w:autoSpaceDN w:val="0"/>
              <w:adjustRightInd w:val="0"/>
              <w:snapToGrid w:val="0"/>
              <w:jc w:val="center"/>
              <w:rPr>
                <w:rFonts w:hint="eastAsia"/>
              </w:rPr>
            </w:pPr>
            <w:r>
              <w:rPr>
                <w:rFonts w:hint="eastAsia"/>
              </w:rPr>
              <w:t>桂家山村</w:t>
            </w:r>
          </w:p>
        </w:tc>
        <w:tc>
          <w:tcPr>
            <w:tcW w:w="704" w:type="dxa"/>
            <w:vAlign w:val="center"/>
          </w:tcPr>
          <w:p>
            <w:pPr>
              <w:autoSpaceDE w:val="0"/>
              <w:autoSpaceDN w:val="0"/>
              <w:adjustRightInd w:val="0"/>
              <w:snapToGrid w:val="0"/>
              <w:jc w:val="center"/>
              <w:rPr>
                <w:rFonts w:hint="eastAsia"/>
              </w:rPr>
            </w:pPr>
            <w:r>
              <w:rPr>
                <w:rFonts w:hint="eastAsia"/>
              </w:rPr>
              <w:t>北</w:t>
            </w:r>
          </w:p>
        </w:tc>
        <w:tc>
          <w:tcPr>
            <w:tcW w:w="2239" w:type="dxa"/>
            <w:vAlign w:val="center"/>
          </w:tcPr>
          <w:p>
            <w:pPr>
              <w:autoSpaceDE w:val="0"/>
              <w:autoSpaceDN w:val="0"/>
              <w:adjustRightInd w:val="0"/>
              <w:snapToGrid w:val="0"/>
              <w:jc w:val="center"/>
              <w:rPr>
                <w:rFonts w:hint="eastAsia"/>
              </w:rPr>
            </w:pPr>
            <w:r>
              <w:rPr>
                <w:rFonts w:hint="eastAsia"/>
              </w:rPr>
              <w:t>520</w:t>
            </w:r>
          </w:p>
        </w:tc>
        <w:tc>
          <w:tcPr>
            <w:tcW w:w="1274" w:type="dxa"/>
            <w:vAlign w:val="center"/>
          </w:tcPr>
          <w:p>
            <w:pPr>
              <w:autoSpaceDE w:val="0"/>
              <w:autoSpaceDN w:val="0"/>
              <w:adjustRightInd w:val="0"/>
              <w:snapToGrid w:val="0"/>
              <w:jc w:val="center"/>
              <w:rPr>
                <w:rFonts w:hint="eastAsia"/>
              </w:rPr>
            </w:pPr>
            <w:r>
              <w:rPr>
                <w:rFonts w:hint="eastAsia"/>
              </w:rPr>
              <w:t>100</w:t>
            </w:r>
          </w:p>
        </w:tc>
        <w:tc>
          <w:tcPr>
            <w:tcW w:w="1077" w:type="dxa"/>
            <w:vMerge w:val="restart"/>
            <w:vAlign w:val="center"/>
          </w:tcPr>
          <w:p>
            <w:pPr>
              <w:autoSpaceDE w:val="0"/>
              <w:autoSpaceDN w:val="0"/>
              <w:adjustRightInd w:val="0"/>
              <w:snapToGrid w:val="0"/>
              <w:jc w:val="center"/>
              <w:rPr>
                <w:szCs w:val="21"/>
              </w:rPr>
            </w:pPr>
            <w:r>
              <w:rPr>
                <w:rFonts w:hint="eastAsia"/>
                <w:szCs w:val="21"/>
              </w:rPr>
              <w:t>二类</w:t>
            </w:r>
          </w:p>
          <w:p>
            <w:pPr>
              <w:adjustRightInd w:val="0"/>
              <w:snapToGrid w:val="0"/>
              <w:jc w:val="center"/>
            </w:pPr>
            <w:r>
              <w:rPr>
                <w:rFonts w:hint="eastAsia"/>
                <w:szCs w:val="21"/>
              </w:rPr>
              <w:t>区</w:t>
            </w:r>
          </w:p>
        </w:tc>
      </w:tr>
      <w:tr>
        <w:tblPrEx>
          <w:tblW w:w="0" w:type="auto"/>
          <w:tblInd w:w="108" w:type="dxa"/>
          <w:tblLayout w:type="fixed"/>
          <w:tblCellMar>
            <w:top w:w="0" w:type="dxa"/>
            <w:left w:w="108" w:type="dxa"/>
            <w:bottom w:w="0" w:type="dxa"/>
            <w:right w:w="108" w:type="dxa"/>
          </w:tblCellMar>
          <w:tblLook w:val="0000"/>
        </w:tblPrEx>
        <w:trPr>
          <w:trHeight w:val="340"/>
        </w:trPr>
        <w:tc>
          <w:tcPr>
            <w:tcW w:w="1125" w:type="dxa"/>
            <w:vMerge/>
            <w:vAlign w:val="center"/>
          </w:tcPr>
          <w:p>
            <w:pPr>
              <w:autoSpaceDE w:val="0"/>
              <w:autoSpaceDN w:val="0"/>
              <w:adjustRightInd w:val="0"/>
              <w:snapToGrid w:val="0"/>
              <w:jc w:val="center"/>
              <w:rPr>
                <w:rFonts w:hint="eastAsia"/>
                <w:szCs w:val="21"/>
              </w:rPr>
            </w:pPr>
          </w:p>
        </w:tc>
        <w:tc>
          <w:tcPr>
            <w:tcW w:w="816" w:type="dxa"/>
            <w:vAlign w:val="center"/>
          </w:tcPr>
          <w:p>
            <w:pPr>
              <w:autoSpaceDE w:val="0"/>
              <w:autoSpaceDN w:val="0"/>
              <w:adjustRightInd w:val="0"/>
              <w:snapToGrid w:val="0"/>
              <w:jc w:val="center"/>
              <w:rPr>
                <w:rFonts w:hint="eastAsia"/>
                <w:szCs w:val="21"/>
              </w:rPr>
            </w:pPr>
            <w:r>
              <w:rPr>
                <w:rFonts w:hint="eastAsia"/>
                <w:szCs w:val="21"/>
              </w:rPr>
              <w:t>2</w:t>
            </w:r>
          </w:p>
        </w:tc>
        <w:tc>
          <w:tcPr>
            <w:tcW w:w="1685" w:type="dxa"/>
            <w:vAlign w:val="center"/>
          </w:tcPr>
          <w:p>
            <w:pPr>
              <w:adjustRightInd w:val="0"/>
              <w:snapToGrid w:val="0"/>
              <w:jc w:val="center"/>
              <w:rPr>
                <w:rFonts w:hint="eastAsia"/>
                <w:bCs/>
                <w:szCs w:val="21"/>
              </w:rPr>
            </w:pPr>
            <w:r>
              <w:rPr>
                <w:rFonts w:hint="eastAsia"/>
                <w:bCs/>
                <w:szCs w:val="21"/>
              </w:rPr>
              <w:t>桐岗上村</w:t>
            </w:r>
          </w:p>
        </w:tc>
        <w:tc>
          <w:tcPr>
            <w:tcW w:w="704" w:type="dxa"/>
            <w:vAlign w:val="center"/>
          </w:tcPr>
          <w:p>
            <w:pPr>
              <w:adjustRightInd w:val="0"/>
              <w:snapToGrid w:val="0"/>
              <w:jc w:val="center"/>
              <w:rPr>
                <w:rFonts w:hint="eastAsia"/>
                <w:bCs/>
                <w:szCs w:val="21"/>
              </w:rPr>
            </w:pPr>
            <w:r>
              <w:rPr>
                <w:rFonts w:hint="eastAsia"/>
              </w:rPr>
              <w:t>东北</w:t>
            </w:r>
          </w:p>
        </w:tc>
        <w:tc>
          <w:tcPr>
            <w:tcW w:w="2239" w:type="dxa"/>
            <w:vAlign w:val="center"/>
          </w:tcPr>
          <w:p>
            <w:pPr>
              <w:adjustRightInd w:val="0"/>
              <w:snapToGrid w:val="0"/>
              <w:jc w:val="center"/>
              <w:rPr>
                <w:rFonts w:hint="eastAsia"/>
                <w:bCs/>
                <w:szCs w:val="21"/>
              </w:rPr>
            </w:pPr>
            <w:r>
              <w:rPr>
                <w:rFonts w:hint="eastAsia"/>
                <w:bCs/>
                <w:szCs w:val="21"/>
              </w:rPr>
              <w:t>732</w:t>
            </w:r>
          </w:p>
        </w:tc>
        <w:tc>
          <w:tcPr>
            <w:tcW w:w="1274" w:type="dxa"/>
            <w:vAlign w:val="center"/>
          </w:tcPr>
          <w:p>
            <w:pPr>
              <w:autoSpaceDE w:val="0"/>
              <w:autoSpaceDN w:val="0"/>
              <w:adjustRightInd w:val="0"/>
              <w:snapToGrid w:val="0"/>
              <w:jc w:val="center"/>
              <w:rPr>
                <w:rFonts w:hint="eastAsia"/>
                <w:szCs w:val="21"/>
              </w:rPr>
            </w:pPr>
            <w:r>
              <w:rPr>
                <w:rFonts w:hint="eastAsia"/>
                <w:szCs w:val="21"/>
              </w:rPr>
              <w:t>240</w:t>
            </w:r>
          </w:p>
        </w:tc>
        <w:tc>
          <w:tcPr>
            <w:tcW w:w="1077" w:type="dxa"/>
            <w:vMerge/>
            <w:vAlign w:val="center"/>
          </w:tcPr>
          <w:p>
            <w:pPr>
              <w:autoSpaceDE w:val="0"/>
              <w:autoSpaceDN w:val="0"/>
              <w:adjustRightInd w:val="0"/>
              <w:snapToGrid w:val="0"/>
              <w:jc w:val="center"/>
              <w:rPr>
                <w:rFonts w:hint="eastAsia"/>
                <w:szCs w:val="21"/>
              </w:rPr>
            </w:pPr>
          </w:p>
        </w:tc>
      </w:tr>
      <w:tr>
        <w:tblPrEx>
          <w:tblW w:w="0" w:type="auto"/>
          <w:tblInd w:w="108" w:type="dxa"/>
          <w:tblLayout w:type="fixed"/>
          <w:tblCellMar>
            <w:top w:w="0" w:type="dxa"/>
            <w:left w:w="108" w:type="dxa"/>
            <w:bottom w:w="0" w:type="dxa"/>
            <w:right w:w="108" w:type="dxa"/>
          </w:tblCellMar>
          <w:tblLook w:val="0000"/>
        </w:tblPrEx>
        <w:trPr>
          <w:trHeight w:val="340"/>
        </w:trPr>
        <w:tc>
          <w:tcPr>
            <w:tcW w:w="1125" w:type="dxa"/>
            <w:vMerge/>
            <w:vAlign w:val="center"/>
          </w:tcPr>
          <w:p>
            <w:pPr>
              <w:autoSpaceDE w:val="0"/>
              <w:autoSpaceDN w:val="0"/>
              <w:adjustRightInd w:val="0"/>
              <w:snapToGrid w:val="0"/>
              <w:jc w:val="center"/>
              <w:rPr>
                <w:szCs w:val="21"/>
              </w:rPr>
            </w:pPr>
          </w:p>
        </w:tc>
        <w:tc>
          <w:tcPr>
            <w:tcW w:w="816" w:type="dxa"/>
            <w:vAlign w:val="center"/>
          </w:tcPr>
          <w:p>
            <w:pPr>
              <w:autoSpaceDE w:val="0"/>
              <w:autoSpaceDN w:val="0"/>
              <w:adjustRightInd w:val="0"/>
              <w:snapToGrid w:val="0"/>
              <w:jc w:val="center"/>
              <w:rPr>
                <w:szCs w:val="21"/>
              </w:rPr>
            </w:pPr>
            <w:r>
              <w:rPr>
                <w:rFonts w:hint="eastAsia"/>
                <w:szCs w:val="21"/>
              </w:rPr>
              <w:t>3</w:t>
            </w:r>
          </w:p>
        </w:tc>
        <w:tc>
          <w:tcPr>
            <w:tcW w:w="1685" w:type="dxa"/>
            <w:vAlign w:val="center"/>
          </w:tcPr>
          <w:p>
            <w:pPr>
              <w:adjustRightInd w:val="0"/>
              <w:snapToGrid w:val="0"/>
              <w:jc w:val="center"/>
              <w:rPr>
                <w:rFonts w:hint="eastAsia"/>
                <w:bCs/>
                <w:szCs w:val="21"/>
              </w:rPr>
            </w:pPr>
            <w:r>
              <w:rPr>
                <w:rFonts w:hint="eastAsia"/>
                <w:bCs/>
                <w:szCs w:val="21"/>
              </w:rPr>
              <w:t>艾家村</w:t>
            </w:r>
          </w:p>
        </w:tc>
        <w:tc>
          <w:tcPr>
            <w:tcW w:w="704" w:type="dxa"/>
            <w:vAlign w:val="center"/>
          </w:tcPr>
          <w:p>
            <w:pPr>
              <w:adjustRightInd w:val="0"/>
              <w:snapToGrid w:val="0"/>
              <w:jc w:val="center"/>
              <w:rPr>
                <w:rFonts w:hint="eastAsia"/>
                <w:bCs/>
                <w:szCs w:val="21"/>
              </w:rPr>
            </w:pPr>
            <w:r>
              <w:rPr>
                <w:rFonts w:hint="eastAsia"/>
                <w:bCs/>
                <w:szCs w:val="21"/>
              </w:rPr>
              <w:t>西南</w:t>
            </w:r>
          </w:p>
        </w:tc>
        <w:tc>
          <w:tcPr>
            <w:tcW w:w="2239" w:type="dxa"/>
            <w:vAlign w:val="center"/>
          </w:tcPr>
          <w:p>
            <w:pPr>
              <w:adjustRightInd w:val="0"/>
              <w:snapToGrid w:val="0"/>
              <w:jc w:val="center"/>
              <w:rPr>
                <w:rFonts w:hint="eastAsia"/>
                <w:bCs/>
                <w:szCs w:val="21"/>
              </w:rPr>
            </w:pPr>
            <w:r>
              <w:rPr>
                <w:rFonts w:hint="eastAsia"/>
                <w:bCs/>
                <w:szCs w:val="21"/>
              </w:rPr>
              <w:t>1390</w:t>
            </w:r>
          </w:p>
        </w:tc>
        <w:tc>
          <w:tcPr>
            <w:tcW w:w="1274" w:type="dxa"/>
            <w:vAlign w:val="center"/>
          </w:tcPr>
          <w:p>
            <w:pPr>
              <w:autoSpaceDE w:val="0"/>
              <w:autoSpaceDN w:val="0"/>
              <w:adjustRightInd w:val="0"/>
              <w:snapToGrid w:val="0"/>
              <w:jc w:val="center"/>
              <w:rPr>
                <w:rFonts w:hint="eastAsia"/>
                <w:szCs w:val="21"/>
              </w:rPr>
            </w:pPr>
            <w:r>
              <w:rPr>
                <w:rFonts w:hint="eastAsia"/>
                <w:szCs w:val="21"/>
              </w:rPr>
              <w:t>170</w:t>
            </w:r>
          </w:p>
        </w:tc>
        <w:tc>
          <w:tcPr>
            <w:tcW w:w="1077" w:type="dxa"/>
            <w:vMerge/>
            <w:vAlign w:val="center"/>
          </w:tcPr>
          <w:p>
            <w:pPr>
              <w:autoSpaceDE w:val="0"/>
              <w:autoSpaceDN w:val="0"/>
              <w:adjustRightInd w:val="0"/>
              <w:snapToGrid w:val="0"/>
              <w:jc w:val="center"/>
              <w:rPr>
                <w:szCs w:val="21"/>
              </w:rPr>
            </w:pPr>
          </w:p>
        </w:tc>
      </w:tr>
      <w:tr>
        <w:tblPrEx>
          <w:tblW w:w="0" w:type="auto"/>
          <w:tblInd w:w="108" w:type="dxa"/>
          <w:tblLayout w:type="fixed"/>
          <w:tblCellMar>
            <w:top w:w="0" w:type="dxa"/>
            <w:left w:w="108" w:type="dxa"/>
            <w:bottom w:w="0" w:type="dxa"/>
            <w:right w:w="108" w:type="dxa"/>
          </w:tblCellMar>
          <w:tblLook w:val="0000"/>
        </w:tblPrEx>
        <w:trPr>
          <w:trHeight w:val="340"/>
        </w:trPr>
        <w:tc>
          <w:tcPr>
            <w:tcW w:w="1125" w:type="dxa"/>
            <w:vMerge/>
            <w:vAlign w:val="center"/>
          </w:tcPr>
          <w:p>
            <w:pPr>
              <w:autoSpaceDE w:val="0"/>
              <w:autoSpaceDN w:val="0"/>
              <w:adjustRightInd w:val="0"/>
              <w:snapToGrid w:val="0"/>
              <w:jc w:val="center"/>
              <w:rPr>
                <w:szCs w:val="21"/>
              </w:rPr>
            </w:pPr>
          </w:p>
        </w:tc>
        <w:tc>
          <w:tcPr>
            <w:tcW w:w="816" w:type="dxa"/>
            <w:vAlign w:val="center"/>
          </w:tcPr>
          <w:p>
            <w:pPr>
              <w:autoSpaceDE w:val="0"/>
              <w:autoSpaceDN w:val="0"/>
              <w:adjustRightInd w:val="0"/>
              <w:snapToGrid w:val="0"/>
              <w:jc w:val="center"/>
              <w:rPr>
                <w:rFonts w:hint="eastAsia"/>
                <w:szCs w:val="21"/>
              </w:rPr>
            </w:pPr>
            <w:r>
              <w:rPr>
                <w:rFonts w:hint="eastAsia"/>
                <w:szCs w:val="21"/>
              </w:rPr>
              <w:t>4</w:t>
            </w:r>
          </w:p>
        </w:tc>
        <w:tc>
          <w:tcPr>
            <w:tcW w:w="1685" w:type="dxa"/>
            <w:vAlign w:val="center"/>
          </w:tcPr>
          <w:p>
            <w:pPr>
              <w:adjustRightInd w:val="0"/>
              <w:snapToGrid w:val="0"/>
              <w:jc w:val="center"/>
              <w:rPr>
                <w:rFonts w:hint="eastAsia"/>
                <w:bCs/>
                <w:szCs w:val="21"/>
              </w:rPr>
            </w:pPr>
            <w:r>
              <w:rPr>
                <w:rFonts w:hint="eastAsia"/>
                <w:bCs/>
                <w:szCs w:val="21"/>
              </w:rPr>
              <w:t>河墱上村</w:t>
            </w:r>
          </w:p>
        </w:tc>
        <w:tc>
          <w:tcPr>
            <w:tcW w:w="704" w:type="dxa"/>
            <w:vAlign w:val="center"/>
          </w:tcPr>
          <w:p>
            <w:pPr>
              <w:adjustRightInd w:val="0"/>
              <w:snapToGrid w:val="0"/>
              <w:jc w:val="center"/>
              <w:rPr>
                <w:rFonts w:hint="eastAsia"/>
                <w:bCs/>
                <w:szCs w:val="21"/>
              </w:rPr>
            </w:pPr>
            <w:r>
              <w:rPr>
                <w:rFonts w:hint="eastAsia"/>
              </w:rPr>
              <w:t>北</w:t>
            </w:r>
          </w:p>
        </w:tc>
        <w:tc>
          <w:tcPr>
            <w:tcW w:w="2239" w:type="dxa"/>
            <w:vAlign w:val="center"/>
          </w:tcPr>
          <w:p>
            <w:pPr>
              <w:adjustRightInd w:val="0"/>
              <w:snapToGrid w:val="0"/>
              <w:jc w:val="center"/>
              <w:rPr>
                <w:rFonts w:hint="eastAsia"/>
                <w:bCs/>
                <w:szCs w:val="21"/>
              </w:rPr>
            </w:pPr>
            <w:r>
              <w:rPr>
                <w:rFonts w:hint="eastAsia"/>
                <w:bCs/>
                <w:szCs w:val="21"/>
              </w:rPr>
              <w:t>806</w:t>
            </w:r>
          </w:p>
        </w:tc>
        <w:tc>
          <w:tcPr>
            <w:tcW w:w="1274" w:type="dxa"/>
            <w:vAlign w:val="center"/>
          </w:tcPr>
          <w:p>
            <w:pPr>
              <w:autoSpaceDE w:val="0"/>
              <w:autoSpaceDN w:val="0"/>
              <w:adjustRightInd w:val="0"/>
              <w:snapToGrid w:val="0"/>
              <w:jc w:val="center"/>
              <w:rPr>
                <w:rFonts w:hint="eastAsia"/>
                <w:szCs w:val="21"/>
              </w:rPr>
            </w:pPr>
            <w:r>
              <w:rPr>
                <w:rFonts w:hint="eastAsia"/>
                <w:szCs w:val="21"/>
              </w:rPr>
              <w:t>720</w:t>
            </w:r>
          </w:p>
        </w:tc>
        <w:tc>
          <w:tcPr>
            <w:tcW w:w="1077" w:type="dxa"/>
            <w:vMerge/>
            <w:vAlign w:val="center"/>
          </w:tcPr>
          <w:p>
            <w:pPr>
              <w:autoSpaceDE w:val="0"/>
              <w:autoSpaceDN w:val="0"/>
              <w:adjustRightInd w:val="0"/>
              <w:snapToGrid w:val="0"/>
              <w:jc w:val="center"/>
              <w:rPr>
                <w:szCs w:val="21"/>
              </w:rPr>
            </w:pPr>
          </w:p>
        </w:tc>
      </w:tr>
      <w:tr>
        <w:tblPrEx>
          <w:tblW w:w="0" w:type="auto"/>
          <w:tblInd w:w="108" w:type="dxa"/>
          <w:tblLayout w:type="fixed"/>
          <w:tblCellMar>
            <w:top w:w="0" w:type="dxa"/>
            <w:left w:w="108" w:type="dxa"/>
            <w:bottom w:w="0" w:type="dxa"/>
            <w:right w:w="108" w:type="dxa"/>
          </w:tblCellMar>
          <w:tblLook w:val="0000"/>
        </w:tblPrEx>
        <w:trPr>
          <w:trHeight w:val="340"/>
        </w:trPr>
        <w:tc>
          <w:tcPr>
            <w:tcW w:w="1941" w:type="dxa"/>
            <w:gridSpan w:val="2"/>
            <w:vMerge w:val="restart"/>
            <w:vAlign w:val="center"/>
          </w:tcPr>
          <w:p>
            <w:pPr>
              <w:autoSpaceDE w:val="0"/>
              <w:autoSpaceDN w:val="0"/>
              <w:adjustRightInd w:val="0"/>
              <w:snapToGrid w:val="0"/>
              <w:jc w:val="center"/>
              <w:rPr>
                <w:szCs w:val="21"/>
              </w:rPr>
            </w:pPr>
            <w:r>
              <w:rPr>
                <w:rFonts w:hint="eastAsia"/>
                <w:szCs w:val="21"/>
              </w:rPr>
              <w:t>地表水环境</w:t>
            </w:r>
          </w:p>
        </w:tc>
        <w:tc>
          <w:tcPr>
            <w:tcW w:w="1685" w:type="dxa"/>
            <w:vAlign w:val="center"/>
          </w:tcPr>
          <w:p>
            <w:pPr>
              <w:autoSpaceDE w:val="0"/>
              <w:autoSpaceDN w:val="0"/>
              <w:adjustRightInd w:val="0"/>
              <w:snapToGrid w:val="0"/>
              <w:jc w:val="center"/>
              <w:rPr>
                <w:bCs/>
                <w:szCs w:val="21"/>
              </w:rPr>
            </w:pPr>
            <w:r>
              <w:rPr>
                <w:bCs/>
                <w:szCs w:val="21"/>
              </w:rPr>
              <w:t>进贤县李渡取水口</w:t>
            </w:r>
            <w:r>
              <w:rPr>
                <w:rFonts w:hint="eastAsia"/>
                <w:bCs/>
                <w:szCs w:val="21"/>
              </w:rPr>
              <w:t>(抚河)</w:t>
            </w:r>
          </w:p>
        </w:tc>
        <w:tc>
          <w:tcPr>
            <w:tcW w:w="2943" w:type="dxa"/>
            <w:gridSpan w:val="2"/>
            <w:vAlign w:val="center"/>
          </w:tcPr>
          <w:p>
            <w:pPr>
              <w:autoSpaceDE w:val="0"/>
              <w:autoSpaceDN w:val="0"/>
              <w:adjustRightInd w:val="0"/>
              <w:snapToGrid w:val="0"/>
              <w:jc w:val="center"/>
              <w:rPr>
                <w:bCs/>
                <w:szCs w:val="21"/>
              </w:rPr>
            </w:pPr>
            <w:r>
              <w:rPr>
                <w:rFonts w:hint="eastAsia"/>
                <w:szCs w:val="21"/>
              </w:rPr>
              <w:t>距项目排污口下游46km处</w:t>
            </w:r>
          </w:p>
        </w:tc>
        <w:tc>
          <w:tcPr>
            <w:tcW w:w="1274" w:type="dxa"/>
            <w:vAlign w:val="center"/>
          </w:tcPr>
          <w:p>
            <w:pPr>
              <w:adjustRightInd w:val="0"/>
              <w:snapToGrid w:val="0"/>
              <w:jc w:val="center"/>
              <w:rPr>
                <w:szCs w:val="21"/>
              </w:rPr>
            </w:pPr>
            <w:r>
              <w:rPr>
                <w:rFonts w:hint="eastAsia"/>
                <w:szCs w:val="21"/>
              </w:rPr>
              <w:t>取水规模5000m</w:t>
            </w:r>
            <w:r>
              <w:rPr>
                <w:rFonts w:hint="eastAsia"/>
                <w:szCs w:val="21"/>
                <w:vertAlign w:val="superscript"/>
              </w:rPr>
              <w:t>3</w:t>
            </w:r>
            <w:r>
              <w:rPr>
                <w:rFonts w:hint="eastAsia"/>
                <w:szCs w:val="21"/>
              </w:rPr>
              <w:t>/d</w:t>
            </w:r>
          </w:p>
        </w:tc>
        <w:tc>
          <w:tcPr>
            <w:tcW w:w="1077" w:type="dxa"/>
            <w:vAlign w:val="center"/>
          </w:tcPr>
          <w:p>
            <w:pPr>
              <w:adjustRightInd w:val="0"/>
              <w:snapToGrid w:val="0"/>
              <w:jc w:val="center"/>
              <w:rPr>
                <w:szCs w:val="21"/>
              </w:rPr>
            </w:pPr>
          </w:p>
        </w:tc>
      </w:tr>
      <w:tr>
        <w:tblPrEx>
          <w:tblW w:w="0" w:type="auto"/>
          <w:tblInd w:w="108" w:type="dxa"/>
          <w:tblLayout w:type="fixed"/>
          <w:tblCellMar>
            <w:top w:w="0" w:type="dxa"/>
            <w:left w:w="108" w:type="dxa"/>
            <w:bottom w:w="0" w:type="dxa"/>
            <w:right w:w="108" w:type="dxa"/>
          </w:tblCellMar>
          <w:tblLook w:val="0000"/>
        </w:tblPrEx>
        <w:trPr>
          <w:trHeight w:val="340"/>
        </w:trPr>
        <w:tc>
          <w:tcPr>
            <w:tcW w:w="1941" w:type="dxa"/>
            <w:gridSpan w:val="2"/>
            <w:vMerge/>
            <w:vAlign w:val="center"/>
          </w:tcPr>
          <w:p>
            <w:pPr>
              <w:autoSpaceDE w:val="0"/>
              <w:autoSpaceDN w:val="0"/>
              <w:adjustRightInd w:val="0"/>
              <w:snapToGrid w:val="0"/>
              <w:jc w:val="center"/>
              <w:rPr>
                <w:rFonts w:hint="eastAsia"/>
                <w:szCs w:val="21"/>
              </w:rPr>
            </w:pPr>
          </w:p>
        </w:tc>
        <w:tc>
          <w:tcPr>
            <w:tcW w:w="1685" w:type="dxa"/>
            <w:vAlign w:val="center"/>
          </w:tcPr>
          <w:p>
            <w:pPr>
              <w:autoSpaceDE w:val="0"/>
              <w:autoSpaceDN w:val="0"/>
              <w:adjustRightInd w:val="0"/>
              <w:snapToGrid w:val="0"/>
              <w:jc w:val="center"/>
              <w:rPr>
                <w:bCs/>
                <w:szCs w:val="21"/>
              </w:rPr>
            </w:pPr>
            <w:r>
              <w:rPr>
                <w:rFonts w:hint="eastAsia"/>
                <w:szCs w:val="21"/>
              </w:rPr>
              <w:t>北港</w:t>
            </w:r>
          </w:p>
        </w:tc>
        <w:tc>
          <w:tcPr>
            <w:tcW w:w="2943" w:type="dxa"/>
            <w:gridSpan w:val="2"/>
            <w:vAlign w:val="center"/>
          </w:tcPr>
          <w:p>
            <w:pPr>
              <w:autoSpaceDE w:val="0"/>
              <w:autoSpaceDN w:val="0"/>
              <w:adjustRightInd w:val="0"/>
              <w:snapToGrid w:val="0"/>
              <w:jc w:val="center"/>
              <w:rPr>
                <w:rFonts w:hint="eastAsia"/>
                <w:szCs w:val="21"/>
              </w:rPr>
            </w:pPr>
            <w:r>
              <w:rPr>
                <w:rFonts w:hint="eastAsia"/>
                <w:szCs w:val="21"/>
              </w:rPr>
              <w:t>西北方1600米</w:t>
            </w:r>
          </w:p>
        </w:tc>
        <w:tc>
          <w:tcPr>
            <w:tcW w:w="1274" w:type="dxa"/>
            <w:vAlign w:val="center"/>
          </w:tcPr>
          <w:p>
            <w:pPr>
              <w:adjustRightInd w:val="0"/>
              <w:snapToGrid w:val="0"/>
              <w:jc w:val="center"/>
              <w:rPr>
                <w:rFonts w:hint="eastAsia"/>
                <w:szCs w:val="21"/>
              </w:rPr>
            </w:pPr>
            <w:r>
              <w:rPr>
                <w:rFonts w:hint="eastAsia"/>
                <w:szCs w:val="21"/>
              </w:rPr>
              <w:t>小河</w:t>
            </w:r>
          </w:p>
        </w:tc>
        <w:tc>
          <w:tcPr>
            <w:tcW w:w="1077" w:type="dxa"/>
            <w:vAlign w:val="center"/>
          </w:tcPr>
          <w:p>
            <w:pPr>
              <w:adjustRightInd w:val="0"/>
              <w:snapToGrid w:val="0"/>
              <w:jc w:val="center"/>
              <w:rPr>
                <w:rFonts w:hint="eastAsia"/>
                <w:szCs w:val="21"/>
              </w:rPr>
            </w:pPr>
            <w:r>
              <w:rPr>
                <w:rFonts w:hint="eastAsia"/>
                <w:szCs w:val="21"/>
              </w:rPr>
              <w:t>III类</w:t>
            </w:r>
          </w:p>
        </w:tc>
      </w:tr>
      <w:tr>
        <w:tblPrEx>
          <w:tblW w:w="0" w:type="auto"/>
          <w:tblInd w:w="108" w:type="dxa"/>
          <w:tblLayout w:type="fixed"/>
          <w:tblCellMar>
            <w:top w:w="0" w:type="dxa"/>
            <w:left w:w="108" w:type="dxa"/>
            <w:bottom w:w="0" w:type="dxa"/>
            <w:right w:w="108" w:type="dxa"/>
          </w:tblCellMar>
          <w:tblLook w:val="0000"/>
        </w:tblPrEx>
        <w:trPr>
          <w:trHeight w:val="340"/>
        </w:trPr>
        <w:tc>
          <w:tcPr>
            <w:tcW w:w="1941" w:type="dxa"/>
            <w:gridSpan w:val="2"/>
            <w:vAlign w:val="center"/>
          </w:tcPr>
          <w:p>
            <w:pPr>
              <w:autoSpaceDE w:val="0"/>
              <w:autoSpaceDN w:val="0"/>
              <w:adjustRightInd w:val="0"/>
              <w:snapToGrid w:val="0"/>
              <w:jc w:val="center"/>
              <w:rPr>
                <w:szCs w:val="21"/>
              </w:rPr>
            </w:pPr>
            <w:r>
              <w:rPr>
                <w:rFonts w:hint="eastAsia"/>
                <w:szCs w:val="21"/>
              </w:rPr>
              <w:t>声环境</w:t>
            </w:r>
          </w:p>
        </w:tc>
        <w:tc>
          <w:tcPr>
            <w:tcW w:w="1685" w:type="dxa"/>
            <w:vAlign w:val="center"/>
          </w:tcPr>
          <w:p>
            <w:pPr>
              <w:autoSpaceDE w:val="0"/>
              <w:autoSpaceDN w:val="0"/>
              <w:adjustRightInd w:val="0"/>
              <w:snapToGrid w:val="0"/>
              <w:jc w:val="center"/>
              <w:rPr>
                <w:bCs/>
                <w:szCs w:val="21"/>
              </w:rPr>
            </w:pPr>
            <w:r>
              <w:rPr>
                <w:rFonts w:hint="eastAsia"/>
                <w:bCs/>
                <w:szCs w:val="21"/>
              </w:rPr>
              <w:t>厂界四周1m</w:t>
            </w:r>
          </w:p>
        </w:tc>
        <w:tc>
          <w:tcPr>
            <w:tcW w:w="2943" w:type="dxa"/>
            <w:gridSpan w:val="2"/>
            <w:vAlign w:val="center"/>
          </w:tcPr>
          <w:p>
            <w:pPr>
              <w:autoSpaceDE w:val="0"/>
              <w:autoSpaceDN w:val="0"/>
              <w:adjustRightInd w:val="0"/>
              <w:snapToGrid w:val="0"/>
              <w:jc w:val="center"/>
              <w:rPr>
                <w:bCs/>
                <w:szCs w:val="21"/>
              </w:rPr>
            </w:pPr>
          </w:p>
        </w:tc>
        <w:tc>
          <w:tcPr>
            <w:tcW w:w="1274" w:type="dxa"/>
            <w:vAlign w:val="center"/>
          </w:tcPr>
          <w:p>
            <w:pPr>
              <w:adjustRightInd w:val="0"/>
              <w:snapToGrid w:val="0"/>
              <w:jc w:val="center"/>
              <w:rPr>
                <w:szCs w:val="21"/>
              </w:rPr>
            </w:pPr>
          </w:p>
        </w:tc>
        <w:tc>
          <w:tcPr>
            <w:tcW w:w="1077" w:type="dxa"/>
            <w:vAlign w:val="center"/>
          </w:tcPr>
          <w:p>
            <w:pPr>
              <w:adjustRightInd w:val="0"/>
              <w:snapToGrid w:val="0"/>
              <w:jc w:val="center"/>
              <w:rPr>
                <w:szCs w:val="21"/>
              </w:rPr>
            </w:pPr>
            <w:r>
              <w:rPr>
                <w:rFonts w:hint="eastAsia"/>
                <w:szCs w:val="21"/>
              </w:rPr>
              <w:t>3类区</w:t>
            </w:r>
          </w:p>
        </w:tc>
      </w:tr>
    </w:tbl>
    <w:p>
      <w:pPr>
        <w:adjustRightInd w:val="0"/>
        <w:snapToGrid w:val="0"/>
        <w:spacing w:line="396" w:lineRule="auto"/>
        <w:ind w:firstLine="480" w:firstLineChars="200"/>
        <w:rPr>
          <w:rFonts w:hAnsi="宋体" w:hint="eastAsia"/>
          <w:sz w:val="24"/>
        </w:rPr>
        <w:sectPr>
          <w:headerReference w:type="default" r:id="rId27"/>
          <w:footerReference w:type="even" r:id="rId28"/>
          <w:footerReference w:type="default" r:id="rId29"/>
          <w:type w:val="nextPage"/>
          <w:pgSz w:w="11906" w:h="16838"/>
          <w:pgMar w:top="1134" w:right="1418" w:bottom="1418" w:left="1418" w:header="851" w:footer="936" w:gutter="0"/>
          <w:pgNumType w:start="7"/>
          <w:cols w:space="708"/>
          <w:titlePg w:val="0"/>
          <w:docGrid w:linePitch="312"/>
        </w:sectPr>
      </w:pPr>
    </w:p>
    <w:p>
      <w:pPr>
        <w:ind w:left="-945" w:right="-945" w:leftChars="-450" w:rightChars="-450"/>
        <w:jc w:val="center"/>
        <w:rPr>
          <w:rFonts w:hint="eastAsia"/>
        </w:rPr>
      </w:pPr>
    </w:p>
    <w:p>
      <w:pPr>
        <w:jc w:val="center"/>
        <w:rPr>
          <w:rFonts w:hint="eastAsia"/>
        </w:rPr>
      </w:pPr>
      <w:r>
        <w:pict>
          <v:group id="画布 9" o:spid="_x0000_i1036" editas="canvas" style="width:640.5pt;height:429pt;mso-position-horizontal-relative:char;mso-position-vertical-relative:line" coordorigin="1860,880" coordsize="12810,8580">
            <o:lock v:ext="edit" aspectratio="t" text="t"/>
            <o:diagram v:ext="edit" dgmstyle="0" dgmscalex="0" dgmscaley="0" reverse="f"/>
            <v:shape id="_x0000_s1037" type="#_x0000_t75" editas="canvas" style="width:12810;height:8580;left:1860;mso-position-horizontal-relative:char;mso-position-vertical-relative:line;mso-wrap-style:square;position:absolute;top:880" o:preferrelative="f" filled="f" stroked="t">
              <v:fill o:detectmouseclick="t"/>
              <v:stroke linestyle="single"/>
              <o:lock v:ext="edit" aspectratio="t" text="t"/>
              <o:diagram v:ext="edit" dgmstyle="0" dgmscalex="0" dgmscaley="0" reverse="f"/>
            </v:shape>
            <v:shape id="图片 11" o:spid="_x0000_s1038" type="#_x0000_t75" style="width:11262;height:7227;left:2595;mso-wrap-style:square;position:absolute;top:1504" filled="f" stroked="f">
              <v:stroke linestyle="single"/>
              <v:imagedata r:id="rId30" o:title="敏感点分布图副本" blacklevel="5898f"/>
              <v:path o:extrusionok="f"/>
              <o:lock v:ext="edit" aspectratio="t"/>
            </v:shape>
            <v:shape id="文本框 13" o:spid="_x0000_s1039" type="#_x0000_t202" style="width:2700;height:468;left:11055;mso-wrap-style:square;position:absolute;top:8212" filled="t" fillcolor="white" stroked="t" strokecolor="yellow">
              <v:stroke linestyle="single"/>
              <v:textbox>
                <w:txbxContent>
                  <w:p>
                    <w:pPr>
                      <w:rPr>
                        <w:rFonts w:hint="eastAsia"/>
                      </w:rPr>
                    </w:pPr>
                    <w:r>
                      <w:rPr>
                        <w:rFonts w:hint="eastAsia"/>
                      </w:rPr>
                      <w:t xml:space="preserve">图例: </w:t>
                    </w:r>
                    <w:r>
                      <w:rPr>
                        <w:rFonts w:hint="eastAsia"/>
                        <w:color w:val="FF0000"/>
                      </w:rPr>
                      <w:t>★</w:t>
                    </w:r>
                    <w:r>
                      <w:rPr>
                        <w:rFonts w:hint="eastAsia"/>
                      </w:rPr>
                      <w:t xml:space="preserve"> 项目所处位置</w:t>
                    </w:r>
                  </w:p>
                </w:txbxContent>
              </v:textbox>
            </v:shape>
            <v:shape id="图片 14" o:spid="_x0000_s1040" type="#_x0000_t75" style="width:2010;height:1895;left:2595;mso-wrap-style:square;position:absolute;top:1546" filled="f" stroked="f">
              <v:stroke linestyle="single"/>
              <v:imagedata r:id="rId31" o:title="" croptop="19326f" cropbottom="15120f" cropleft="28087f" cropright="12681f"/>
              <v:path o:extrusionok="f"/>
              <o:lock v:ext="edit" aspectratio="t"/>
            </v:shape>
            <v:shape id="文本框 15" o:spid="_x0000_s1041" type="#_x0000_t202" style="width:2700;height:3000;left:11001;mso-wrap-style:square;position:absolute;top:1624">
              <v:stroke linestyle="single"/>
              <v:textbox>
                <w:txbxContent>
                  <w:tbl>
                    <w:tblPr>
                      <w:tblStyle w:val="TableNormal"/>
                      <w:tblpPr w:leftFromText="180" w:rightFromText="180" w:horzAnchor="page" w:tblpX="3467" w:tblpY="348"/>
                      <w:tblW w:w="0" w:type="auto"/>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28" w:type="dxa"/>
                        <w:bottom w:w="0" w:type="dxa"/>
                        <w:right w:w="28" w:type="dxa"/>
                      </w:tblCellMar>
                      <w:tblLook w:val="0000"/>
                    </w:tblPr>
                    <w:tblGrid>
                      <w:gridCol w:w="236"/>
                      <w:gridCol w:w="596"/>
                      <w:gridCol w:w="416"/>
                      <w:gridCol w:w="596"/>
                      <w:gridCol w:w="416"/>
                    </w:tblGrid>
                    <w:tr>
                      <w:tblPrEx>
                        <w:tblW w:w="0" w:type="auto"/>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28" w:type="dxa"/>
                          <w:bottom w:w="0" w:type="dxa"/>
                          <w:right w:w="28" w:type="dxa"/>
                        </w:tblCellMar>
                        <w:tblLook w:val="0000"/>
                      </w:tblPrEx>
                      <w:trPr>
                        <w:trHeight w:val="340"/>
                      </w:trPr>
                      <w:tc>
                        <w:tcPr>
                          <w:tcW w:w="236" w:type="dxa"/>
                          <w:vAlign w:val="center"/>
                        </w:tcPr>
                        <w:p>
                          <w:pPr>
                            <w:autoSpaceDE w:val="0"/>
                            <w:autoSpaceDN w:val="0"/>
                            <w:adjustRightInd w:val="0"/>
                            <w:snapToGrid w:val="0"/>
                            <w:jc w:val="center"/>
                            <w:rPr>
                              <w:rFonts w:hint="eastAsia"/>
                              <w:bCs/>
                              <w:sz w:val="18"/>
                              <w:szCs w:val="18"/>
                            </w:rPr>
                          </w:pPr>
                          <w:r>
                            <w:rPr>
                              <w:bCs/>
                              <w:sz w:val="18"/>
                              <w:szCs w:val="18"/>
                            </w:rPr>
                            <w:t>序</w:t>
                          </w:r>
                        </w:p>
                        <w:p>
                          <w:pPr>
                            <w:autoSpaceDE w:val="0"/>
                            <w:autoSpaceDN w:val="0"/>
                            <w:adjustRightInd w:val="0"/>
                            <w:snapToGrid w:val="0"/>
                            <w:jc w:val="center"/>
                            <w:rPr>
                              <w:bCs/>
                              <w:sz w:val="18"/>
                              <w:szCs w:val="18"/>
                            </w:rPr>
                          </w:pPr>
                          <w:r>
                            <w:rPr>
                              <w:bCs/>
                              <w:sz w:val="18"/>
                              <w:szCs w:val="18"/>
                            </w:rPr>
                            <w:t>号</w:t>
                          </w:r>
                        </w:p>
                      </w:tc>
                      <w:tc>
                        <w:tcPr>
                          <w:tcW w:w="596" w:type="dxa"/>
                          <w:vAlign w:val="center"/>
                        </w:tcPr>
                        <w:p>
                          <w:pPr>
                            <w:autoSpaceDE w:val="0"/>
                            <w:autoSpaceDN w:val="0"/>
                            <w:adjustRightInd w:val="0"/>
                            <w:snapToGrid w:val="0"/>
                            <w:jc w:val="center"/>
                            <w:rPr>
                              <w:bCs/>
                              <w:sz w:val="18"/>
                              <w:szCs w:val="18"/>
                            </w:rPr>
                          </w:pPr>
                          <w:r>
                            <w:rPr>
                              <w:bCs/>
                              <w:sz w:val="18"/>
                              <w:szCs w:val="18"/>
                            </w:rPr>
                            <w:t>名称</w:t>
                          </w:r>
                        </w:p>
                      </w:tc>
                      <w:tc>
                        <w:tcPr>
                          <w:tcW w:w="416" w:type="dxa"/>
                          <w:vAlign w:val="center"/>
                        </w:tcPr>
                        <w:p>
                          <w:pPr>
                            <w:autoSpaceDE w:val="0"/>
                            <w:autoSpaceDN w:val="0"/>
                            <w:adjustRightInd w:val="0"/>
                            <w:snapToGrid w:val="0"/>
                            <w:jc w:val="center"/>
                            <w:rPr>
                              <w:bCs/>
                              <w:sz w:val="18"/>
                              <w:szCs w:val="18"/>
                            </w:rPr>
                          </w:pPr>
                          <w:r>
                            <w:rPr>
                              <w:bCs/>
                              <w:sz w:val="18"/>
                              <w:szCs w:val="18"/>
                            </w:rPr>
                            <w:t>方位</w:t>
                          </w:r>
                        </w:p>
                      </w:tc>
                      <w:tc>
                        <w:tcPr>
                          <w:tcW w:w="596" w:type="dxa"/>
                          <w:vAlign w:val="center"/>
                        </w:tcPr>
                        <w:p>
                          <w:pPr>
                            <w:pStyle w:val="D3"/>
                            <w:rPr>
                              <w:rFonts w:ascii="Times New Roman" w:hAnsi="Times New Roman" w:cs="Times New Roman"/>
                              <w:sz w:val="18"/>
                              <w:szCs w:val="18"/>
                            </w:rPr>
                          </w:pPr>
                          <w:r>
                            <w:rPr>
                              <w:rFonts w:ascii="Times New Roman" w:cs="Times New Roman"/>
                              <w:sz w:val="18"/>
                              <w:szCs w:val="18"/>
                            </w:rPr>
                            <w:t>距离厂</w:t>
                          </w:r>
                        </w:p>
                        <w:p>
                          <w:pPr>
                            <w:pStyle w:val="D3"/>
                            <w:rPr>
                              <w:rFonts w:ascii="Times New Roman" w:hAnsi="Times New Roman" w:cs="Times New Roman"/>
                              <w:sz w:val="18"/>
                              <w:szCs w:val="18"/>
                            </w:rPr>
                          </w:pPr>
                          <w:r>
                            <w:rPr>
                              <w:rFonts w:ascii="Times New Roman" w:cs="Times New Roman"/>
                              <w:sz w:val="18"/>
                              <w:szCs w:val="18"/>
                            </w:rPr>
                            <w:t>址边界</w:t>
                          </w:r>
                        </w:p>
                        <w:p>
                          <w:pPr>
                            <w:pStyle w:val="D3"/>
                            <w:rPr>
                              <w:rFonts w:ascii="Times New Roman" w:hAnsi="Times New Roman" w:cs="Times New Roman"/>
                              <w:sz w:val="18"/>
                              <w:szCs w:val="18"/>
                            </w:rPr>
                          </w:pPr>
                          <w:r>
                            <w:rPr>
                              <w:rFonts w:ascii="Times New Roman" w:hAnsi="Times New Roman" w:cs="Times New Roman"/>
                              <w:sz w:val="18"/>
                              <w:szCs w:val="18"/>
                            </w:rPr>
                            <w:t>(</w:t>
                          </w:r>
                          <w:r>
                            <w:rPr>
                              <w:rFonts w:ascii="Times New Roman" w:cs="Times New Roman"/>
                              <w:sz w:val="18"/>
                              <w:szCs w:val="18"/>
                            </w:rPr>
                            <w:t>米</w:t>
                          </w:r>
                          <w:r>
                            <w:rPr>
                              <w:rFonts w:ascii="Times New Roman" w:hAnsi="Times New Roman" w:cs="Times New Roman"/>
                              <w:sz w:val="18"/>
                              <w:szCs w:val="18"/>
                            </w:rPr>
                            <w:t>)</w:t>
                          </w:r>
                        </w:p>
                      </w:tc>
                      <w:tc>
                        <w:tcPr>
                          <w:tcW w:w="416" w:type="dxa"/>
                          <w:vAlign w:val="center"/>
                        </w:tcPr>
                        <w:p>
                          <w:pPr>
                            <w:autoSpaceDE w:val="0"/>
                            <w:autoSpaceDN w:val="0"/>
                            <w:adjustRightInd w:val="0"/>
                            <w:snapToGrid w:val="0"/>
                            <w:jc w:val="center"/>
                            <w:rPr>
                              <w:bCs/>
                              <w:sz w:val="18"/>
                              <w:szCs w:val="18"/>
                            </w:rPr>
                          </w:pPr>
                          <w:r>
                            <w:rPr>
                              <w:bCs/>
                              <w:sz w:val="18"/>
                              <w:szCs w:val="18"/>
                            </w:rPr>
                            <w:t>规模</w:t>
                          </w:r>
                        </w:p>
                        <w:p>
                          <w:pPr>
                            <w:autoSpaceDE w:val="0"/>
                            <w:autoSpaceDN w:val="0"/>
                            <w:adjustRightInd w:val="0"/>
                            <w:snapToGrid w:val="0"/>
                            <w:jc w:val="center"/>
                            <w:rPr>
                              <w:bCs/>
                              <w:sz w:val="18"/>
                              <w:szCs w:val="18"/>
                            </w:rPr>
                          </w:pPr>
                          <w:r>
                            <w:rPr>
                              <w:bCs/>
                              <w:sz w:val="18"/>
                              <w:szCs w:val="18"/>
                            </w:rPr>
                            <w:t>(人)</w:t>
                          </w:r>
                        </w:p>
                      </w:tc>
                    </w:tr>
                    <w:tr>
                      <w:tblPrEx>
                        <w:tblW w:w="0" w:type="auto"/>
                        <w:tblLayout w:type="fixed"/>
                        <w:tblCellMar>
                          <w:top w:w="0" w:type="dxa"/>
                          <w:left w:w="28" w:type="dxa"/>
                          <w:bottom w:w="0" w:type="dxa"/>
                          <w:right w:w="28" w:type="dxa"/>
                        </w:tblCellMar>
                        <w:tblLook w:val="0000"/>
                      </w:tblPrEx>
                      <w:trPr>
                        <w:trHeight w:val="340"/>
                      </w:trPr>
                      <w:tc>
                        <w:tcPr>
                          <w:tcW w:w="236" w:type="dxa"/>
                          <w:vAlign w:val="center"/>
                        </w:tcPr>
                        <w:p>
                          <w:pPr>
                            <w:autoSpaceDE w:val="0"/>
                            <w:autoSpaceDN w:val="0"/>
                            <w:adjustRightInd w:val="0"/>
                            <w:snapToGrid w:val="0"/>
                            <w:jc w:val="center"/>
                            <w:rPr>
                              <w:sz w:val="18"/>
                              <w:szCs w:val="18"/>
                            </w:rPr>
                          </w:pPr>
                          <w:r>
                            <w:rPr>
                              <w:sz w:val="18"/>
                              <w:szCs w:val="18"/>
                            </w:rPr>
                            <w:t>1</w:t>
                          </w:r>
                        </w:p>
                      </w:tc>
                      <w:tc>
                        <w:tcPr>
                          <w:tcW w:w="596" w:type="dxa"/>
                          <w:vAlign w:val="center"/>
                        </w:tcPr>
                        <w:p>
                          <w:pPr>
                            <w:autoSpaceDE w:val="0"/>
                            <w:autoSpaceDN w:val="0"/>
                            <w:adjustRightInd w:val="0"/>
                            <w:snapToGrid w:val="0"/>
                            <w:jc w:val="center"/>
                            <w:rPr>
                              <w:sz w:val="18"/>
                              <w:szCs w:val="18"/>
                            </w:rPr>
                          </w:pPr>
                          <w:r>
                            <w:rPr>
                              <w:sz w:val="18"/>
                              <w:szCs w:val="18"/>
                            </w:rPr>
                            <w:t>桂家</w:t>
                          </w:r>
                        </w:p>
                        <w:p>
                          <w:pPr>
                            <w:autoSpaceDE w:val="0"/>
                            <w:autoSpaceDN w:val="0"/>
                            <w:adjustRightInd w:val="0"/>
                            <w:snapToGrid w:val="0"/>
                            <w:jc w:val="center"/>
                            <w:rPr>
                              <w:sz w:val="18"/>
                              <w:szCs w:val="18"/>
                            </w:rPr>
                          </w:pPr>
                          <w:r>
                            <w:rPr>
                              <w:sz w:val="18"/>
                              <w:szCs w:val="18"/>
                            </w:rPr>
                            <w:t>山村</w:t>
                          </w:r>
                        </w:p>
                      </w:tc>
                      <w:tc>
                        <w:tcPr>
                          <w:tcW w:w="416" w:type="dxa"/>
                          <w:vAlign w:val="center"/>
                        </w:tcPr>
                        <w:p>
                          <w:pPr>
                            <w:autoSpaceDE w:val="0"/>
                            <w:autoSpaceDN w:val="0"/>
                            <w:adjustRightInd w:val="0"/>
                            <w:snapToGrid w:val="0"/>
                            <w:jc w:val="center"/>
                            <w:rPr>
                              <w:sz w:val="18"/>
                              <w:szCs w:val="18"/>
                            </w:rPr>
                          </w:pPr>
                          <w:r>
                            <w:rPr>
                              <w:sz w:val="18"/>
                              <w:szCs w:val="18"/>
                            </w:rPr>
                            <w:t>北</w:t>
                          </w:r>
                        </w:p>
                      </w:tc>
                      <w:tc>
                        <w:tcPr>
                          <w:tcW w:w="596" w:type="dxa"/>
                          <w:vAlign w:val="center"/>
                        </w:tcPr>
                        <w:p>
                          <w:pPr>
                            <w:autoSpaceDE w:val="0"/>
                            <w:autoSpaceDN w:val="0"/>
                            <w:adjustRightInd w:val="0"/>
                            <w:snapToGrid w:val="0"/>
                            <w:jc w:val="center"/>
                            <w:rPr>
                              <w:sz w:val="18"/>
                              <w:szCs w:val="18"/>
                            </w:rPr>
                          </w:pPr>
                          <w:r>
                            <w:rPr>
                              <w:sz w:val="18"/>
                              <w:szCs w:val="18"/>
                            </w:rPr>
                            <w:t>520</w:t>
                          </w:r>
                        </w:p>
                      </w:tc>
                      <w:tc>
                        <w:tcPr>
                          <w:tcW w:w="416" w:type="dxa"/>
                          <w:vAlign w:val="center"/>
                        </w:tcPr>
                        <w:p>
                          <w:pPr>
                            <w:autoSpaceDE w:val="0"/>
                            <w:autoSpaceDN w:val="0"/>
                            <w:adjustRightInd w:val="0"/>
                            <w:snapToGrid w:val="0"/>
                            <w:jc w:val="center"/>
                            <w:rPr>
                              <w:sz w:val="18"/>
                              <w:szCs w:val="18"/>
                            </w:rPr>
                          </w:pPr>
                          <w:r>
                            <w:rPr>
                              <w:sz w:val="18"/>
                              <w:szCs w:val="18"/>
                            </w:rPr>
                            <w:t>100</w:t>
                          </w:r>
                        </w:p>
                      </w:tc>
                    </w:tr>
                    <w:tr>
                      <w:tblPrEx>
                        <w:tblW w:w="0" w:type="auto"/>
                        <w:tblLayout w:type="fixed"/>
                        <w:tblCellMar>
                          <w:top w:w="0" w:type="dxa"/>
                          <w:left w:w="28" w:type="dxa"/>
                          <w:bottom w:w="0" w:type="dxa"/>
                          <w:right w:w="28" w:type="dxa"/>
                        </w:tblCellMar>
                        <w:tblLook w:val="0000"/>
                      </w:tblPrEx>
                      <w:trPr>
                        <w:trHeight w:val="340"/>
                      </w:trPr>
                      <w:tc>
                        <w:tcPr>
                          <w:tcW w:w="236" w:type="dxa"/>
                          <w:vAlign w:val="center"/>
                        </w:tcPr>
                        <w:p>
                          <w:pPr>
                            <w:autoSpaceDE w:val="0"/>
                            <w:autoSpaceDN w:val="0"/>
                            <w:adjustRightInd w:val="0"/>
                            <w:snapToGrid w:val="0"/>
                            <w:jc w:val="center"/>
                            <w:rPr>
                              <w:sz w:val="18"/>
                              <w:szCs w:val="18"/>
                            </w:rPr>
                          </w:pPr>
                          <w:r>
                            <w:rPr>
                              <w:sz w:val="18"/>
                              <w:szCs w:val="18"/>
                            </w:rPr>
                            <w:t>2</w:t>
                          </w:r>
                        </w:p>
                      </w:tc>
                      <w:tc>
                        <w:tcPr>
                          <w:tcW w:w="596" w:type="dxa"/>
                          <w:vAlign w:val="center"/>
                        </w:tcPr>
                        <w:p>
                          <w:pPr>
                            <w:adjustRightInd w:val="0"/>
                            <w:snapToGrid w:val="0"/>
                            <w:jc w:val="center"/>
                            <w:rPr>
                              <w:bCs/>
                              <w:sz w:val="18"/>
                              <w:szCs w:val="18"/>
                            </w:rPr>
                          </w:pPr>
                          <w:r>
                            <w:rPr>
                              <w:bCs/>
                              <w:sz w:val="18"/>
                              <w:szCs w:val="18"/>
                            </w:rPr>
                            <w:t>桐岗</w:t>
                          </w:r>
                        </w:p>
                        <w:p>
                          <w:pPr>
                            <w:adjustRightInd w:val="0"/>
                            <w:snapToGrid w:val="0"/>
                            <w:jc w:val="center"/>
                            <w:rPr>
                              <w:bCs/>
                              <w:sz w:val="18"/>
                              <w:szCs w:val="18"/>
                            </w:rPr>
                          </w:pPr>
                          <w:r>
                            <w:rPr>
                              <w:bCs/>
                              <w:sz w:val="18"/>
                              <w:szCs w:val="18"/>
                            </w:rPr>
                            <w:t>上村</w:t>
                          </w:r>
                        </w:p>
                      </w:tc>
                      <w:tc>
                        <w:tcPr>
                          <w:tcW w:w="416" w:type="dxa"/>
                          <w:vAlign w:val="center"/>
                        </w:tcPr>
                        <w:p>
                          <w:pPr>
                            <w:adjustRightInd w:val="0"/>
                            <w:snapToGrid w:val="0"/>
                            <w:jc w:val="center"/>
                            <w:rPr>
                              <w:bCs/>
                              <w:sz w:val="18"/>
                              <w:szCs w:val="18"/>
                            </w:rPr>
                          </w:pPr>
                          <w:r>
                            <w:rPr>
                              <w:sz w:val="18"/>
                              <w:szCs w:val="18"/>
                            </w:rPr>
                            <w:t>东北</w:t>
                          </w:r>
                        </w:p>
                      </w:tc>
                      <w:tc>
                        <w:tcPr>
                          <w:tcW w:w="596" w:type="dxa"/>
                          <w:vAlign w:val="center"/>
                        </w:tcPr>
                        <w:p>
                          <w:pPr>
                            <w:adjustRightInd w:val="0"/>
                            <w:snapToGrid w:val="0"/>
                            <w:jc w:val="center"/>
                            <w:rPr>
                              <w:bCs/>
                              <w:sz w:val="18"/>
                              <w:szCs w:val="18"/>
                            </w:rPr>
                          </w:pPr>
                          <w:r>
                            <w:rPr>
                              <w:bCs/>
                              <w:sz w:val="18"/>
                              <w:szCs w:val="18"/>
                            </w:rPr>
                            <w:t>732</w:t>
                          </w:r>
                        </w:p>
                      </w:tc>
                      <w:tc>
                        <w:tcPr>
                          <w:tcW w:w="416" w:type="dxa"/>
                          <w:vAlign w:val="center"/>
                        </w:tcPr>
                        <w:p>
                          <w:pPr>
                            <w:autoSpaceDE w:val="0"/>
                            <w:autoSpaceDN w:val="0"/>
                            <w:adjustRightInd w:val="0"/>
                            <w:snapToGrid w:val="0"/>
                            <w:jc w:val="center"/>
                            <w:rPr>
                              <w:sz w:val="18"/>
                              <w:szCs w:val="18"/>
                            </w:rPr>
                          </w:pPr>
                          <w:r>
                            <w:rPr>
                              <w:sz w:val="18"/>
                              <w:szCs w:val="18"/>
                            </w:rPr>
                            <w:t>240</w:t>
                          </w:r>
                        </w:p>
                      </w:tc>
                    </w:tr>
                    <w:tr>
                      <w:tblPrEx>
                        <w:tblW w:w="0" w:type="auto"/>
                        <w:tblLayout w:type="fixed"/>
                        <w:tblCellMar>
                          <w:top w:w="0" w:type="dxa"/>
                          <w:left w:w="28" w:type="dxa"/>
                          <w:bottom w:w="0" w:type="dxa"/>
                          <w:right w:w="28" w:type="dxa"/>
                        </w:tblCellMar>
                        <w:tblLook w:val="0000"/>
                      </w:tblPrEx>
                      <w:trPr>
                        <w:trHeight w:val="340"/>
                      </w:trPr>
                      <w:tc>
                        <w:tcPr>
                          <w:tcW w:w="236" w:type="dxa"/>
                          <w:vAlign w:val="center"/>
                        </w:tcPr>
                        <w:p>
                          <w:pPr>
                            <w:autoSpaceDE w:val="0"/>
                            <w:autoSpaceDN w:val="0"/>
                            <w:adjustRightInd w:val="0"/>
                            <w:snapToGrid w:val="0"/>
                            <w:jc w:val="center"/>
                            <w:rPr>
                              <w:sz w:val="18"/>
                              <w:szCs w:val="18"/>
                            </w:rPr>
                          </w:pPr>
                          <w:r>
                            <w:rPr>
                              <w:sz w:val="18"/>
                              <w:szCs w:val="18"/>
                            </w:rPr>
                            <w:t>3</w:t>
                          </w:r>
                        </w:p>
                      </w:tc>
                      <w:tc>
                        <w:tcPr>
                          <w:tcW w:w="596" w:type="dxa"/>
                          <w:vAlign w:val="center"/>
                        </w:tcPr>
                        <w:p>
                          <w:pPr>
                            <w:adjustRightInd w:val="0"/>
                            <w:snapToGrid w:val="0"/>
                            <w:jc w:val="center"/>
                            <w:rPr>
                              <w:bCs/>
                              <w:sz w:val="18"/>
                              <w:szCs w:val="18"/>
                            </w:rPr>
                          </w:pPr>
                          <w:r>
                            <w:rPr>
                              <w:bCs/>
                              <w:sz w:val="18"/>
                              <w:szCs w:val="18"/>
                            </w:rPr>
                            <w:t>艾家村</w:t>
                          </w:r>
                        </w:p>
                      </w:tc>
                      <w:tc>
                        <w:tcPr>
                          <w:tcW w:w="416" w:type="dxa"/>
                          <w:vAlign w:val="center"/>
                        </w:tcPr>
                        <w:p>
                          <w:pPr>
                            <w:adjustRightInd w:val="0"/>
                            <w:snapToGrid w:val="0"/>
                            <w:jc w:val="center"/>
                            <w:rPr>
                              <w:bCs/>
                              <w:sz w:val="18"/>
                              <w:szCs w:val="18"/>
                            </w:rPr>
                          </w:pPr>
                          <w:r>
                            <w:rPr>
                              <w:bCs/>
                              <w:sz w:val="18"/>
                              <w:szCs w:val="18"/>
                            </w:rPr>
                            <w:t>西南</w:t>
                          </w:r>
                        </w:p>
                      </w:tc>
                      <w:tc>
                        <w:tcPr>
                          <w:tcW w:w="596" w:type="dxa"/>
                          <w:vAlign w:val="center"/>
                        </w:tcPr>
                        <w:p>
                          <w:pPr>
                            <w:adjustRightInd w:val="0"/>
                            <w:snapToGrid w:val="0"/>
                            <w:jc w:val="center"/>
                            <w:rPr>
                              <w:bCs/>
                              <w:sz w:val="18"/>
                              <w:szCs w:val="18"/>
                            </w:rPr>
                          </w:pPr>
                          <w:r>
                            <w:rPr>
                              <w:bCs/>
                              <w:sz w:val="18"/>
                              <w:szCs w:val="18"/>
                            </w:rPr>
                            <w:t>1390</w:t>
                          </w:r>
                        </w:p>
                      </w:tc>
                      <w:tc>
                        <w:tcPr>
                          <w:tcW w:w="416" w:type="dxa"/>
                          <w:vAlign w:val="center"/>
                        </w:tcPr>
                        <w:p>
                          <w:pPr>
                            <w:autoSpaceDE w:val="0"/>
                            <w:autoSpaceDN w:val="0"/>
                            <w:adjustRightInd w:val="0"/>
                            <w:snapToGrid w:val="0"/>
                            <w:jc w:val="center"/>
                            <w:rPr>
                              <w:sz w:val="18"/>
                              <w:szCs w:val="18"/>
                            </w:rPr>
                          </w:pPr>
                          <w:r>
                            <w:rPr>
                              <w:sz w:val="18"/>
                              <w:szCs w:val="18"/>
                            </w:rPr>
                            <w:t>170</w:t>
                          </w:r>
                        </w:p>
                      </w:tc>
                    </w:tr>
                    <w:tr>
                      <w:tblPrEx>
                        <w:tblW w:w="0" w:type="auto"/>
                        <w:tblLayout w:type="fixed"/>
                        <w:tblCellMar>
                          <w:top w:w="0" w:type="dxa"/>
                          <w:left w:w="28" w:type="dxa"/>
                          <w:bottom w:w="0" w:type="dxa"/>
                          <w:right w:w="28" w:type="dxa"/>
                        </w:tblCellMar>
                        <w:tblLook w:val="0000"/>
                      </w:tblPrEx>
                      <w:trPr>
                        <w:trHeight w:val="340"/>
                      </w:trPr>
                      <w:tc>
                        <w:tcPr>
                          <w:tcW w:w="236" w:type="dxa"/>
                          <w:vAlign w:val="center"/>
                        </w:tcPr>
                        <w:p>
                          <w:pPr>
                            <w:autoSpaceDE w:val="0"/>
                            <w:autoSpaceDN w:val="0"/>
                            <w:adjustRightInd w:val="0"/>
                            <w:snapToGrid w:val="0"/>
                            <w:jc w:val="center"/>
                            <w:rPr>
                              <w:sz w:val="18"/>
                              <w:szCs w:val="18"/>
                            </w:rPr>
                          </w:pPr>
                          <w:r>
                            <w:rPr>
                              <w:sz w:val="18"/>
                              <w:szCs w:val="18"/>
                            </w:rPr>
                            <w:t>4</w:t>
                          </w:r>
                        </w:p>
                      </w:tc>
                      <w:tc>
                        <w:tcPr>
                          <w:tcW w:w="596" w:type="dxa"/>
                          <w:vAlign w:val="center"/>
                        </w:tcPr>
                        <w:p>
                          <w:pPr>
                            <w:adjustRightInd w:val="0"/>
                            <w:snapToGrid w:val="0"/>
                            <w:jc w:val="center"/>
                            <w:rPr>
                              <w:bCs/>
                              <w:sz w:val="18"/>
                              <w:szCs w:val="18"/>
                            </w:rPr>
                          </w:pPr>
                          <w:r>
                            <w:rPr>
                              <w:bCs/>
                              <w:sz w:val="18"/>
                              <w:szCs w:val="18"/>
                            </w:rPr>
                            <w:t>河墱</w:t>
                          </w:r>
                        </w:p>
                        <w:p>
                          <w:pPr>
                            <w:adjustRightInd w:val="0"/>
                            <w:snapToGrid w:val="0"/>
                            <w:jc w:val="center"/>
                            <w:rPr>
                              <w:bCs/>
                              <w:sz w:val="18"/>
                              <w:szCs w:val="18"/>
                            </w:rPr>
                          </w:pPr>
                          <w:r>
                            <w:rPr>
                              <w:bCs/>
                              <w:sz w:val="18"/>
                              <w:szCs w:val="18"/>
                            </w:rPr>
                            <w:t>上村</w:t>
                          </w:r>
                        </w:p>
                      </w:tc>
                      <w:tc>
                        <w:tcPr>
                          <w:tcW w:w="416" w:type="dxa"/>
                          <w:vAlign w:val="center"/>
                        </w:tcPr>
                        <w:p>
                          <w:pPr>
                            <w:adjustRightInd w:val="0"/>
                            <w:snapToGrid w:val="0"/>
                            <w:jc w:val="center"/>
                            <w:rPr>
                              <w:bCs/>
                              <w:sz w:val="18"/>
                              <w:szCs w:val="18"/>
                            </w:rPr>
                          </w:pPr>
                          <w:r>
                            <w:rPr>
                              <w:sz w:val="18"/>
                              <w:szCs w:val="18"/>
                            </w:rPr>
                            <w:t>北</w:t>
                          </w:r>
                        </w:p>
                      </w:tc>
                      <w:tc>
                        <w:tcPr>
                          <w:tcW w:w="596" w:type="dxa"/>
                          <w:vAlign w:val="center"/>
                        </w:tcPr>
                        <w:p>
                          <w:pPr>
                            <w:adjustRightInd w:val="0"/>
                            <w:snapToGrid w:val="0"/>
                            <w:jc w:val="center"/>
                            <w:rPr>
                              <w:bCs/>
                              <w:sz w:val="18"/>
                              <w:szCs w:val="18"/>
                            </w:rPr>
                          </w:pPr>
                          <w:r>
                            <w:rPr>
                              <w:bCs/>
                              <w:sz w:val="18"/>
                              <w:szCs w:val="18"/>
                            </w:rPr>
                            <w:t>806</w:t>
                          </w:r>
                        </w:p>
                      </w:tc>
                      <w:tc>
                        <w:tcPr>
                          <w:tcW w:w="416" w:type="dxa"/>
                          <w:vAlign w:val="center"/>
                        </w:tcPr>
                        <w:p>
                          <w:pPr>
                            <w:autoSpaceDE w:val="0"/>
                            <w:autoSpaceDN w:val="0"/>
                            <w:adjustRightInd w:val="0"/>
                            <w:snapToGrid w:val="0"/>
                            <w:jc w:val="center"/>
                            <w:rPr>
                              <w:sz w:val="18"/>
                              <w:szCs w:val="18"/>
                            </w:rPr>
                          </w:pPr>
                          <w:r>
                            <w:rPr>
                              <w:sz w:val="18"/>
                              <w:szCs w:val="18"/>
                            </w:rPr>
                            <w:t>720</w:t>
                          </w:r>
                        </w:p>
                      </w:tc>
                    </w:tr>
                  </w:tbl>
                  <w:p>
                    <w:pPr>
                      <w:rPr>
                        <w:sz w:val="18"/>
                        <w:szCs w:val="18"/>
                      </w:rPr>
                    </w:pPr>
                  </w:p>
                </w:txbxContent>
              </v:textbox>
            </v:shape>
            <v:shape id="文本框 16" o:spid="_x0000_s1042" type="#_x0000_t202" style="width:360;height:468;left:7635;mso-wrap-style:square;position:absolute;top:4936" filled="f" stroked="f">
              <v:stroke linestyle="single"/>
              <v:textbox>
                <w:txbxContent>
                  <w:p>
                    <w:pPr>
                      <w:rPr>
                        <w:rFonts w:hint="eastAsia"/>
                        <w:b/>
                        <w:color w:val="FFFF00"/>
                      </w:rPr>
                    </w:pPr>
                    <w:r>
                      <w:rPr>
                        <w:rFonts w:hint="eastAsia"/>
                        <w:b/>
                        <w:color w:val="FFFF00"/>
                      </w:rPr>
                      <w:t>①</w:t>
                    </w:r>
                  </w:p>
                </w:txbxContent>
              </v:textbox>
            </v:shape>
            <v:shape id="文本框 17" o:spid="_x0000_s1043" type="#_x0000_t202" style="width:360;height:468;left:8175;mso-wrap-style:square;position:absolute;top:4952" filled="f" stroked="f" insetpen="f">
              <v:stroke linestyle="single"/>
              <v:textbox>
                <w:txbxContent>
                  <w:p>
                    <w:pPr>
                      <w:rPr>
                        <w:rFonts w:hint="eastAsia"/>
                        <w:b/>
                        <w:color w:val="FFFF00"/>
                      </w:rPr>
                    </w:pPr>
                    <w:r>
                      <w:rPr>
                        <w:rFonts w:hint="eastAsia"/>
                        <w:b/>
                        <w:color w:val="FFFF00"/>
                      </w:rPr>
                      <w:t>②</w:t>
                    </w:r>
                  </w:p>
                </w:txbxContent>
              </v:textbox>
            </v:shape>
            <v:shape id="文本框 18" o:spid="_x0000_s1044" type="#_x0000_t202" style="width:360;height:468;left:6597;mso-wrap-style:square;position:absolute;top:6154" filled="f" stroked="f" insetpen="f">
              <v:stroke linestyle="single"/>
              <v:textbox>
                <w:txbxContent>
                  <w:p>
                    <w:pPr>
                      <w:rPr>
                        <w:rFonts w:hint="eastAsia"/>
                        <w:b/>
                        <w:color w:val="FFFF00"/>
                      </w:rPr>
                    </w:pPr>
                    <w:r>
                      <w:rPr>
                        <w:rFonts w:hint="eastAsia"/>
                        <w:b/>
                        <w:color w:val="FFFF00"/>
                      </w:rPr>
                      <w:t>③</w:t>
                    </w:r>
                  </w:p>
                </w:txbxContent>
              </v:textbox>
            </v:shape>
            <v:shape id="文本框 19" o:spid="_x0000_s1045" type="#_x0000_t202" style="width:360;height:468;left:7689;mso-wrap-style:square;position:absolute;top:4212" filled="f" stroked="f" insetpen="f">
              <v:stroke linestyle="single"/>
              <v:textbox>
                <w:txbxContent>
                  <w:p>
                    <w:pPr>
                      <w:rPr>
                        <w:rFonts w:hint="eastAsia"/>
                        <w:b/>
                        <w:color w:val="FFFF00"/>
                      </w:rPr>
                    </w:pPr>
                    <w:r>
                      <w:rPr>
                        <w:rFonts w:hint="eastAsia"/>
                        <w:b/>
                        <w:color w:val="FFFF00"/>
                      </w:rPr>
                      <w:t>④</w:t>
                    </w:r>
                  </w:p>
                </w:txbxContent>
              </v:textbox>
            </v:shape>
            <w10:wrap type="none"/>
            <w10:anchorlock/>
          </v:group>
        </w:pict>
      </w:r>
    </w:p>
    <w:p>
      <w:pPr>
        <w:ind w:left="-945" w:right="-945" w:leftChars="-450" w:rightChars="-450"/>
        <w:jc w:val="center"/>
        <w:rPr>
          <w:rFonts w:hint="eastAsia"/>
        </w:rPr>
      </w:pPr>
      <w:r>
        <w:rPr>
          <w:rFonts w:hint="eastAsia"/>
          <w:b/>
          <w:sz w:val="25"/>
        </w:rPr>
        <w:t>图2 敏感点分面图</w:t>
      </w:r>
    </w:p>
    <w:p>
      <w:pPr>
        <w:adjustRightInd w:val="0"/>
        <w:snapToGrid w:val="0"/>
        <w:spacing w:line="396" w:lineRule="auto"/>
        <w:jc w:val="center"/>
        <w:rPr>
          <w:rFonts w:hAnsi="宋体"/>
          <w:sz w:val="24"/>
        </w:rPr>
        <w:sectPr>
          <w:headerReference w:type="default" r:id="rId32"/>
          <w:footerReference w:type="even" r:id="rId33"/>
          <w:footerReference w:type="default" r:id="rId34"/>
          <w:pgSz w:w="16838" w:h="11906" w:orient="landscape"/>
          <w:pgMar w:top="720" w:right="720" w:bottom="720" w:left="720" w:header="851" w:footer="936" w:gutter="0"/>
          <w:pgNumType w:start="8"/>
          <w:cols w:space="708"/>
          <w:docGrid w:linePitch="312"/>
        </w:sectPr>
      </w:pPr>
    </w:p>
    <w:p>
      <w:pPr>
        <w:pStyle w:val="A12"/>
        <w:ind w:firstLine="482"/>
        <w:rPr>
          <w:rFonts w:hint="eastAsia"/>
          <w:kern w:val="0"/>
        </w:rPr>
      </w:pPr>
      <w:bookmarkStart w:id="14" w:name="_Toc352235599"/>
      <w:r>
        <w:rPr>
          <w:rFonts w:hint="eastAsia"/>
        </w:rPr>
        <w:t>3、</w:t>
      </w:r>
      <w:r>
        <w:t>主要环境影响及其预测评价</w:t>
      </w:r>
      <w:bookmarkEnd w:id="14"/>
    </w:p>
    <w:p>
      <w:pPr>
        <w:adjustRightInd w:val="0"/>
        <w:snapToGrid w:val="0"/>
        <w:spacing w:line="396" w:lineRule="auto"/>
        <w:ind w:firstLine="480" w:firstLineChars="200"/>
        <w:rPr>
          <w:sz w:val="24"/>
        </w:rPr>
      </w:pPr>
      <w:r>
        <w:rPr>
          <w:sz w:val="24"/>
        </w:rPr>
        <w:t>（1）废水</w:t>
      </w:r>
    </w:p>
    <w:p>
      <w:pPr>
        <w:widowControl/>
        <w:adjustRightInd w:val="0"/>
        <w:snapToGrid w:val="0"/>
        <w:spacing w:line="396" w:lineRule="auto"/>
        <w:ind w:left="-6" w:firstLine="480" w:leftChars="-3" w:firstLineChars="200"/>
        <w:rPr>
          <w:rFonts w:ascii="宋体" w:hAnsi="宋体"/>
          <w:sz w:val="24"/>
        </w:rPr>
      </w:pPr>
      <w:r>
        <w:rPr>
          <w:sz w:val="24"/>
        </w:rPr>
        <w:t>项目</w:t>
      </w:r>
      <w:r>
        <w:rPr>
          <w:rFonts w:hint="eastAsia"/>
          <w:sz w:val="24"/>
        </w:rPr>
        <w:t>废水</w:t>
      </w:r>
      <w:r>
        <w:rPr>
          <w:sz w:val="24"/>
        </w:rPr>
        <w:t>排放量约</w:t>
      </w:r>
      <w:r>
        <w:rPr>
          <w:rFonts w:hint="eastAsia"/>
          <w:sz w:val="24"/>
        </w:rPr>
        <w:t>282.2</w:t>
      </w:r>
      <w:r>
        <w:rPr>
          <w:sz w:val="24"/>
        </w:rPr>
        <w:t>m</w:t>
      </w:r>
      <w:r>
        <w:rPr>
          <w:sz w:val="24"/>
          <w:vertAlign w:val="superscript"/>
        </w:rPr>
        <w:t>3</w:t>
      </w:r>
      <w:r>
        <w:rPr>
          <w:sz w:val="24"/>
        </w:rPr>
        <w:t>/d，废水中主要污染物产生浓度为COD</w:t>
      </w:r>
      <w:r>
        <w:rPr>
          <w:sz w:val="24"/>
          <w:vertAlign w:val="subscript"/>
        </w:rPr>
        <w:t>Cr</w:t>
      </w:r>
      <w:r>
        <w:rPr>
          <w:sz w:val="24"/>
        </w:rPr>
        <w:t xml:space="preserve"> </w:t>
      </w:r>
      <w:r>
        <w:rPr>
          <w:rFonts w:hint="eastAsia"/>
          <w:sz w:val="24"/>
        </w:rPr>
        <w:t>491.6</w:t>
      </w:r>
      <w:r>
        <w:rPr>
          <w:sz w:val="24"/>
        </w:rPr>
        <w:t>mg/L，BOD</w:t>
      </w:r>
      <w:r>
        <w:rPr>
          <w:sz w:val="24"/>
          <w:vertAlign w:val="subscript"/>
        </w:rPr>
        <w:t>5</w:t>
      </w:r>
      <w:r>
        <w:rPr>
          <w:rFonts w:ascii="Arial" w:hAnsi="Arial" w:cs="Arial" w:hint="eastAsia"/>
          <w:sz w:val="24"/>
        </w:rPr>
        <w:t>165.1</w:t>
      </w:r>
      <w:r>
        <w:rPr>
          <w:sz w:val="24"/>
        </w:rPr>
        <w:t xml:space="preserve">mg/L，SS </w:t>
      </w:r>
      <w:r>
        <w:rPr>
          <w:rFonts w:ascii="Arial" w:hAnsi="Arial" w:cs="Arial" w:hint="eastAsia"/>
          <w:sz w:val="24"/>
        </w:rPr>
        <w:t>331.3</w:t>
      </w:r>
      <w:r>
        <w:rPr>
          <w:sz w:val="24"/>
        </w:rPr>
        <w:t>mg/L，</w:t>
      </w:r>
      <w:r>
        <w:rPr>
          <w:rFonts w:hint="eastAsia"/>
          <w:sz w:val="24"/>
        </w:rPr>
        <w:t>氨氮 1.06</w:t>
      </w:r>
      <w:r>
        <w:rPr>
          <w:sz w:val="24"/>
        </w:rPr>
        <w:t>mg/L</w:t>
      </w:r>
      <w:r>
        <w:rPr>
          <w:rFonts w:hint="eastAsia"/>
          <w:sz w:val="24"/>
        </w:rPr>
        <w:t>、 甲苯0.9</w:t>
      </w:r>
      <w:r>
        <w:rPr>
          <w:sz w:val="24"/>
        </w:rPr>
        <w:t>mg/L，</w:t>
      </w:r>
      <w:r>
        <w:rPr>
          <w:rFonts w:hint="eastAsia"/>
          <w:sz w:val="24"/>
          <w:lang w:val="zh-CN"/>
        </w:rPr>
        <w:t>活性炭再生废水经</w:t>
      </w:r>
      <w:r>
        <w:rPr>
          <w:sz w:val="24"/>
        </w:rPr>
        <w:t>微电解</w:t>
      </w:r>
      <w:r>
        <w:rPr>
          <w:rFonts w:hint="eastAsia"/>
          <w:sz w:val="24"/>
        </w:rPr>
        <w:t>预处理后与生产废水、生活污水一起处理，混合废水采用</w:t>
      </w:r>
      <w:r>
        <w:rPr>
          <w:rFonts w:hint="eastAsia"/>
          <w:sz w:val="24"/>
        </w:rPr>
        <w:t>“</w:t>
      </w:r>
      <w:r>
        <w:rPr>
          <w:rFonts w:hint="eastAsia"/>
          <w:sz w:val="24"/>
        </w:rPr>
        <w:t>水解酸化 +生化</w:t>
      </w:r>
      <w:r>
        <w:rPr>
          <w:rFonts w:hint="eastAsia"/>
          <w:sz w:val="24"/>
        </w:rPr>
        <w:t>”</w:t>
      </w:r>
      <w:r>
        <w:rPr>
          <w:rFonts w:hint="eastAsia"/>
          <w:sz w:val="24"/>
        </w:rPr>
        <w:t>措施处理，处理后</w:t>
      </w:r>
      <w:r>
        <w:rPr>
          <w:sz w:val="24"/>
        </w:rPr>
        <w:t>废水中主要污染物</w:t>
      </w:r>
      <w:r>
        <w:rPr>
          <w:rFonts w:hint="eastAsia"/>
          <w:sz w:val="24"/>
        </w:rPr>
        <w:t>的排放浓度为</w:t>
      </w:r>
      <w:r>
        <w:rPr>
          <w:sz w:val="24"/>
        </w:rPr>
        <w:t>COD</w:t>
      </w:r>
      <w:r>
        <w:rPr>
          <w:sz w:val="24"/>
          <w:vertAlign w:val="subscript"/>
        </w:rPr>
        <w:t>Cr</w:t>
      </w:r>
      <w:r>
        <w:rPr>
          <w:sz w:val="24"/>
        </w:rPr>
        <w:t xml:space="preserve"> </w:t>
      </w:r>
      <w:r>
        <w:rPr>
          <w:rFonts w:hint="eastAsia"/>
          <w:sz w:val="24"/>
        </w:rPr>
        <w:t>73.74</w:t>
      </w:r>
      <w:r>
        <w:rPr>
          <w:sz w:val="24"/>
        </w:rPr>
        <w:t>mg/L，BOD</w:t>
      </w:r>
      <w:r>
        <w:rPr>
          <w:sz w:val="24"/>
          <w:vertAlign w:val="subscript"/>
        </w:rPr>
        <w:t>5</w:t>
      </w:r>
      <w:r>
        <w:rPr>
          <w:sz w:val="24"/>
        </w:rPr>
        <w:t xml:space="preserve"> </w:t>
      </w:r>
      <w:r>
        <w:rPr>
          <w:rFonts w:hint="eastAsia"/>
          <w:sz w:val="24"/>
        </w:rPr>
        <w:t>16.51</w:t>
      </w:r>
      <w:r>
        <w:rPr>
          <w:sz w:val="24"/>
        </w:rPr>
        <w:t>mg/L，SS</w:t>
      </w:r>
      <w:r>
        <w:rPr>
          <w:rFonts w:hint="eastAsia"/>
          <w:sz w:val="24"/>
        </w:rPr>
        <w:t>33.13</w:t>
      </w:r>
      <w:r>
        <w:rPr>
          <w:sz w:val="24"/>
        </w:rPr>
        <w:t>mg/L</w:t>
      </w:r>
      <w:r>
        <w:rPr>
          <w:rFonts w:hint="eastAsia"/>
          <w:sz w:val="24"/>
        </w:rPr>
        <w:t>，氨氮0.848</w:t>
      </w:r>
      <w:r>
        <w:rPr>
          <w:sz w:val="24"/>
        </w:rPr>
        <w:t>mg/L</w:t>
      </w:r>
      <w:r>
        <w:rPr>
          <w:rFonts w:hint="eastAsia"/>
          <w:sz w:val="24"/>
        </w:rPr>
        <w:t>、 甲苯0.072</w:t>
      </w:r>
      <w:r>
        <w:rPr>
          <w:sz w:val="24"/>
        </w:rPr>
        <w:t>mg/L</w:t>
      </w:r>
      <w:r>
        <w:rPr>
          <w:rFonts w:hint="eastAsia"/>
          <w:sz w:val="24"/>
        </w:rPr>
        <w:t>，经废水处理措施处理后废水</w:t>
      </w:r>
      <w:r>
        <w:rPr>
          <w:sz w:val="24"/>
        </w:rPr>
        <w:t>排入东乡县污水处理厂</w:t>
      </w:r>
      <w:r>
        <w:rPr>
          <w:rFonts w:hint="eastAsia"/>
          <w:sz w:val="24"/>
        </w:rPr>
        <w:t>。</w:t>
      </w:r>
      <w:r>
        <w:rPr>
          <w:sz w:val="24"/>
        </w:rPr>
        <w:t>项目所在地区北港枯水期流量为0.38m</w:t>
      </w:r>
      <w:r>
        <w:rPr>
          <w:sz w:val="24"/>
          <w:vertAlign w:val="superscript"/>
        </w:rPr>
        <w:t>3</w:t>
      </w:r>
      <w:r>
        <w:rPr>
          <w:sz w:val="24"/>
        </w:rPr>
        <w:t>/s，项目外排废水占北港枯水期流量的</w:t>
      </w:r>
      <w:r>
        <w:rPr>
          <w:rFonts w:hint="eastAsia"/>
          <w:sz w:val="24"/>
        </w:rPr>
        <w:t>0.61%</w:t>
      </w:r>
      <w:r>
        <w:rPr>
          <w:sz w:val="24"/>
        </w:rPr>
        <w:t>，因此项目废水在正常排放情况下对北港水质影响较小</w:t>
      </w:r>
      <w:r>
        <w:rPr>
          <w:rFonts w:ascii="宋体" w:hAnsi="宋体"/>
          <w:sz w:val="24"/>
        </w:rPr>
        <w:t>。</w:t>
      </w:r>
    </w:p>
    <w:p>
      <w:pPr>
        <w:adjustRightInd w:val="0"/>
        <w:snapToGrid w:val="0"/>
        <w:spacing w:line="396" w:lineRule="auto"/>
        <w:ind w:firstLine="480" w:firstLineChars="200"/>
        <w:rPr>
          <w:sz w:val="24"/>
        </w:rPr>
      </w:pPr>
      <w:r>
        <w:rPr>
          <w:sz w:val="24"/>
        </w:rPr>
        <w:t>（2）废气</w:t>
      </w:r>
    </w:p>
    <w:p>
      <w:pPr>
        <w:adjustRightInd w:val="0"/>
        <w:snapToGrid w:val="0"/>
        <w:spacing w:line="396" w:lineRule="auto"/>
        <w:ind w:firstLine="480" w:firstLineChars="200"/>
        <w:rPr>
          <w:rFonts w:hint="eastAsia"/>
          <w:sz w:val="24"/>
        </w:rPr>
      </w:pPr>
      <w:r>
        <w:rPr>
          <w:rFonts w:hint="eastAsia"/>
          <w:sz w:val="24"/>
        </w:rPr>
        <w:t>采用</w:t>
      </w:r>
      <w:r>
        <w:rPr>
          <w:sz w:val="24"/>
        </w:rPr>
        <w:t>SCREEN</w:t>
      </w:r>
      <w:r>
        <w:rPr>
          <w:rFonts w:hAnsi="宋体"/>
          <w:sz w:val="24"/>
        </w:rPr>
        <w:t>估值模式计算</w:t>
      </w:r>
      <w:r>
        <w:rPr>
          <w:rFonts w:hAnsi="宋体" w:hint="eastAsia"/>
          <w:sz w:val="24"/>
        </w:rPr>
        <w:t>，</w:t>
      </w:r>
      <w:r>
        <w:rPr>
          <w:sz w:val="24"/>
        </w:rPr>
        <w:t>正常排放情况下</w:t>
      </w:r>
      <w:r>
        <w:rPr>
          <w:rFonts w:hint="eastAsia"/>
          <w:sz w:val="24"/>
        </w:rPr>
        <w:t>废气中主要污染物</w:t>
      </w:r>
      <w:r>
        <w:rPr>
          <w:sz w:val="24"/>
        </w:rPr>
        <w:t>项目正常生产情况工艺废气中的SO</w:t>
      </w:r>
      <w:r>
        <w:rPr>
          <w:sz w:val="24"/>
          <w:vertAlign w:val="subscript"/>
        </w:rPr>
        <w:t>2</w:t>
      </w:r>
      <w:r>
        <w:rPr>
          <w:sz w:val="24"/>
        </w:rPr>
        <w:t>、NO</w:t>
      </w:r>
      <w:r>
        <w:rPr>
          <w:sz w:val="24"/>
          <w:vertAlign w:val="subscript"/>
        </w:rPr>
        <w:t>2</w:t>
      </w:r>
      <w:r>
        <w:rPr>
          <w:sz w:val="24"/>
        </w:rPr>
        <w:t>、甲苯的下风向最大落地浓度分别为0.03668</w:t>
      </w:r>
      <w:r>
        <w:rPr>
          <w:spacing w:val="-2"/>
          <w:sz w:val="24"/>
        </w:rPr>
        <w:t>mg/m</w:t>
      </w:r>
      <w:r>
        <w:rPr>
          <w:spacing w:val="-2"/>
          <w:sz w:val="24"/>
          <w:vertAlign w:val="superscript"/>
        </w:rPr>
        <w:t>3</w:t>
      </w:r>
      <w:r>
        <w:rPr>
          <w:spacing w:val="-2"/>
          <w:sz w:val="24"/>
        </w:rPr>
        <w:t>、</w:t>
      </w:r>
      <w:r>
        <w:rPr>
          <w:sz w:val="24"/>
        </w:rPr>
        <w:t>0.02351</w:t>
      </w:r>
      <w:r>
        <w:rPr>
          <w:spacing w:val="-2"/>
          <w:sz w:val="24"/>
        </w:rPr>
        <w:t>mg/m</w:t>
      </w:r>
      <w:r>
        <w:rPr>
          <w:spacing w:val="-2"/>
          <w:sz w:val="24"/>
          <w:vertAlign w:val="superscript"/>
        </w:rPr>
        <w:t>3</w:t>
      </w:r>
      <w:r>
        <w:rPr>
          <w:spacing w:val="-2"/>
          <w:sz w:val="24"/>
        </w:rPr>
        <w:t>、</w:t>
      </w:r>
      <w:r>
        <w:rPr>
          <w:sz w:val="24"/>
        </w:rPr>
        <w:t>0.01727</w:t>
      </w:r>
      <w:r>
        <w:rPr>
          <w:spacing w:val="-2"/>
          <w:sz w:val="24"/>
        </w:rPr>
        <w:t>mg/m</w:t>
      </w:r>
      <w:r>
        <w:rPr>
          <w:spacing w:val="-2"/>
          <w:sz w:val="24"/>
          <w:vertAlign w:val="superscript"/>
        </w:rPr>
        <w:t>3</w:t>
      </w:r>
      <w:r>
        <w:rPr>
          <w:spacing w:val="-2"/>
          <w:sz w:val="24"/>
        </w:rPr>
        <w:t>，分别占执行标准的</w:t>
      </w:r>
      <w:r>
        <w:rPr>
          <w:sz w:val="24"/>
        </w:rPr>
        <w:t>7.336%、9.795833%、2.878333%，占标率小于10%，</w:t>
      </w:r>
      <w:r>
        <w:rPr>
          <w:rFonts w:hint="eastAsia"/>
          <w:sz w:val="24"/>
        </w:rPr>
        <w:t>项目在采取各项污染物防治措施后，正常排放情况下，经叠加预测分析，环境空气可满足《环境空气质量标准》（GB3095-1996）中二类区的要求，项目的建设对周边环境影响较小。</w:t>
      </w:r>
    </w:p>
    <w:p>
      <w:pPr>
        <w:adjustRightInd w:val="0"/>
        <w:snapToGrid w:val="0"/>
        <w:spacing w:line="396" w:lineRule="auto"/>
        <w:ind w:firstLine="480" w:firstLineChars="200"/>
        <w:rPr>
          <w:sz w:val="24"/>
        </w:rPr>
      </w:pPr>
      <w:r>
        <w:rPr>
          <w:sz w:val="24"/>
        </w:rPr>
        <w:t>（3）噪声</w:t>
      </w:r>
    </w:p>
    <w:p>
      <w:pPr>
        <w:adjustRightInd w:val="0"/>
        <w:snapToGrid w:val="0"/>
        <w:spacing w:line="396" w:lineRule="auto"/>
        <w:ind w:firstLine="480"/>
        <w:rPr>
          <w:rFonts w:hAnsi="宋体" w:hint="eastAsia"/>
          <w:sz w:val="24"/>
        </w:rPr>
      </w:pPr>
      <w:r>
        <w:rPr>
          <w:rFonts w:hAnsi="宋体"/>
          <w:sz w:val="24"/>
        </w:rPr>
        <w:t>从预测结果可见，</w:t>
      </w:r>
      <w:r>
        <w:rPr>
          <w:rFonts w:hAnsi="宋体" w:hint="eastAsia"/>
          <w:sz w:val="24"/>
        </w:rPr>
        <w:t>项目新增噪声厂界各受声点的噪声增加值</w:t>
      </w:r>
      <w:r>
        <w:rPr>
          <w:sz w:val="24"/>
        </w:rPr>
        <w:t>昼间为</w:t>
      </w:r>
      <w:r>
        <w:rPr>
          <w:rFonts w:hint="eastAsia"/>
          <w:sz w:val="24"/>
        </w:rPr>
        <w:t>0.08-0.09</w:t>
      </w:r>
      <w:r>
        <w:rPr>
          <w:sz w:val="24"/>
        </w:rPr>
        <w:t>dB(A)，夜间为0</w:t>
      </w:r>
      <w:r>
        <w:rPr>
          <w:rFonts w:hint="eastAsia"/>
          <w:sz w:val="24"/>
        </w:rPr>
        <w:t>.13</w:t>
      </w:r>
      <w:r>
        <w:rPr>
          <w:sz w:val="24"/>
        </w:rPr>
        <w:t>-0.</w:t>
      </w:r>
      <w:r>
        <w:rPr>
          <w:rFonts w:hint="eastAsia"/>
          <w:sz w:val="24"/>
        </w:rPr>
        <w:t>2</w:t>
      </w:r>
      <w:r>
        <w:rPr>
          <w:sz w:val="24"/>
        </w:rPr>
        <w:t>dB(A)之间</w:t>
      </w:r>
      <w:r>
        <w:rPr>
          <w:rFonts w:hAnsi="宋体" w:hint="eastAsia"/>
          <w:sz w:val="24"/>
        </w:rPr>
        <w:t>，</w:t>
      </w:r>
      <w:r>
        <w:rPr>
          <w:rFonts w:hAnsi="宋体"/>
          <w:sz w:val="24"/>
        </w:rPr>
        <w:t>厂界昼间</w:t>
      </w:r>
      <w:r>
        <w:rPr>
          <w:rFonts w:hAnsi="宋体" w:hint="eastAsia"/>
          <w:sz w:val="24"/>
        </w:rPr>
        <w:t>、</w:t>
      </w:r>
      <w:r>
        <w:rPr>
          <w:rFonts w:hAnsi="宋体"/>
          <w:sz w:val="24"/>
        </w:rPr>
        <w:t>夜间噪声值均满足《工业企业厂界环境噪声排放标准》（GB12348－2008）中的3类标准要求</w:t>
      </w:r>
      <w:r>
        <w:rPr>
          <w:rFonts w:hAnsi="宋体" w:hint="eastAsia"/>
          <w:sz w:val="24"/>
        </w:rPr>
        <w:t>。</w:t>
      </w:r>
    </w:p>
    <w:p>
      <w:pPr>
        <w:adjustRightInd w:val="0"/>
        <w:snapToGrid w:val="0"/>
        <w:spacing w:line="396" w:lineRule="auto"/>
        <w:ind w:firstLine="480" w:firstLineChars="200"/>
        <w:rPr>
          <w:sz w:val="24"/>
          <w:lang w:val="de-DE"/>
        </w:rPr>
      </w:pPr>
      <w:r>
        <w:rPr>
          <w:sz w:val="24"/>
          <w:lang w:val="de-DE"/>
        </w:rPr>
        <w:t>（4）固体废物</w:t>
      </w:r>
    </w:p>
    <w:p>
      <w:pPr>
        <w:adjustRightInd w:val="0"/>
        <w:snapToGrid w:val="0"/>
        <w:spacing w:line="396" w:lineRule="auto"/>
        <w:ind w:firstLine="480" w:firstLineChars="200"/>
        <w:rPr>
          <w:rFonts w:hint="eastAsia"/>
          <w:sz w:val="24"/>
        </w:rPr>
        <w:sectPr>
          <w:headerReference w:type="default" r:id="rId35"/>
          <w:footerReference w:type="even" r:id="rId36"/>
          <w:footerReference w:type="default" r:id="rId37"/>
          <w:pgSz w:w="11906" w:h="16838"/>
          <w:pgMar w:top="1418" w:right="1588" w:bottom="1531" w:left="1588" w:header="851" w:footer="936" w:gutter="0"/>
          <w:pgNumType w:start="9"/>
          <w:cols w:space="708"/>
          <w:docGrid w:linePitch="312"/>
        </w:sectPr>
      </w:pPr>
      <w:r>
        <w:rPr>
          <w:sz w:val="24"/>
        </w:rPr>
        <w:t>项目生产过程中产生的</w:t>
      </w:r>
      <w:r>
        <w:rPr>
          <w:rFonts w:hint="eastAsia"/>
          <w:sz w:val="24"/>
        </w:rPr>
        <w:t>固体</w:t>
      </w:r>
      <w:r>
        <w:rPr>
          <w:sz w:val="24"/>
        </w:rPr>
        <w:t>废物主要为</w:t>
      </w:r>
      <w:r>
        <w:rPr>
          <w:rFonts w:hint="eastAsia"/>
          <w:sz w:val="24"/>
        </w:rPr>
        <w:t>边角料、废活性炭、煤渣、废水处理污泥、织布的废线头和不合格的纱布和生活垃圾、脱硫渣、除杂废渣。其中废活性炭</w:t>
      </w:r>
      <w:r>
        <w:rPr>
          <w:sz w:val="24"/>
        </w:rPr>
        <w:t>属危险废物，送有危险废物处理资质的单位集中收集处置</w:t>
      </w:r>
    </w:p>
    <w:p>
      <w:pPr>
        <w:adjustRightInd w:val="0"/>
        <w:snapToGrid w:val="0"/>
        <w:spacing w:line="396" w:lineRule="auto"/>
        <w:ind w:firstLine="480" w:firstLineChars="200"/>
        <w:rPr>
          <w:rFonts w:hint="eastAsia"/>
          <w:sz w:val="24"/>
        </w:rPr>
      </w:pPr>
      <w:r>
        <w:rPr>
          <w:rFonts w:hint="eastAsia"/>
          <w:sz w:val="24"/>
        </w:rPr>
        <w:t>；织布的废线头和不合格的纱布、边角料和煤灰渣综合回收利用；除杂废渣、废水处理污泥、生活垃圾和脱硫渣送垃圾填埋场填埋。</w:t>
      </w:r>
    </w:p>
    <w:p>
      <w:pPr>
        <w:adjustRightInd w:val="0"/>
        <w:snapToGrid w:val="0"/>
        <w:spacing w:line="396" w:lineRule="auto"/>
        <w:ind w:firstLine="480" w:firstLineChars="200"/>
        <w:rPr>
          <w:rFonts w:hint="eastAsia"/>
          <w:sz w:val="24"/>
        </w:rPr>
      </w:pPr>
      <w:r>
        <w:rPr>
          <w:rFonts w:hint="eastAsia"/>
          <w:sz w:val="24"/>
        </w:rPr>
        <w:t>由上述分析可知，项目</w:t>
      </w:r>
      <w:r>
        <w:rPr>
          <w:sz w:val="24"/>
        </w:rPr>
        <w:t>固体废物大部分得到回收利用</w:t>
      </w:r>
      <w:r>
        <w:rPr>
          <w:rFonts w:hint="eastAsia"/>
          <w:sz w:val="24"/>
        </w:rPr>
        <w:t>和</w:t>
      </w:r>
      <w:r>
        <w:rPr>
          <w:sz w:val="24"/>
        </w:rPr>
        <w:t>外售综合利用，危险废物交给有危险废物经营许可证的单位处理，</w:t>
      </w:r>
      <w:r>
        <w:rPr>
          <w:rFonts w:hint="eastAsia"/>
          <w:sz w:val="24"/>
        </w:rPr>
        <w:t>废水处理污泥</w:t>
      </w:r>
      <w:r>
        <w:rPr>
          <w:sz w:val="24"/>
        </w:rPr>
        <w:t>和</w:t>
      </w:r>
      <w:r>
        <w:rPr>
          <w:rFonts w:hint="eastAsia"/>
          <w:sz w:val="24"/>
        </w:rPr>
        <w:t>生活垃圾由</w:t>
      </w:r>
      <w:r>
        <w:rPr>
          <w:sz w:val="24"/>
        </w:rPr>
        <w:t>园区统一收集管理并定时运送到垃圾填埋场进行卫生填埋。因此，项目产生的固体废物按要求</w:t>
      </w:r>
      <w:r>
        <w:rPr>
          <w:rFonts w:hint="eastAsia"/>
          <w:sz w:val="24"/>
        </w:rPr>
        <w:t>切实做好</w:t>
      </w:r>
      <w:r>
        <w:rPr>
          <w:sz w:val="24"/>
        </w:rPr>
        <w:t>相应防治措施，分类收集，集中堆放，妥善处理，则项目产生固体废物将不会对周围环境产生明显的影响</w:t>
      </w:r>
      <w:r>
        <w:rPr>
          <w:rFonts w:hint="eastAsia"/>
          <w:sz w:val="24"/>
        </w:rPr>
        <w:t>。</w:t>
      </w:r>
    </w:p>
    <w:p>
      <w:pPr>
        <w:adjustRightInd w:val="0"/>
        <w:snapToGrid w:val="0"/>
        <w:spacing w:line="396" w:lineRule="auto"/>
        <w:ind w:firstLine="480" w:firstLineChars="200"/>
        <w:rPr>
          <w:rFonts w:hint="eastAsia"/>
          <w:sz w:val="24"/>
        </w:rPr>
      </w:pPr>
      <w:r>
        <w:rPr>
          <w:rFonts w:hint="eastAsia"/>
          <w:sz w:val="24"/>
        </w:rPr>
        <w:t>（5）地下水</w:t>
      </w:r>
    </w:p>
    <w:p>
      <w:pPr>
        <w:adjustRightInd w:val="0"/>
        <w:snapToGrid w:val="0"/>
        <w:spacing w:line="396" w:lineRule="auto"/>
        <w:ind w:firstLine="482"/>
        <w:rPr>
          <w:sz w:val="24"/>
        </w:rPr>
      </w:pPr>
      <w:bookmarkStart w:id="15" w:name="_Toc352235600"/>
      <w:r>
        <w:rPr>
          <w:rFonts w:hint="eastAsia"/>
          <w:sz w:val="24"/>
        </w:rPr>
        <w:t>由于本项目不与地下水发生直接联系，</w:t>
      </w:r>
      <w:r>
        <w:rPr>
          <w:sz w:val="24"/>
        </w:rPr>
        <w:t>不以地下水作为供水水源，</w:t>
      </w:r>
      <w:r>
        <w:rPr>
          <w:rFonts w:hint="eastAsia"/>
          <w:sz w:val="24"/>
        </w:rPr>
        <w:t>因此本次评价仅对地下水环境影响进行简单的定性分析，经调查,东乡县</w:t>
      </w:r>
      <w:r>
        <w:rPr>
          <w:sz w:val="24"/>
        </w:rPr>
        <w:t>地下水埋藏深度一般为1.40～2.30m，若不采取必要措施，项目营运过程中会产生废水、固废，将对地下水位产生一定的影响。因此，公司拟在厂区废水产生、储存、输送等区间地面采取防渗措施，废水经密闭管网收集输送，以防止废水漫排或下渗；在厂区设置雨水、排水系统并做好相应的防渗措施。同时在厂区内严格管理，禁止在厂区各装置区进行分散的地面漫流冲洗，收集地面冲洗水，统一送到污水处理站进行处理，</w:t>
      </w:r>
      <w:r>
        <w:rPr>
          <w:rFonts w:hint="eastAsia"/>
          <w:sz w:val="24"/>
        </w:rPr>
        <w:t>对共用的</w:t>
      </w:r>
      <w:r>
        <w:rPr>
          <w:sz w:val="24"/>
        </w:rPr>
        <w:t>事故应急池</w:t>
      </w:r>
      <w:r>
        <w:rPr>
          <w:rFonts w:hint="eastAsia"/>
          <w:sz w:val="24"/>
        </w:rPr>
        <w:t>采用</w:t>
      </w:r>
      <w:r>
        <w:rPr>
          <w:sz w:val="24"/>
        </w:rPr>
        <w:t>钢混结构，进行防腐、防渗处理。对</w:t>
      </w:r>
      <w:r>
        <w:rPr>
          <w:rFonts w:hint="eastAsia"/>
          <w:sz w:val="24"/>
        </w:rPr>
        <w:t>原材料库房</w:t>
      </w:r>
      <w:r>
        <w:rPr>
          <w:sz w:val="24"/>
        </w:rPr>
        <w:t>、固废临时</w:t>
      </w:r>
      <w:r>
        <w:rPr>
          <w:rFonts w:hint="eastAsia"/>
          <w:sz w:val="24"/>
        </w:rPr>
        <w:t>堆存库</w:t>
      </w:r>
      <w:r>
        <w:rPr>
          <w:sz w:val="24"/>
        </w:rPr>
        <w:t>、危废暂存库地面采用混凝土硬化，并铺设2mm厚HDPE膜防渗，四周设置地沟收集渗水和跑冒滴漏，确保液态废物不渗入地下。通过以上措施，本项目对地下水环境影响较小。</w:t>
      </w:r>
    </w:p>
    <w:p>
      <w:pPr>
        <w:pStyle w:val="A12"/>
        <w:ind w:firstLine="482"/>
        <w:rPr>
          <w:rFonts w:hint="eastAsia"/>
        </w:rPr>
      </w:pPr>
      <w:r>
        <w:rPr>
          <w:rFonts w:hint="eastAsia"/>
        </w:rPr>
        <w:t>4、</w:t>
      </w:r>
      <w:r>
        <w:t>污染防治措施</w:t>
      </w:r>
      <w:bookmarkEnd w:id="15"/>
    </w:p>
    <w:p>
      <w:pPr>
        <w:adjustRightInd w:val="0"/>
        <w:snapToGrid w:val="0"/>
        <w:spacing w:line="396" w:lineRule="auto"/>
        <w:ind w:firstLine="470" w:firstLineChars="196"/>
        <w:rPr>
          <w:rFonts w:hint="eastAsia"/>
          <w:b/>
          <w:kern w:val="0"/>
          <w:sz w:val="24"/>
        </w:rPr>
      </w:pPr>
      <w:r>
        <w:rPr>
          <w:rFonts w:hint="eastAsia"/>
          <w:b/>
          <w:kern w:val="0"/>
          <w:sz w:val="24"/>
        </w:rPr>
        <w:t>（1）废气污染防治措施</w:t>
      </w:r>
    </w:p>
    <w:p>
      <w:pPr>
        <w:pStyle w:val="a5"/>
        <w:adjustRightInd w:val="0"/>
        <w:snapToGrid w:val="0"/>
        <w:spacing w:line="396" w:lineRule="auto"/>
        <w:ind w:firstLine="480"/>
        <w:sectPr>
          <w:headerReference w:type="default" r:id="rId38"/>
          <w:footerReference w:type="even" r:id="rId39"/>
          <w:footerReference w:type="default" r:id="rId40"/>
          <w:type w:val="nextPage"/>
          <w:pgSz w:w="11906" w:h="16838"/>
          <w:pgMar w:top="1418" w:right="1588" w:bottom="1531" w:left="1588" w:header="851" w:footer="936" w:gutter="0"/>
          <w:pgNumType w:start="10"/>
          <w:cols w:space="708"/>
          <w:titlePg w:val="0"/>
          <w:docGrid w:linePitch="312"/>
        </w:sectPr>
      </w:pPr>
      <w:r>
        <w:rPr>
          <w:rFonts w:hint="eastAsia"/>
        </w:rPr>
        <w:t>项目</w:t>
      </w:r>
      <w:r>
        <w:t>燃煤废气经采用旋流板塔脱硫除尘</w:t>
      </w:r>
      <w:r>
        <w:rPr>
          <w:snapToGrid w:val="0"/>
        </w:rPr>
        <w:t>装置（双</w:t>
      </w:r>
      <w:r>
        <w:t>碱法）进行治理</w:t>
      </w:r>
      <w:r>
        <w:rPr>
          <w:rFonts w:hint="eastAsia"/>
        </w:rPr>
        <w:t>后能符合</w:t>
      </w:r>
      <w:r>
        <w:t>《锅炉大气污染物排放标准》(GB13271－2001)</w:t>
      </w:r>
      <w:r>
        <w:rPr>
          <w:rFonts w:hint="eastAsia"/>
        </w:rPr>
        <w:t>二类区</w:t>
      </w:r>
      <w:r>
        <w:rPr>
          <w:rFonts w:hint="eastAsia"/>
        </w:rPr>
        <w:t>Ⅱ</w:t>
      </w:r>
      <w:r>
        <w:rPr>
          <w:rFonts w:hint="eastAsia"/>
        </w:rPr>
        <w:t>时段的规定</w:t>
      </w:r>
      <w:r>
        <w:t>，</w:t>
      </w:r>
      <w:r>
        <w:rPr>
          <w:rFonts w:hint="eastAsia"/>
        </w:rPr>
        <w:t>甲苯</w:t>
      </w:r>
      <w:r>
        <w:t>废气统一收集后进入</w:t>
      </w:r>
      <w:r>
        <w:rPr>
          <w:rFonts w:hint="eastAsia"/>
        </w:rPr>
        <w:t>甲苯回收系统回收，甲苯回收系统由冷凝+活性炭吸附组成（活性炭</w:t>
      </w:r>
      <w:r>
        <w:t>采用低压蒸汽再生</w:t>
      </w:r>
      <w:r>
        <w:rPr>
          <w:rFonts w:hint="eastAsia"/>
        </w:rPr>
        <w:t>），甲苯回收系统出来的废气最后再经活性炭吸附（活性炭不再生）处理，处理后</w:t>
      </w:r>
      <w:r>
        <w:t>均</w:t>
      </w:r>
      <w:r>
        <w:rPr>
          <w:rFonts w:hint="eastAsia"/>
        </w:rPr>
        <w:t>能够满足《大气污染物综合排放标准》（GB16297-1996）二级排放标准；</w:t>
      </w:r>
      <w:r>
        <w:rPr>
          <w:rFonts w:ascii="黑体" w:eastAsia="黑体" w:hAnsi="黑体" w:hint="eastAsia"/>
        </w:rPr>
        <w:t>热胶废气</w:t>
      </w:r>
      <w:r>
        <w:t>经活性炭吸附装置处理</w:t>
      </w:r>
      <w:r>
        <w:rPr>
          <w:rFonts w:hint="eastAsia"/>
        </w:rPr>
        <w:t>，能够能满足《</w:t>
      </w:r>
      <w:r>
        <w:t>橡胶制品工业污染物排放标准</w:t>
      </w:r>
    </w:p>
    <w:p>
      <w:pPr>
        <w:pStyle w:val="a5"/>
        <w:adjustRightInd w:val="0"/>
        <w:snapToGrid w:val="0"/>
        <w:spacing w:line="396" w:lineRule="auto"/>
        <w:ind w:firstLine="480"/>
      </w:pPr>
      <w:r>
        <w:rPr>
          <w:rFonts w:hint="eastAsia"/>
        </w:rPr>
        <w:t>》(</w:t>
      </w:r>
      <w:r>
        <w:t>GB27632—2011</w:t>
      </w:r>
      <w:r>
        <w:rPr>
          <w:rFonts w:hint="eastAsia"/>
        </w:rPr>
        <w:t>)的表5的要求。</w:t>
      </w:r>
      <w:r>
        <w:t>因此废气处理工艺是可行的。</w:t>
      </w:r>
    </w:p>
    <w:p>
      <w:pPr>
        <w:pStyle w:val="a5"/>
        <w:adjustRightInd w:val="0"/>
        <w:snapToGrid w:val="0"/>
        <w:spacing w:line="396" w:lineRule="auto"/>
        <w:ind w:firstLine="480"/>
        <w:rPr>
          <w:rFonts w:hint="eastAsia"/>
        </w:rPr>
      </w:pPr>
      <w:r>
        <w:t>无组织</w:t>
      </w:r>
      <w:r>
        <w:rPr>
          <w:rFonts w:hint="eastAsia"/>
        </w:rPr>
        <w:t>废气</w:t>
      </w:r>
      <w:r>
        <w:t>经加强通风后，</w:t>
      </w:r>
      <w:r>
        <w:rPr>
          <w:rFonts w:hint="eastAsia"/>
        </w:rPr>
        <w:t>能够确保废气厂界浓度满足《大气污染物综合排放标准》（GB16297-1996）中无组织排放监控浓度限值。</w:t>
      </w:r>
    </w:p>
    <w:p>
      <w:pPr>
        <w:adjustRightInd w:val="0"/>
        <w:snapToGrid w:val="0"/>
        <w:spacing w:line="396" w:lineRule="auto"/>
        <w:ind w:firstLine="470" w:firstLineChars="196"/>
        <w:rPr>
          <w:rFonts w:hint="eastAsia"/>
          <w:b/>
          <w:kern w:val="0"/>
          <w:sz w:val="24"/>
        </w:rPr>
      </w:pPr>
      <w:r>
        <w:rPr>
          <w:rFonts w:hint="eastAsia"/>
          <w:b/>
          <w:kern w:val="0"/>
          <w:sz w:val="24"/>
        </w:rPr>
        <w:t>（2）废水污染防治措施</w:t>
      </w:r>
    </w:p>
    <w:p>
      <w:pPr>
        <w:pStyle w:val="555555555555555"/>
        <w:adjustRightInd w:val="0"/>
        <w:snapToGrid w:val="0"/>
        <w:spacing w:line="396" w:lineRule="auto"/>
        <w:ind w:firstLine="480"/>
        <w:rPr>
          <w:rFonts w:hint="eastAsia"/>
        </w:rPr>
      </w:pPr>
      <w:r>
        <w:rPr>
          <w:rFonts w:hint="eastAsia"/>
        </w:rPr>
        <w:t>项目排放的废水主要为白水回收系统排放的废水、锅炉除尘水、地面冲洗水和</w:t>
      </w:r>
      <w:r>
        <w:rPr>
          <w:rFonts w:hint="eastAsia"/>
          <w:lang w:val="zh-CN"/>
        </w:rPr>
        <w:t>活性炭再生废水</w:t>
      </w:r>
      <w:r>
        <w:rPr>
          <w:rFonts w:hint="eastAsia"/>
        </w:rPr>
        <w:t>，造纸过程产生的白水大部分循环使用，锅炉除尘水经斜筛+沉淀后回用，</w:t>
      </w:r>
      <w:r>
        <w:rPr>
          <w:rFonts w:hint="eastAsia"/>
          <w:lang w:val="zh-CN"/>
        </w:rPr>
        <w:t>活性炭再生废水经</w:t>
      </w:r>
      <w:r>
        <w:t>微电解</w:t>
      </w:r>
      <w:r>
        <w:rPr>
          <w:rFonts w:hint="eastAsia"/>
        </w:rPr>
        <w:t>预处理后与其他生产废水、生活污水一起处理，混合废水采用</w:t>
      </w:r>
      <w:r>
        <w:rPr>
          <w:rFonts w:hint="eastAsia"/>
        </w:rPr>
        <w:t>“</w:t>
      </w:r>
      <w:r>
        <w:rPr>
          <w:rFonts w:hint="eastAsia"/>
        </w:rPr>
        <w:t>水解酸化 +生化</w:t>
      </w:r>
      <w:r>
        <w:rPr>
          <w:rFonts w:hint="eastAsia"/>
        </w:rPr>
        <w:t>”</w:t>
      </w:r>
      <w:r>
        <w:rPr>
          <w:rFonts w:hint="eastAsia"/>
        </w:rPr>
        <w:t>措施处理，处理后废水排到东乡县污水处理厂。</w:t>
      </w:r>
    </w:p>
    <w:p>
      <w:pPr>
        <w:adjustRightInd w:val="0"/>
        <w:snapToGrid w:val="0"/>
        <w:spacing w:line="396" w:lineRule="auto"/>
        <w:ind w:firstLine="470" w:firstLineChars="196"/>
        <w:rPr>
          <w:rFonts w:hint="eastAsia"/>
          <w:b/>
          <w:kern w:val="0"/>
          <w:sz w:val="24"/>
        </w:rPr>
      </w:pPr>
      <w:r>
        <w:rPr>
          <w:rFonts w:hint="eastAsia"/>
          <w:b/>
          <w:kern w:val="0"/>
          <w:sz w:val="24"/>
        </w:rPr>
        <w:t>（3）噪声污染防治措施</w:t>
      </w:r>
    </w:p>
    <w:p>
      <w:pPr>
        <w:pStyle w:val="555555555555555"/>
        <w:adjustRightInd w:val="0"/>
        <w:snapToGrid w:val="0"/>
        <w:spacing w:line="396" w:lineRule="auto"/>
        <w:ind w:firstLine="480"/>
        <w:rPr>
          <w:rFonts w:hint="eastAsia"/>
        </w:rPr>
      </w:pPr>
      <w:r>
        <w:rPr>
          <w:rFonts w:hint="eastAsia"/>
        </w:rPr>
        <w:t>噪声控制措施主要为：通过选用低噪声设备，采取减震、隔声、在空气动力管道上方安装消声设施以及加强厂区内绿化等措施，控制项目生产设备噪声对周边环境的影响，厂界昼、夜间噪声值可控制在《工业企业厂界环境噪声排放标准》（GB12348-2008）3类标准范围内。</w:t>
      </w:r>
    </w:p>
    <w:p>
      <w:pPr>
        <w:adjustRightInd w:val="0"/>
        <w:snapToGrid w:val="0"/>
        <w:spacing w:line="396" w:lineRule="auto"/>
        <w:ind w:firstLine="470" w:firstLineChars="196"/>
        <w:rPr>
          <w:rFonts w:hint="eastAsia"/>
          <w:b/>
          <w:kern w:val="0"/>
          <w:sz w:val="24"/>
        </w:rPr>
      </w:pPr>
      <w:r>
        <w:rPr>
          <w:rFonts w:hint="eastAsia"/>
          <w:b/>
          <w:kern w:val="0"/>
          <w:sz w:val="24"/>
        </w:rPr>
        <w:t>（4）</w:t>
      </w:r>
      <w:r>
        <w:rPr>
          <w:b/>
          <w:sz w:val="24"/>
        </w:rPr>
        <w:t>固体废物治理措施</w:t>
      </w:r>
    </w:p>
    <w:p>
      <w:pPr>
        <w:adjustRightInd w:val="0"/>
        <w:snapToGrid w:val="0"/>
        <w:spacing w:line="396" w:lineRule="auto"/>
        <w:ind w:firstLine="480" w:firstLineChars="200"/>
        <w:rPr>
          <w:rFonts w:hint="eastAsia"/>
          <w:sz w:val="24"/>
        </w:rPr>
      </w:pPr>
      <w:r>
        <w:rPr>
          <w:sz w:val="24"/>
        </w:rPr>
        <w:t>项目生产过程中产生的</w:t>
      </w:r>
      <w:r>
        <w:rPr>
          <w:rFonts w:hint="eastAsia"/>
          <w:sz w:val="24"/>
        </w:rPr>
        <w:t>固体</w:t>
      </w:r>
      <w:r>
        <w:rPr>
          <w:sz w:val="24"/>
        </w:rPr>
        <w:t>废物主要为</w:t>
      </w:r>
      <w:r>
        <w:rPr>
          <w:rFonts w:hint="eastAsia"/>
          <w:sz w:val="24"/>
        </w:rPr>
        <w:t>边角料、废活性炭、煤渣、废水处理污泥、织布的废线头和不合格的纱布和生活垃圾、脱硫渣、除杂废渣。其中废活性炭</w:t>
      </w:r>
      <w:r>
        <w:rPr>
          <w:sz w:val="24"/>
        </w:rPr>
        <w:t>属危险废物，送有危险废物处理资质的单位集中收集处置</w:t>
      </w:r>
      <w:r>
        <w:rPr>
          <w:rFonts w:hint="eastAsia"/>
          <w:sz w:val="24"/>
        </w:rPr>
        <w:t>；织布的废线头和不合格的纱布、边角料和煤灰渣综合回收利用；除杂废渣、废水处理污泥、生活垃圾和脱硫渣送垃圾填埋场填埋。公司拟建</w:t>
      </w:r>
      <w:r>
        <w:rPr>
          <w:sz w:val="24"/>
        </w:rPr>
        <w:t>固废</w:t>
      </w:r>
      <w:r>
        <w:rPr>
          <w:rFonts w:hint="eastAsia"/>
          <w:sz w:val="24"/>
        </w:rPr>
        <w:t>堆存库一座（</w:t>
      </w:r>
      <w:r>
        <w:rPr>
          <w:sz w:val="24"/>
        </w:rPr>
        <w:t>分为一般固废堆存和危废暂存库）</w:t>
      </w:r>
      <w:r>
        <w:rPr>
          <w:rFonts w:hint="eastAsia"/>
          <w:sz w:val="24"/>
        </w:rPr>
        <w:t>，位于厂区东北面，</w:t>
      </w:r>
      <w:r>
        <w:rPr>
          <w:sz w:val="24"/>
        </w:rPr>
        <w:t>一般固废和危险废物分区储存于</w:t>
      </w:r>
      <w:r>
        <w:rPr>
          <w:rFonts w:hint="eastAsia"/>
          <w:sz w:val="24"/>
        </w:rPr>
        <w:t>一般固废堆存库和</w:t>
      </w:r>
      <w:r>
        <w:rPr>
          <w:sz w:val="24"/>
        </w:rPr>
        <w:t>危废暂存库，</w:t>
      </w:r>
      <w:r>
        <w:rPr>
          <w:rFonts w:hint="eastAsia"/>
          <w:sz w:val="24"/>
        </w:rPr>
        <w:t>分别按《一般工业固体废物贮存、处置场污染控制标准》（GB18599-2001）和《危险废物贮存污染控制标准》（GB18597-2001）设计建造</w:t>
      </w:r>
      <w:r>
        <w:rPr>
          <w:sz w:val="24"/>
        </w:rPr>
        <w:t>。</w:t>
      </w:r>
    </w:p>
    <w:p>
      <w:pPr>
        <w:adjustRightInd w:val="0"/>
        <w:snapToGrid w:val="0"/>
        <w:spacing w:line="396" w:lineRule="auto"/>
        <w:ind w:firstLine="470" w:firstLineChars="196"/>
        <w:rPr>
          <w:rFonts w:hint="eastAsia"/>
          <w:b/>
          <w:kern w:val="0"/>
          <w:sz w:val="24"/>
        </w:rPr>
      </w:pPr>
      <w:r>
        <w:rPr>
          <w:rFonts w:hint="eastAsia"/>
          <w:b/>
          <w:kern w:val="0"/>
          <w:sz w:val="24"/>
        </w:rPr>
        <w:t>（5）</w:t>
      </w:r>
      <w:r>
        <w:rPr>
          <w:rFonts w:hint="eastAsia"/>
          <w:b/>
          <w:sz w:val="24"/>
        </w:rPr>
        <w:t>地下水污染防治措施</w:t>
      </w:r>
    </w:p>
    <w:p>
      <w:pPr>
        <w:adjustRightInd w:val="0"/>
        <w:snapToGrid w:val="0"/>
        <w:spacing w:line="396" w:lineRule="auto"/>
        <w:ind w:firstLine="480" w:firstLineChars="200"/>
        <w:rPr>
          <w:rFonts w:hint="eastAsia"/>
          <w:sz w:val="24"/>
        </w:rPr>
      </w:pPr>
      <w:r>
        <w:rPr>
          <w:rFonts w:hint="eastAsia"/>
          <w:sz w:val="24"/>
        </w:rPr>
        <w:t>为防止地下水和土壤受到污染，一般固废和危废均应暂存于一般固废堆存库和危废暂存库内，不设置露天堆场；废切削液采用塑料或钢制桶（应具有相容性，不起反应）盛装储存，确保液态废物不渗入地下，废活性炭</w:t>
      </w:r>
      <w:r>
        <w:rPr>
          <w:sz w:val="24"/>
        </w:rPr>
        <w:t>、</w:t>
      </w:r>
      <w:r>
        <w:rPr>
          <w:rFonts w:hint="eastAsia"/>
          <w:sz w:val="24"/>
        </w:rPr>
        <w:t>粉料、磨削废料等固态废物可袋装储存，并及时外运处置；库房采取</w:t>
      </w:r>
      <w:r>
        <w:rPr>
          <w:sz w:val="24"/>
        </w:rPr>
        <w:t>防雨、</w:t>
      </w:r>
      <w:r>
        <w:rPr>
          <w:rFonts w:hint="eastAsia"/>
          <w:sz w:val="24"/>
        </w:rPr>
        <w:t>防渗、防腐等</w:t>
      </w:r>
      <w:r>
        <w:rPr>
          <w:sz w:val="24"/>
        </w:rPr>
        <w:t>措施</w:t>
      </w:r>
      <w:r>
        <w:rPr>
          <w:rFonts w:hint="eastAsia"/>
          <w:sz w:val="24"/>
        </w:rPr>
        <w:t>，</w:t>
      </w:r>
      <w:r>
        <w:rPr>
          <w:sz w:val="24"/>
        </w:rPr>
        <w:t>项目</w:t>
      </w:r>
      <w:r>
        <w:rPr>
          <w:rFonts w:hint="eastAsia"/>
          <w:sz w:val="24"/>
        </w:rPr>
        <w:br/>
      </w:r>
      <w:r>
        <w:rPr>
          <w:rFonts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1" w:history="1">
        <w:r>
          <w:rPr>
            <w:rFonts w:ascii="SimSun" w:eastAsia="SimSun" w:hAnsi="SimSun" w:cs="SimSun"/>
            <w:b/>
            <w:bCs/>
            <w:color w:val="0000EE"/>
            <w:kern w:val="0"/>
            <w:sz w:val="30"/>
            <w:szCs w:val="30"/>
            <w:u w:val="single" w:color="0000EE"/>
          </w:rPr>
          <w:t>https://d.book118.com/598014064127006042</w:t>
        </w:r>
      </w:hyperlink>
    </w:p>
    <w:p>
      <w:pPr>
        <w:adjustRightInd w:val="0"/>
        <w:snapToGrid w:val="0"/>
        <w:spacing w:line="396" w:lineRule="auto"/>
        <w:ind w:firstLine="480" w:firstLineChars="200"/>
        <w:rPr>
          <w:rFonts w:hint="eastAsia"/>
          <w:sz w:val="24"/>
        </w:rPr>
      </w:pPr>
    </w:p>
    <w:sectPr>
      <w:headerReference w:type="default" r:id="rId42"/>
      <w:footerReference w:type="even" r:id="rId43"/>
      <w:footerReference w:type="default" r:id="rId44"/>
      <w:type w:val="nextPage"/>
      <w:pgSz w:w="11906" w:h="16838"/>
      <w:pgMar w:top="1418" w:right="1588" w:bottom="1531" w:left="1588" w:header="851" w:footer="936" w:gutter="0"/>
      <w:pgNumType w:start="11"/>
      <w:cols w:space="708"/>
      <w:titlePg w:val="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86"/>
    <w:family w:val="modern"/>
    <w:pitch w:val="default"/>
    <w:sig w:usb0="00000001" w:usb1="080E0000" w:usb2="00000010" w:usb3="00000000" w:csb0="00040000" w:csb1="00000000"/>
  </w:font>
  <w:font w:name="Arial Black">
    <w:panose1 w:val="020B0A04020102020204"/>
    <w:charset w:val="00"/>
    <w:family w:val="swiss"/>
    <w:pitch w:val="default"/>
    <w:sig w:usb0="A00002AF" w:usb1="400078FB" w:usb2="00000000" w:usb3="00000000" w:csb0="6000009F" w:csb1="DFD70000"/>
  </w:font>
  <w:font w:name="楷体_GB2312">
    <w:altName w:val="楷体"/>
    <w:panose1 w:val="02010609030101010101"/>
    <w:charset w:val="86"/>
    <w:family w:val="auto"/>
    <w:pitch w:val="default"/>
    <w:sig w:usb0="00000001"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sz w:val="21"/>
        <w:szCs w:val="21"/>
      </w:rPr>
    </w:pPr>
    <w:r>
      <w:rPr>
        <w:sz w:val="21"/>
        <w:szCs w:val="21"/>
      </w:rPr>
      <w:fldChar w:fldCharType="begin"/>
    </w:r>
    <w:r>
      <w:rPr>
        <w:rStyle w:val="PageNumber"/>
        <w:sz w:val="21"/>
        <w:szCs w:val="21"/>
      </w:rPr>
      <w:instrText xml:space="preserve">PAGE  </w:instrText>
    </w:r>
    <w:r>
      <w:rPr>
        <w:sz w:val="21"/>
        <w:szCs w:val="21"/>
      </w:rPr>
      <w:fldChar w:fldCharType="separate"/>
    </w:r>
    <w:r>
      <w:rPr>
        <w:rStyle w:val="PageNumber"/>
        <w:sz w:val="21"/>
        <w:szCs w:val="21"/>
      </w:rPr>
      <w:t>1</w:t>
    </w:r>
    <w:r>
      <w:rPr>
        <w:sz w:val="21"/>
        <w:szCs w:val="21"/>
      </w:rPr>
      <w:fldChar w:fldCharType="end"/>
    </w:r>
  </w:p>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sz w:val="21"/>
        <w:szCs w:val="21"/>
      </w:rPr>
    </w:pPr>
    <w:r>
      <w:rPr>
        <w:sz w:val="21"/>
        <w:szCs w:val="21"/>
      </w:rPr>
      <w:fldChar w:fldCharType="begin"/>
    </w:r>
    <w:r>
      <w:rPr>
        <w:rStyle w:val="PageNumber"/>
        <w:sz w:val="21"/>
        <w:szCs w:val="21"/>
      </w:rPr>
      <w:instrText xml:space="preserve">PAGE  </w:instrText>
    </w:r>
    <w:r>
      <w:rPr>
        <w:sz w:val="21"/>
        <w:szCs w:val="21"/>
      </w:rPr>
      <w:fldChar w:fldCharType="separate"/>
    </w:r>
    <w:r>
      <w:rPr>
        <w:rStyle w:val="PageNumber"/>
        <w:sz w:val="21"/>
        <w:szCs w:val="21"/>
      </w:rPr>
      <w:t>2</w:t>
    </w:r>
    <w:r>
      <w:rPr>
        <w:sz w:val="21"/>
        <w:szCs w:val="21"/>
      </w:rPr>
      <w:fldChar w:fldCharType="end"/>
    </w:r>
  </w:p>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sz w:val="21"/>
        <w:szCs w:val="21"/>
      </w:rPr>
    </w:pPr>
    <w:r>
      <w:rPr>
        <w:sz w:val="21"/>
        <w:szCs w:val="21"/>
      </w:rPr>
      <w:fldChar w:fldCharType="begin"/>
    </w:r>
    <w:r>
      <w:rPr>
        <w:rStyle w:val="PageNumber"/>
        <w:sz w:val="21"/>
        <w:szCs w:val="21"/>
      </w:rPr>
      <w:instrText xml:space="preserve">PAGE  </w:instrText>
    </w:r>
    <w:r>
      <w:rPr>
        <w:sz w:val="21"/>
        <w:szCs w:val="21"/>
      </w:rPr>
      <w:fldChar w:fldCharType="separate"/>
    </w:r>
    <w:r>
      <w:rPr>
        <w:rStyle w:val="PageNumber"/>
        <w:sz w:val="21"/>
        <w:szCs w:val="21"/>
      </w:rPr>
      <w:t>3</w:t>
    </w:r>
    <w:r>
      <w:rPr>
        <w:sz w:val="21"/>
        <w:szCs w:val="21"/>
      </w:rPr>
      <w:fldChar w:fldCharType="end"/>
    </w:r>
  </w:p>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sz w:val="21"/>
        <w:szCs w:val="21"/>
      </w:rPr>
    </w:pPr>
    <w:r>
      <w:rPr>
        <w:sz w:val="21"/>
        <w:szCs w:val="21"/>
      </w:rPr>
      <w:fldChar w:fldCharType="begin"/>
    </w:r>
    <w:r>
      <w:rPr>
        <w:rStyle w:val="PageNumber"/>
        <w:sz w:val="21"/>
        <w:szCs w:val="21"/>
      </w:rPr>
      <w:instrText xml:space="preserve">PAGE  </w:instrText>
    </w:r>
    <w:r>
      <w:rPr>
        <w:sz w:val="21"/>
        <w:szCs w:val="21"/>
      </w:rPr>
      <w:fldChar w:fldCharType="separate"/>
    </w:r>
    <w:r>
      <w:rPr>
        <w:rStyle w:val="PageNumber"/>
        <w:sz w:val="21"/>
        <w:szCs w:val="21"/>
      </w:rPr>
      <w:t>4</w:t>
    </w:r>
    <w:r>
      <w:rPr>
        <w:sz w:val="21"/>
        <w:szCs w:val="21"/>
      </w:rPr>
      <w:fldChar w:fldCharType="end"/>
    </w:r>
  </w:p>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sz w:val="21"/>
        <w:szCs w:val="21"/>
      </w:rPr>
    </w:pPr>
    <w:r>
      <w:rPr>
        <w:sz w:val="21"/>
        <w:szCs w:val="21"/>
      </w:rPr>
      <w:fldChar w:fldCharType="begin"/>
    </w:r>
    <w:r>
      <w:rPr>
        <w:rStyle w:val="PageNumber"/>
        <w:sz w:val="21"/>
        <w:szCs w:val="21"/>
      </w:rPr>
      <w:instrText xml:space="preserve">PAGE  </w:instrText>
    </w:r>
    <w:r>
      <w:rPr>
        <w:sz w:val="21"/>
        <w:szCs w:val="21"/>
      </w:rPr>
      <w:fldChar w:fldCharType="separate"/>
    </w:r>
    <w:r>
      <w:rPr>
        <w:rStyle w:val="PageNumber"/>
        <w:sz w:val="21"/>
        <w:szCs w:val="21"/>
      </w:rPr>
      <w:t>5</w:t>
    </w:r>
    <w:r>
      <w:rPr>
        <w:sz w:val="21"/>
        <w:szCs w:val="21"/>
      </w:rPr>
      <w:fldChar w:fldCharType="end"/>
    </w:r>
  </w:p>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sz w:val="21"/>
        <w:szCs w:val="21"/>
      </w:rPr>
    </w:pPr>
    <w:r>
      <w:rPr>
        <w:sz w:val="21"/>
        <w:szCs w:val="21"/>
      </w:rPr>
      <w:fldChar w:fldCharType="begin"/>
    </w:r>
    <w:r>
      <w:rPr>
        <w:rStyle w:val="PageNumber"/>
        <w:sz w:val="21"/>
        <w:szCs w:val="21"/>
      </w:rPr>
      <w:instrText xml:space="preserve">PAGE  </w:instrText>
    </w:r>
    <w:r>
      <w:rPr>
        <w:sz w:val="21"/>
        <w:szCs w:val="21"/>
      </w:rPr>
      <w:fldChar w:fldCharType="separate"/>
    </w:r>
    <w:r>
      <w:rPr>
        <w:rStyle w:val="PageNumber"/>
        <w:sz w:val="21"/>
        <w:szCs w:val="21"/>
      </w:rPr>
      <w:t>6</w:t>
    </w:r>
    <w:r>
      <w:rPr>
        <w:sz w:val="21"/>
        <w:szCs w:val="21"/>
      </w:rPr>
      <w:fldChar w:fldCharType="end"/>
    </w:r>
  </w:p>
  <w:p>
    <w:pPr>
      <w:pStyle w:val="Footer"/>
      <w:tabs>
        <w:tab w:val="center" w:pos="4153"/>
        <w:tab w:val="right" w:pos="8306"/>
      </w:tabs>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sz w:val="21"/>
        <w:szCs w:val="21"/>
      </w:rPr>
    </w:pPr>
    <w:r>
      <w:rPr>
        <w:sz w:val="21"/>
        <w:szCs w:val="21"/>
      </w:rPr>
      <w:fldChar w:fldCharType="begin"/>
    </w:r>
    <w:r>
      <w:rPr>
        <w:rStyle w:val="PageNumber"/>
        <w:sz w:val="21"/>
        <w:szCs w:val="21"/>
      </w:rPr>
      <w:instrText xml:space="preserve">PAGE  </w:instrText>
    </w:r>
    <w:r>
      <w:rPr>
        <w:sz w:val="21"/>
        <w:szCs w:val="21"/>
      </w:rPr>
      <w:fldChar w:fldCharType="separate"/>
    </w:r>
    <w:r>
      <w:rPr>
        <w:rStyle w:val="PageNumber"/>
        <w:sz w:val="21"/>
        <w:szCs w:val="21"/>
      </w:rPr>
      <w:t>7</w:t>
    </w:r>
    <w:r>
      <w:rPr>
        <w:sz w:val="21"/>
        <w:szCs w:val="21"/>
      </w:rPr>
      <w:fldChar w:fldCharType="end"/>
    </w:r>
  </w:p>
  <w:p>
    <w:pPr>
      <w:pStyle w:val="Footer"/>
      <w:tabs>
        <w:tab w:val="center" w:pos="4153"/>
        <w:tab w:val="right" w:pos="8306"/>
      </w:tabs>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sz w:val="21"/>
        <w:szCs w:val="21"/>
      </w:rPr>
    </w:pPr>
    <w:r>
      <w:rPr>
        <w:sz w:val="21"/>
        <w:szCs w:val="21"/>
      </w:rPr>
      <w:fldChar w:fldCharType="begin"/>
    </w:r>
    <w:r>
      <w:rPr>
        <w:rStyle w:val="PageNumber"/>
        <w:sz w:val="21"/>
        <w:szCs w:val="21"/>
      </w:rPr>
      <w:instrText xml:space="preserve">PAGE  </w:instrText>
    </w:r>
    <w:r>
      <w:rPr>
        <w:sz w:val="21"/>
        <w:szCs w:val="21"/>
      </w:rPr>
      <w:fldChar w:fldCharType="separate"/>
    </w:r>
    <w:r>
      <w:rPr>
        <w:rStyle w:val="PageNumber"/>
        <w:sz w:val="21"/>
        <w:szCs w:val="21"/>
      </w:rPr>
      <w:t>8</w:t>
    </w:r>
    <w:r>
      <w:rPr>
        <w:sz w:val="21"/>
        <w:szCs w:val="21"/>
      </w:rPr>
      <w:fldChar w:fldCharType="end"/>
    </w:r>
  </w:p>
  <w:p>
    <w:pPr>
      <w:pStyle w:val="Footer"/>
      <w:tabs>
        <w:tab w:val="center" w:pos="4153"/>
        <w:tab w:val="right" w:pos="8306"/>
      </w:tabs>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sz w:val="21"/>
        <w:szCs w:val="21"/>
      </w:rPr>
    </w:pPr>
    <w:r>
      <w:rPr>
        <w:sz w:val="21"/>
        <w:szCs w:val="21"/>
      </w:rPr>
      <w:fldChar w:fldCharType="begin"/>
    </w:r>
    <w:r>
      <w:rPr>
        <w:rStyle w:val="PageNumber"/>
        <w:sz w:val="21"/>
        <w:szCs w:val="21"/>
      </w:rPr>
      <w:instrText xml:space="preserve">PAGE  </w:instrText>
    </w:r>
    <w:r>
      <w:rPr>
        <w:sz w:val="21"/>
        <w:szCs w:val="21"/>
      </w:rPr>
      <w:fldChar w:fldCharType="separate"/>
    </w:r>
    <w:r>
      <w:rPr>
        <w:rStyle w:val="PageNumber"/>
        <w:sz w:val="21"/>
        <w:szCs w:val="21"/>
      </w:rPr>
      <w:t>9</w:t>
    </w:r>
    <w:r>
      <w:rPr>
        <w:sz w:val="21"/>
        <w:szCs w:val="21"/>
      </w:rPr>
      <w:fldChar w:fldCharType="end"/>
    </w:r>
  </w:p>
  <w:p>
    <w:pPr>
      <w:pStyle w:val="Footer"/>
      <w:tabs>
        <w:tab w:val="center" w:pos="4153"/>
        <w:tab w:val="right" w:pos="8306"/>
      </w:tabs>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sz w:val="21"/>
        <w:szCs w:val="21"/>
      </w:rPr>
    </w:pPr>
    <w:r>
      <w:rPr>
        <w:sz w:val="21"/>
        <w:szCs w:val="21"/>
      </w:rPr>
      <w:fldChar w:fldCharType="begin"/>
    </w:r>
    <w:r>
      <w:rPr>
        <w:rStyle w:val="PageNumber"/>
        <w:sz w:val="21"/>
        <w:szCs w:val="21"/>
      </w:rPr>
      <w:instrText xml:space="preserve">PAGE  </w:instrText>
    </w:r>
    <w:r>
      <w:rPr>
        <w:sz w:val="21"/>
        <w:szCs w:val="21"/>
      </w:rPr>
      <w:fldChar w:fldCharType="separate"/>
    </w:r>
    <w:r>
      <w:rPr>
        <w:rStyle w:val="PageNumber"/>
        <w:sz w:val="21"/>
        <w:szCs w:val="21"/>
      </w:rPr>
      <w:t>11</w:t>
    </w:r>
    <w:r>
      <w:rPr>
        <w:sz w:val="21"/>
        <w:szCs w:val="21"/>
      </w:rPr>
      <w:fldChar w:fldCharType="end"/>
    </w:r>
  </w:p>
  <w:p>
    <w:pPr>
      <w:pStyle w:val="Footer"/>
      <w:tabs>
        <w:tab w:val="center" w:pos="4153"/>
        <w:tab w:val="right" w:pos="8306"/>
      </w:tabs>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sz w:val="21"/>
        <w:szCs w:val="21"/>
      </w:rPr>
    </w:pPr>
    <w:r>
      <w:rPr>
        <w:sz w:val="21"/>
        <w:szCs w:val="21"/>
      </w:rPr>
      <w:fldChar w:fldCharType="begin"/>
    </w:r>
    <w:r>
      <w:rPr>
        <w:rStyle w:val="PageNumber"/>
        <w:sz w:val="21"/>
        <w:szCs w:val="21"/>
      </w:rPr>
      <w:instrText xml:space="preserve">PAGE  </w:instrText>
    </w:r>
    <w:r>
      <w:rPr>
        <w:sz w:val="21"/>
        <w:szCs w:val="21"/>
      </w:rPr>
      <w:fldChar w:fldCharType="separate"/>
    </w:r>
    <w:r>
      <w:rPr>
        <w:rStyle w:val="PageNumber"/>
        <w:sz w:val="21"/>
        <w:szCs w:val="21"/>
      </w:rPr>
      <w:t>11</w:t>
    </w:r>
    <w:r>
      <w:rPr>
        <w:sz w:val="21"/>
        <w:szCs w:val="21"/>
      </w:rP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rPr>
        <w:rFonts w:hint="eastAsia"/>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rPr>
        <w:rFonts w:hint="eastAsia"/>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rPr>
        <w:rFonts w:hint="eastAsia"/>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rPr>
        <w:rFonts w:hint="eastAsia"/>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rPr>
        <w:rFonts w:hint="eastAsia"/>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rPr>
        <w:rFonts w:hint="eastAsia"/>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rPr>
        <w:rFonts w:hint="eastAsia"/>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rPr>
        <w:rFonts w:hint="eastAsia"/>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rPr>
        <w:rFonts w:hint="eastAsia"/>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rPr>
        <w:rFonts w:hint="eastAsia"/>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rPr>
        <w:rFonts w:hint="eastAsia"/>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rPr>
        <w:rFonts w:hint="eastAsia"/>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rPr>
        <w:rFonts w:hint="eastAsi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3"/>
      <w:numFmt w:val="decimal"/>
      <w:lvlText w:val="(%1)"/>
      <w:lvlJc w:val="left"/>
      <w:pPr>
        <w:tabs>
          <w:tab w:val="num" w:pos="990"/>
        </w:tabs>
        <w:ind w:left="990" w:hanging="510"/>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
    <w:nsid w:val="00000011"/>
    <w:multiLevelType w:val="multilevel"/>
    <w:tmpl w:val="00000011"/>
    <w:lvl w:ilvl="0">
      <w:start w:val="1"/>
      <w:numFmt w:val="japaneseCounting"/>
      <w:lvlText w:val="%1、"/>
      <w:lvlJc w:val="left"/>
      <w:pPr>
        <w:tabs>
          <w:tab w:val="num" w:pos="480"/>
        </w:tabs>
        <w:ind w:left="480" w:hanging="48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bordersDoNotSurroundHeader/>
  <w:bordersDoNotSurroundFooter/>
  <w:stylePaneFormatFilter w:val="3F01"/>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772BA"/>
    <w:rsid w:val="00005518"/>
    <w:rsid w:val="00007202"/>
    <w:rsid w:val="0000755A"/>
    <w:rsid w:val="00023C34"/>
    <w:rsid w:val="0002741E"/>
    <w:rsid w:val="000355D3"/>
    <w:rsid w:val="00043D07"/>
    <w:rsid w:val="00051E93"/>
    <w:rsid w:val="000606C1"/>
    <w:rsid w:val="0006783B"/>
    <w:rsid w:val="00075362"/>
    <w:rsid w:val="00075A75"/>
    <w:rsid w:val="00083DCE"/>
    <w:rsid w:val="000A161A"/>
    <w:rsid w:val="000A686E"/>
    <w:rsid w:val="000B0393"/>
    <w:rsid w:val="000C1D3C"/>
    <w:rsid w:val="000C36FA"/>
    <w:rsid w:val="000D4F27"/>
    <w:rsid w:val="000E72EA"/>
    <w:rsid w:val="000F06A5"/>
    <w:rsid w:val="000F08E9"/>
    <w:rsid w:val="000F2884"/>
    <w:rsid w:val="00103D9C"/>
    <w:rsid w:val="00104C59"/>
    <w:rsid w:val="001209EB"/>
    <w:rsid w:val="00147945"/>
    <w:rsid w:val="001512C4"/>
    <w:rsid w:val="0015518C"/>
    <w:rsid w:val="00164EB6"/>
    <w:rsid w:val="0017356B"/>
    <w:rsid w:val="001751F3"/>
    <w:rsid w:val="00175665"/>
    <w:rsid w:val="00177C47"/>
    <w:rsid w:val="00192C26"/>
    <w:rsid w:val="001A55B4"/>
    <w:rsid w:val="001A5E45"/>
    <w:rsid w:val="001B1B79"/>
    <w:rsid w:val="001B7F9E"/>
    <w:rsid w:val="001C39E6"/>
    <w:rsid w:val="001C5A0E"/>
    <w:rsid w:val="001D13FA"/>
    <w:rsid w:val="001D1939"/>
    <w:rsid w:val="001F36DE"/>
    <w:rsid w:val="001F7B58"/>
    <w:rsid w:val="00233381"/>
    <w:rsid w:val="002376D2"/>
    <w:rsid w:val="0024385B"/>
    <w:rsid w:val="0024640A"/>
    <w:rsid w:val="00250CDD"/>
    <w:rsid w:val="00255B4C"/>
    <w:rsid w:val="00262AF4"/>
    <w:rsid w:val="002733ED"/>
    <w:rsid w:val="00287DC6"/>
    <w:rsid w:val="00293BD6"/>
    <w:rsid w:val="002A6758"/>
    <w:rsid w:val="002A7C33"/>
    <w:rsid w:val="002C11DF"/>
    <w:rsid w:val="002C7CF7"/>
    <w:rsid w:val="002D4129"/>
    <w:rsid w:val="002D504E"/>
    <w:rsid w:val="002E3FE2"/>
    <w:rsid w:val="00303CE2"/>
    <w:rsid w:val="00307096"/>
    <w:rsid w:val="00320C44"/>
    <w:rsid w:val="00325190"/>
    <w:rsid w:val="00333A7A"/>
    <w:rsid w:val="0033551D"/>
    <w:rsid w:val="003362F3"/>
    <w:rsid w:val="00337CDE"/>
    <w:rsid w:val="0034202D"/>
    <w:rsid w:val="003438F4"/>
    <w:rsid w:val="0035456A"/>
    <w:rsid w:val="00355C22"/>
    <w:rsid w:val="0037140E"/>
    <w:rsid w:val="003734D6"/>
    <w:rsid w:val="0038280A"/>
    <w:rsid w:val="0039148E"/>
    <w:rsid w:val="00392FD8"/>
    <w:rsid w:val="003B238D"/>
    <w:rsid w:val="003B5E33"/>
    <w:rsid w:val="003C5075"/>
    <w:rsid w:val="003C5CC3"/>
    <w:rsid w:val="003E4EF9"/>
    <w:rsid w:val="003F3094"/>
    <w:rsid w:val="00415A4C"/>
    <w:rsid w:val="004270AE"/>
    <w:rsid w:val="00460613"/>
    <w:rsid w:val="004641B0"/>
    <w:rsid w:val="004A5313"/>
    <w:rsid w:val="004B53A2"/>
    <w:rsid w:val="004C77D5"/>
    <w:rsid w:val="004D12A3"/>
    <w:rsid w:val="004E17DD"/>
    <w:rsid w:val="004F67FE"/>
    <w:rsid w:val="004F6DB6"/>
    <w:rsid w:val="00501DDA"/>
    <w:rsid w:val="005034DF"/>
    <w:rsid w:val="00505117"/>
    <w:rsid w:val="0051502E"/>
    <w:rsid w:val="00526110"/>
    <w:rsid w:val="0053734E"/>
    <w:rsid w:val="0054300F"/>
    <w:rsid w:val="0054782E"/>
    <w:rsid w:val="00552289"/>
    <w:rsid w:val="005609A6"/>
    <w:rsid w:val="00565D72"/>
    <w:rsid w:val="00566B9A"/>
    <w:rsid w:val="00573CAE"/>
    <w:rsid w:val="00581A77"/>
    <w:rsid w:val="00585F11"/>
    <w:rsid w:val="0058634E"/>
    <w:rsid w:val="005A1310"/>
    <w:rsid w:val="005A3F4D"/>
    <w:rsid w:val="005A7941"/>
    <w:rsid w:val="005B0DE5"/>
    <w:rsid w:val="005B2604"/>
    <w:rsid w:val="005B7DB0"/>
    <w:rsid w:val="005C7B1E"/>
    <w:rsid w:val="005D28AE"/>
    <w:rsid w:val="005F091D"/>
    <w:rsid w:val="005F370F"/>
    <w:rsid w:val="005F5D49"/>
    <w:rsid w:val="0060283A"/>
    <w:rsid w:val="00603077"/>
    <w:rsid w:val="00604344"/>
    <w:rsid w:val="00606429"/>
    <w:rsid w:val="00613D23"/>
    <w:rsid w:val="00617F5F"/>
    <w:rsid w:val="0062689B"/>
    <w:rsid w:val="0064344E"/>
    <w:rsid w:val="00651AC1"/>
    <w:rsid w:val="00656C96"/>
    <w:rsid w:val="006609AF"/>
    <w:rsid w:val="00662DD4"/>
    <w:rsid w:val="0067316C"/>
    <w:rsid w:val="00680045"/>
    <w:rsid w:val="006950D2"/>
    <w:rsid w:val="006A2ECE"/>
    <w:rsid w:val="006E136A"/>
    <w:rsid w:val="006E55FB"/>
    <w:rsid w:val="00703837"/>
    <w:rsid w:val="00712913"/>
    <w:rsid w:val="007159EC"/>
    <w:rsid w:val="007209E5"/>
    <w:rsid w:val="00721BE4"/>
    <w:rsid w:val="00730211"/>
    <w:rsid w:val="00734E74"/>
    <w:rsid w:val="00742BF2"/>
    <w:rsid w:val="007518FE"/>
    <w:rsid w:val="00757F28"/>
    <w:rsid w:val="00761884"/>
    <w:rsid w:val="00763C01"/>
    <w:rsid w:val="00776C5C"/>
    <w:rsid w:val="00787193"/>
    <w:rsid w:val="007974D1"/>
    <w:rsid w:val="007A45AF"/>
    <w:rsid w:val="007A7A55"/>
    <w:rsid w:val="007B3597"/>
    <w:rsid w:val="007B381A"/>
    <w:rsid w:val="007B606C"/>
    <w:rsid w:val="007C68A9"/>
    <w:rsid w:val="007D4285"/>
    <w:rsid w:val="007F153F"/>
    <w:rsid w:val="007F2E01"/>
    <w:rsid w:val="007F692A"/>
    <w:rsid w:val="0081074F"/>
    <w:rsid w:val="00811948"/>
    <w:rsid w:val="00814FC3"/>
    <w:rsid w:val="00820D9A"/>
    <w:rsid w:val="00822494"/>
    <w:rsid w:val="00831C83"/>
    <w:rsid w:val="00833ACB"/>
    <w:rsid w:val="0083771D"/>
    <w:rsid w:val="00840C85"/>
    <w:rsid w:val="0084733C"/>
    <w:rsid w:val="00852BEE"/>
    <w:rsid w:val="008637E9"/>
    <w:rsid w:val="0088092B"/>
    <w:rsid w:val="00885260"/>
    <w:rsid w:val="008934AF"/>
    <w:rsid w:val="008A0B14"/>
    <w:rsid w:val="008A0BCD"/>
    <w:rsid w:val="008A216D"/>
    <w:rsid w:val="008C0649"/>
    <w:rsid w:val="008C174C"/>
    <w:rsid w:val="008C4845"/>
    <w:rsid w:val="008C7585"/>
    <w:rsid w:val="008D3A4F"/>
    <w:rsid w:val="008D7128"/>
    <w:rsid w:val="008F0166"/>
    <w:rsid w:val="008F0F80"/>
    <w:rsid w:val="008F76FB"/>
    <w:rsid w:val="009130C8"/>
    <w:rsid w:val="009246B9"/>
    <w:rsid w:val="00945BAF"/>
    <w:rsid w:val="009528ED"/>
    <w:rsid w:val="00955629"/>
    <w:rsid w:val="00962077"/>
    <w:rsid w:val="009670C4"/>
    <w:rsid w:val="0098030F"/>
    <w:rsid w:val="00983459"/>
    <w:rsid w:val="0099160C"/>
    <w:rsid w:val="0099283E"/>
    <w:rsid w:val="009A4EF1"/>
    <w:rsid w:val="009B61DD"/>
    <w:rsid w:val="009C434A"/>
    <w:rsid w:val="009E724E"/>
    <w:rsid w:val="00A0369D"/>
    <w:rsid w:val="00A07A9E"/>
    <w:rsid w:val="00A1009E"/>
    <w:rsid w:val="00A142A6"/>
    <w:rsid w:val="00A36B96"/>
    <w:rsid w:val="00A51A27"/>
    <w:rsid w:val="00A5393F"/>
    <w:rsid w:val="00A62639"/>
    <w:rsid w:val="00A90DCD"/>
    <w:rsid w:val="00AA00D1"/>
    <w:rsid w:val="00AA6795"/>
    <w:rsid w:val="00AB0488"/>
    <w:rsid w:val="00AB04C7"/>
    <w:rsid w:val="00AB122E"/>
    <w:rsid w:val="00AB42C3"/>
    <w:rsid w:val="00AC01FA"/>
    <w:rsid w:val="00AC17EC"/>
    <w:rsid w:val="00AD040A"/>
    <w:rsid w:val="00AD1E78"/>
    <w:rsid w:val="00AD7B4A"/>
    <w:rsid w:val="00AE00A5"/>
    <w:rsid w:val="00AE1513"/>
    <w:rsid w:val="00AE5B2A"/>
    <w:rsid w:val="00AF4467"/>
    <w:rsid w:val="00B03766"/>
    <w:rsid w:val="00B04022"/>
    <w:rsid w:val="00B06F21"/>
    <w:rsid w:val="00B06FEE"/>
    <w:rsid w:val="00B16587"/>
    <w:rsid w:val="00B21808"/>
    <w:rsid w:val="00B319E8"/>
    <w:rsid w:val="00B3568D"/>
    <w:rsid w:val="00B4233F"/>
    <w:rsid w:val="00B504E8"/>
    <w:rsid w:val="00B50745"/>
    <w:rsid w:val="00B531EC"/>
    <w:rsid w:val="00B53722"/>
    <w:rsid w:val="00B53E60"/>
    <w:rsid w:val="00B543E4"/>
    <w:rsid w:val="00B65635"/>
    <w:rsid w:val="00B702A9"/>
    <w:rsid w:val="00B84D09"/>
    <w:rsid w:val="00BA2FF0"/>
    <w:rsid w:val="00BA32D2"/>
    <w:rsid w:val="00BA74EF"/>
    <w:rsid w:val="00BB0C0D"/>
    <w:rsid w:val="00BC215A"/>
    <w:rsid w:val="00BC31B0"/>
    <w:rsid w:val="00BD56A6"/>
    <w:rsid w:val="00BE5238"/>
    <w:rsid w:val="00BF12D5"/>
    <w:rsid w:val="00BF40CE"/>
    <w:rsid w:val="00C00E4D"/>
    <w:rsid w:val="00C0154D"/>
    <w:rsid w:val="00C036DE"/>
    <w:rsid w:val="00C06A9A"/>
    <w:rsid w:val="00C15FD8"/>
    <w:rsid w:val="00C33E5D"/>
    <w:rsid w:val="00C35D60"/>
    <w:rsid w:val="00C51458"/>
    <w:rsid w:val="00C53710"/>
    <w:rsid w:val="00C730E2"/>
    <w:rsid w:val="00C75171"/>
    <w:rsid w:val="00C772BA"/>
    <w:rsid w:val="00C824C2"/>
    <w:rsid w:val="00C86728"/>
    <w:rsid w:val="00C96750"/>
    <w:rsid w:val="00CA1100"/>
    <w:rsid w:val="00CB1CFB"/>
    <w:rsid w:val="00CC2BF4"/>
    <w:rsid w:val="00CD608A"/>
    <w:rsid w:val="00CE1756"/>
    <w:rsid w:val="00CE1ECB"/>
    <w:rsid w:val="00CE6743"/>
    <w:rsid w:val="00CF4DB2"/>
    <w:rsid w:val="00CF50D1"/>
    <w:rsid w:val="00CF7CDF"/>
    <w:rsid w:val="00D009BF"/>
    <w:rsid w:val="00D31B26"/>
    <w:rsid w:val="00D371F3"/>
    <w:rsid w:val="00D404D8"/>
    <w:rsid w:val="00D444EF"/>
    <w:rsid w:val="00D55029"/>
    <w:rsid w:val="00D805A1"/>
    <w:rsid w:val="00D825E3"/>
    <w:rsid w:val="00D83AA8"/>
    <w:rsid w:val="00D867C5"/>
    <w:rsid w:val="00DA1D52"/>
    <w:rsid w:val="00DA270D"/>
    <w:rsid w:val="00DA3373"/>
    <w:rsid w:val="00DA5BB0"/>
    <w:rsid w:val="00DA6004"/>
    <w:rsid w:val="00DB1681"/>
    <w:rsid w:val="00DB2792"/>
    <w:rsid w:val="00DB7109"/>
    <w:rsid w:val="00DC28A1"/>
    <w:rsid w:val="00DD7B2F"/>
    <w:rsid w:val="00DE462E"/>
    <w:rsid w:val="00DF1DDB"/>
    <w:rsid w:val="00DF633D"/>
    <w:rsid w:val="00E056C2"/>
    <w:rsid w:val="00E1753B"/>
    <w:rsid w:val="00E21A6D"/>
    <w:rsid w:val="00E476AF"/>
    <w:rsid w:val="00E53B1C"/>
    <w:rsid w:val="00E5664B"/>
    <w:rsid w:val="00E63D56"/>
    <w:rsid w:val="00E714C0"/>
    <w:rsid w:val="00E73A9A"/>
    <w:rsid w:val="00E73EC6"/>
    <w:rsid w:val="00E85122"/>
    <w:rsid w:val="00E876B5"/>
    <w:rsid w:val="00EA494F"/>
    <w:rsid w:val="00EB0A02"/>
    <w:rsid w:val="00EB6D68"/>
    <w:rsid w:val="00EB7961"/>
    <w:rsid w:val="00EC5977"/>
    <w:rsid w:val="00EC6756"/>
    <w:rsid w:val="00ED3E32"/>
    <w:rsid w:val="00ED6A7C"/>
    <w:rsid w:val="00EE0803"/>
    <w:rsid w:val="00EE29EB"/>
    <w:rsid w:val="00EE6244"/>
    <w:rsid w:val="00F00426"/>
    <w:rsid w:val="00F114DD"/>
    <w:rsid w:val="00F17B96"/>
    <w:rsid w:val="00F57826"/>
    <w:rsid w:val="00F62DA3"/>
    <w:rsid w:val="00F727AB"/>
    <w:rsid w:val="00F759FC"/>
    <w:rsid w:val="00F90CB3"/>
    <w:rsid w:val="00F91390"/>
    <w:rsid w:val="00F95216"/>
    <w:rsid w:val="00FA0E3A"/>
    <w:rsid w:val="00FB36A6"/>
    <w:rsid w:val="00FB3780"/>
    <w:rsid w:val="00FB449B"/>
    <w:rsid w:val="00FB7333"/>
    <w:rsid w:val="00FC22BC"/>
    <w:rsid w:val="00FD25ED"/>
    <w:rsid w:val="00FD6945"/>
    <w:rsid w:val="00FE3C81"/>
    <w:rsid w:val="00FE60B1"/>
    <w:rsid w:val="00FE6AEF"/>
    <w:rsid w:val="00FF1EFB"/>
    <w:rsid w:val="00FF33AF"/>
    <w:rsid w:val="201C260B"/>
    <w:rsid w:val="421C41F4"/>
  </w:rsids>
  <w:docVars>
    <w:docVar w:name="commondata" w:val="eyJoZGlkIjoiOWI5MmEzNDM0ODI0OGFmMzM3MmU2Y2M5Y2JkMmZkODY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39" w:unhideWhenUsed="0"/>
    <w:lsdException w:name="toc 3" w:semiHidden="0" w:uiPriority="39"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4"/>
      <w:lang w:val="en-US" w:eastAsia="zh-CN" w:bidi="ar-SA"/>
    </w:rPr>
  </w:style>
  <w:style w:type="paragraph" w:styleId="Heading2">
    <w:name w:val="heading 2"/>
    <w:basedOn w:val="Normal"/>
    <w:next w:val="Normal"/>
    <w:link w:val="2"/>
    <w:qFormat/>
    <w:pPr>
      <w:keepNext/>
      <w:keepLines/>
      <w:spacing w:before="260" w:after="260" w:line="416" w:lineRule="auto"/>
      <w:outlineLvl w:val="1"/>
    </w:pPr>
    <w:rPr>
      <w:rFonts w:ascii="Arial" w:eastAsia="黑体" w:hAnsi="Arial"/>
      <w:b/>
      <w:bCs/>
      <w:sz w:val="32"/>
      <w:szCs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customStyle="1" w:styleId="2">
    <w:name w:val="标题 2 字符"/>
    <w:link w:val="Heading2"/>
    <w:rPr>
      <w:rFonts w:ascii="Arial" w:eastAsia="黑体" w:hAnsi="Arial"/>
      <w:b/>
      <w:bCs/>
      <w:kern w:val="2"/>
      <w:sz w:val="32"/>
      <w:szCs w:val="32"/>
      <w:lang w:val="en-US" w:eastAsia="zh-CN" w:bidi="ar-SA"/>
    </w:rPr>
  </w:style>
  <w:style w:type="paragraph" w:styleId="NormalIndent">
    <w:name w:val="Normal Indent"/>
    <w:basedOn w:val="Normal"/>
    <w:link w:val="a"/>
    <w:pPr>
      <w:ind w:firstLine="420"/>
    </w:pPr>
    <w:rPr>
      <w:szCs w:val="20"/>
    </w:rPr>
  </w:style>
  <w:style w:type="character" w:customStyle="1" w:styleId="a">
    <w:name w:val="正文缩进 字符"/>
    <w:link w:val="NormalIndent"/>
    <w:rPr>
      <w:rFonts w:eastAsia="宋体"/>
      <w:kern w:val="2"/>
      <w:sz w:val="21"/>
      <w:lang w:val="en-US" w:eastAsia="zh-CN" w:bidi="ar-SA"/>
    </w:rPr>
  </w:style>
  <w:style w:type="paragraph" w:styleId="DocumentMap">
    <w:name w:val="Document Map"/>
    <w:basedOn w:val="Normal"/>
    <w:semiHidden/>
    <w:pPr>
      <w:shd w:val="clear" w:color="auto" w:fill="000080"/>
    </w:pPr>
  </w:style>
  <w:style w:type="paragraph" w:styleId="CommentText">
    <w:name w:val="annotation text"/>
    <w:basedOn w:val="Normal"/>
    <w:link w:val="a0"/>
    <w:pPr>
      <w:jc w:val="left"/>
    </w:pPr>
  </w:style>
  <w:style w:type="character" w:customStyle="1" w:styleId="a0">
    <w:name w:val="批注文字 字符"/>
    <w:link w:val="CommentText"/>
    <w:rPr>
      <w:kern w:val="2"/>
      <w:sz w:val="21"/>
      <w:szCs w:val="24"/>
    </w:rPr>
  </w:style>
  <w:style w:type="paragraph" w:styleId="BodyTextIndent">
    <w:name w:val="Body Text Indent"/>
    <w:basedOn w:val="Normal"/>
    <w:pPr>
      <w:spacing w:after="120"/>
      <w:ind w:left="420" w:leftChars="200"/>
    </w:pPr>
  </w:style>
  <w:style w:type="paragraph" w:styleId="TOC3">
    <w:name w:val="toc 3"/>
    <w:basedOn w:val="Normal"/>
    <w:next w:val="Normal"/>
    <w:uiPriority w:val="39"/>
    <w:pPr>
      <w:ind w:left="840" w:leftChars="400"/>
    </w:pPr>
  </w:style>
  <w:style w:type="paragraph" w:styleId="PlainText">
    <w:name w:val="Plain Text"/>
    <w:basedOn w:val="Normal"/>
    <w:link w:val="a1"/>
    <w:rPr>
      <w:rFonts w:ascii="Courier New" w:hAnsi="Courier New"/>
      <w:sz w:val="10"/>
      <w:szCs w:val="20"/>
    </w:rPr>
  </w:style>
  <w:style w:type="character" w:customStyle="1" w:styleId="a1">
    <w:name w:val="纯文本 字符"/>
    <w:link w:val="PlainText"/>
    <w:rPr>
      <w:rFonts w:ascii="Courier New" w:eastAsia="宋体" w:hAnsi="Courier New"/>
      <w:kern w:val="2"/>
      <w:sz w:val="10"/>
      <w:lang w:val="en-US" w:eastAsia="zh-CN" w:bidi="ar-SA"/>
    </w:rPr>
  </w:style>
  <w:style w:type="paragraph" w:styleId="Date">
    <w:name w:val="Date"/>
    <w:basedOn w:val="Normal"/>
    <w:next w:val="Normal"/>
    <w:link w:val="a2"/>
    <w:pPr>
      <w:ind w:left="100" w:leftChars="2500"/>
    </w:pPr>
    <w:rPr>
      <w:rFonts w:eastAsia="仿宋_GB2312"/>
      <w:sz w:val="28"/>
      <w:szCs w:val="28"/>
    </w:rPr>
  </w:style>
  <w:style w:type="character" w:customStyle="1" w:styleId="a2">
    <w:name w:val="日期 字符"/>
    <w:link w:val="Date"/>
    <w:rPr>
      <w:rFonts w:eastAsia="仿宋_GB2312"/>
      <w:kern w:val="2"/>
      <w:sz w:val="28"/>
      <w:szCs w:val="28"/>
      <w:lang w:val="en-US" w:eastAsia="zh-CN" w:bidi="ar-SA"/>
    </w:rPr>
  </w:style>
  <w:style w:type="paragraph" w:styleId="BodyTextIndent2">
    <w:name w:val="Body Text Indent 2"/>
    <w:basedOn w:val="Normal"/>
    <w:pPr>
      <w:autoSpaceDE w:val="0"/>
      <w:autoSpaceDN w:val="0"/>
      <w:adjustRightInd w:val="0"/>
      <w:spacing w:before="120" w:line="360" w:lineRule="auto"/>
      <w:ind w:firstLine="718" w:firstLineChars="342"/>
    </w:pPr>
    <w:rPr>
      <w:rFonts w:ascii="宋体" w:hAnsi="宋体"/>
      <w:kern w:val="0"/>
      <w:szCs w:val="22"/>
      <w:lang w:val="zh-CN"/>
    </w:rPr>
  </w:style>
  <w:style w:type="paragraph" w:styleId="BalloonText">
    <w:name w:val="Balloon Text"/>
    <w:basedOn w:val="Normal"/>
    <w:link w:val="a3"/>
    <w:rPr>
      <w:sz w:val="18"/>
      <w:szCs w:val="18"/>
    </w:rPr>
  </w:style>
  <w:style w:type="character" w:customStyle="1" w:styleId="a3">
    <w:name w:val="批注框文本 字符"/>
    <w:link w:val="BalloonText"/>
    <w:rPr>
      <w:kern w:val="2"/>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uiPriority w:val="39"/>
  </w:style>
  <w:style w:type="paragraph" w:styleId="TOC2">
    <w:name w:val="toc 2"/>
    <w:basedOn w:val="Normal"/>
    <w:next w:val="Normal"/>
    <w:uiPriority w:val="39"/>
    <w:pPr>
      <w:ind w:left="420" w:leftChars="200"/>
    </w:pPr>
  </w:style>
  <w:style w:type="paragraph" w:styleId="TOC9">
    <w:name w:val="toc 9"/>
    <w:basedOn w:val="Normal"/>
    <w:next w:val="Normal"/>
    <w:pPr>
      <w:ind w:left="3360" w:leftChars="1600"/>
    </w:pPr>
  </w:style>
  <w:style w:type="paragraph" w:styleId="BodyText2">
    <w:name w:val="Body Text 2"/>
    <w:basedOn w:val="Normal"/>
    <w:link w:val="20"/>
    <w:pPr>
      <w:spacing w:after="120" w:line="480" w:lineRule="auto"/>
    </w:pPr>
  </w:style>
  <w:style w:type="character" w:customStyle="1" w:styleId="20">
    <w:name w:val="正文文本 2 字符"/>
    <w:link w:val="BodyText2"/>
    <w:rPr>
      <w:kern w:val="2"/>
      <w:sz w:val="21"/>
      <w:szCs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CommentSubject">
    <w:name w:val="annotation subject"/>
    <w:basedOn w:val="CommentText"/>
    <w:next w:val="CommentText"/>
    <w:link w:val="a4"/>
    <w:rPr>
      <w:b/>
      <w:bCs/>
    </w:rPr>
  </w:style>
  <w:style w:type="character" w:customStyle="1" w:styleId="a4">
    <w:name w:val="批注主题 字符"/>
    <w:link w:val="CommentSubject"/>
    <w:rPr>
      <w:b/>
      <w:bCs/>
      <w:kern w:val="2"/>
      <w:sz w:val="21"/>
      <w:szCs w:val="24"/>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bCs/>
    </w:rPr>
  </w:style>
  <w:style w:type="character" w:styleId="PageNumber">
    <w:name w:val="page number"/>
    <w:basedOn w:val="DefaultParagraphFont"/>
  </w:style>
  <w:style w:type="character" w:styleId="Hyperlink">
    <w:name w:val="Hyperlink"/>
    <w:uiPriority w:val="99"/>
    <w:rPr>
      <w:color w:val="0000FF"/>
      <w:u w:val="single"/>
    </w:rPr>
  </w:style>
  <w:style w:type="character" w:styleId="CommentReference">
    <w:name w:val="annotation reference"/>
    <w:rPr>
      <w:sz w:val="21"/>
      <w:szCs w:val="21"/>
    </w:rPr>
  </w:style>
  <w:style w:type="character" w:customStyle="1" w:styleId="Char">
    <w:name w:val="正文正本 Char"/>
    <w:link w:val="a5"/>
    <w:rPr>
      <w:rFonts w:eastAsia="宋体"/>
      <w:kern w:val="2"/>
      <w:sz w:val="24"/>
      <w:szCs w:val="24"/>
      <w:lang w:val="en-US" w:eastAsia="zh-CN" w:bidi="ar-SA"/>
    </w:rPr>
  </w:style>
  <w:style w:type="paragraph" w:customStyle="1" w:styleId="a5">
    <w:name w:val="正文正本"/>
    <w:basedOn w:val="Normal"/>
    <w:link w:val="Char"/>
    <w:pPr>
      <w:spacing w:line="360" w:lineRule="auto"/>
      <w:ind w:firstLine="200" w:firstLineChars="200"/>
    </w:pPr>
    <w:rPr>
      <w:sz w:val="24"/>
    </w:rPr>
  </w:style>
  <w:style w:type="character" w:customStyle="1" w:styleId="555555555555555Char">
    <w:name w:val="555555555555555 Char"/>
    <w:link w:val="555555555555555"/>
    <w:rPr>
      <w:rFonts w:eastAsia="宋体"/>
      <w:kern w:val="2"/>
      <w:sz w:val="24"/>
      <w:szCs w:val="24"/>
      <w:lang w:val="en-US" w:eastAsia="zh-CN" w:bidi="ar-SA"/>
    </w:rPr>
  </w:style>
  <w:style w:type="paragraph" w:customStyle="1" w:styleId="555555555555555">
    <w:name w:val="555555555555555"/>
    <w:basedOn w:val="Normal"/>
    <w:link w:val="555555555555555Char"/>
    <w:pPr>
      <w:spacing w:line="360" w:lineRule="auto"/>
      <w:ind w:firstLine="200" w:firstLineChars="200"/>
    </w:pPr>
    <w:rPr>
      <w:sz w:val="24"/>
    </w:rPr>
  </w:style>
  <w:style w:type="character" w:customStyle="1" w:styleId="Char0">
    <w:name w:val="文本条款 Char"/>
    <w:aliases w:val="s4 Char,标题4 Char1,正文（首行缩进两字） Char Char Char Char Char Char Char Char,正文（首行缩进两字） Char Char Char Char Char Char Char Char Char Char Char Char Char Char Char Char Char Char Char Char Char Char Char Char C Char,段1 Char,特点 Char1,表格标题 Char,表正文 Char1"/>
    <w:rPr>
      <w:rFonts w:eastAsia="宋体"/>
      <w:kern w:val="2"/>
      <w:sz w:val="21"/>
      <w:lang w:val="en-US" w:eastAsia="zh-CN" w:bidi="ar-SA"/>
    </w:rPr>
  </w:style>
  <w:style w:type="character" w:customStyle="1" w:styleId="222Char">
    <w:name w:val="样式 样式 样式 首行缩进:  2 字符 + 首行缩进:  2 字符 + 首行缩进:  2 字符 Char"/>
    <w:link w:val="222"/>
    <w:rPr>
      <w:rFonts w:ascii="宋体" w:eastAsia="宋体" w:hAnsi="宋体" w:cs="宋体"/>
      <w:kern w:val="2"/>
      <w:sz w:val="24"/>
      <w:szCs w:val="24"/>
      <w:lang w:val="en-US" w:eastAsia="zh-CN" w:bidi="ar-SA"/>
    </w:rPr>
  </w:style>
  <w:style w:type="paragraph" w:customStyle="1" w:styleId="222">
    <w:name w:val="样式 样式 样式 首行缩进:  2 字符 + 首行缩进:  2 字符 + 首行缩进:  2 字符"/>
    <w:basedOn w:val="Normal"/>
    <w:link w:val="222Char"/>
    <w:pPr>
      <w:snapToGrid w:val="0"/>
      <w:ind w:firstLine="480"/>
      <w:jc w:val="center"/>
    </w:pPr>
    <w:rPr>
      <w:rFonts w:ascii="宋体" w:hAnsi="宋体" w:cs="宋体"/>
      <w:sz w:val="24"/>
    </w:rPr>
  </w:style>
  <w:style w:type="character" w:customStyle="1" w:styleId="CharChar">
    <w:name w:val="正文 Char Char"/>
    <w:link w:val="3"/>
    <w:rPr>
      <w:rFonts w:eastAsia="宋体"/>
      <w:kern w:val="2"/>
      <w:sz w:val="24"/>
      <w:szCs w:val="24"/>
      <w:lang w:val="en-US" w:eastAsia="zh-CN" w:bidi="ar-SA"/>
    </w:rPr>
  </w:style>
  <w:style w:type="paragraph" w:customStyle="1" w:styleId="3">
    <w:name w:val="正文3"/>
    <w:basedOn w:val="Normal"/>
    <w:link w:val="CharChar"/>
    <w:pPr>
      <w:spacing w:line="360" w:lineRule="auto"/>
      <w:ind w:firstLine="200" w:firstLineChars="200"/>
    </w:pPr>
    <w:rPr>
      <w:sz w:val="24"/>
    </w:rPr>
  </w:style>
  <w:style w:type="character" w:customStyle="1" w:styleId="DChar">
    <w:name w:val="D正文 Char"/>
    <w:link w:val="D"/>
    <w:rPr>
      <w:kern w:val="2"/>
      <w:sz w:val="24"/>
      <w:szCs w:val="24"/>
    </w:rPr>
  </w:style>
  <w:style w:type="paragraph" w:customStyle="1" w:styleId="D">
    <w:name w:val="D正文"/>
    <w:basedOn w:val="Normal"/>
    <w:link w:val="DChar"/>
    <w:qFormat/>
    <w:pPr>
      <w:spacing w:line="360" w:lineRule="auto"/>
      <w:ind w:firstLine="480" w:firstLineChars="200"/>
    </w:pPr>
    <w:rPr>
      <w:sz w:val="24"/>
    </w:rPr>
  </w:style>
  <w:style w:type="paragraph" w:customStyle="1" w:styleId="44444444444444444">
    <w:name w:val="44444444444444444"/>
    <w:basedOn w:val="Normal"/>
    <w:pPr>
      <w:spacing w:line="360" w:lineRule="auto"/>
      <w:jc w:val="left"/>
      <w:outlineLvl w:val="3"/>
    </w:pPr>
    <w:rPr>
      <w:sz w:val="24"/>
    </w:rPr>
  </w:style>
  <w:style w:type="paragraph" w:customStyle="1" w:styleId="A6">
    <w:name w:val="A标一"/>
    <w:basedOn w:val="Normal"/>
    <w:qFormat/>
    <w:pPr>
      <w:spacing w:before="100" w:beforeLines="100" w:after="50" w:afterLines="50" w:line="396" w:lineRule="auto"/>
      <w:outlineLvl w:val="0"/>
    </w:pPr>
    <w:rPr>
      <w:b/>
      <w:sz w:val="30"/>
      <w:szCs w:val="30"/>
    </w:rPr>
  </w:style>
  <w:style w:type="paragraph" w:customStyle="1" w:styleId="D0">
    <w:name w:val="D表0"/>
    <w:basedOn w:val="Normal"/>
    <w:qFormat/>
    <w:pPr>
      <w:jc w:val="center"/>
    </w:pPr>
    <w:rPr>
      <w:szCs w:val="21"/>
    </w:rPr>
  </w:style>
  <w:style w:type="paragraph" w:customStyle="1" w:styleId="D1">
    <w:name w:val="D标一"/>
    <w:basedOn w:val="Normal"/>
    <w:qFormat/>
    <w:pPr>
      <w:keepNext/>
      <w:keepLines/>
      <w:pageBreakBefore/>
      <w:spacing w:before="600" w:after="360"/>
      <w:jc w:val="left"/>
      <w:outlineLvl w:val="0"/>
    </w:pPr>
    <w:rPr>
      <w:rFonts w:eastAsia="黑体"/>
      <w:b/>
      <w:bCs/>
      <w:kern w:val="44"/>
      <w:sz w:val="36"/>
      <w:szCs w:val="32"/>
    </w:rPr>
  </w:style>
  <w:style w:type="paragraph" w:customStyle="1" w:styleId="a7">
    <w:name w:val="样式 宋体 居中"/>
    <w:basedOn w:val="Normal"/>
    <w:pPr>
      <w:adjustRightInd w:val="0"/>
      <w:spacing w:line="360" w:lineRule="auto"/>
      <w:jc w:val="center"/>
      <w:textAlignment w:val="baseline"/>
    </w:pPr>
    <w:rPr>
      <w:rFonts w:ascii="宋体" w:hAnsi="宋体"/>
      <w:kern w:val="21"/>
      <w:sz w:val="24"/>
      <w:szCs w:val="20"/>
    </w:rPr>
  </w:style>
  <w:style w:type="paragraph" w:customStyle="1" w:styleId="D2">
    <w:name w:val="D标三"/>
    <w:basedOn w:val="Normal"/>
    <w:qFormat/>
    <w:pPr>
      <w:keepNext/>
      <w:keepLines/>
      <w:spacing w:before="240" w:line="360" w:lineRule="auto"/>
      <w:outlineLvl w:val="2"/>
    </w:pPr>
    <w:rPr>
      <w:rFonts w:eastAsia="黑体"/>
      <w:b/>
      <w:bCs/>
      <w:sz w:val="28"/>
      <w:szCs w:val="26"/>
    </w:rPr>
  </w:style>
  <w:style w:type="paragraph" w:customStyle="1" w:styleId="D3">
    <w:name w:val="D表内"/>
    <w:basedOn w:val="Normal"/>
    <w:pPr>
      <w:widowControl/>
      <w:spacing w:before="40" w:after="40"/>
      <w:jc w:val="center"/>
    </w:pPr>
    <w:rPr>
      <w:rFonts w:ascii="宋体" w:hAnsi="宋体" w:cs="宋体"/>
      <w:szCs w:val="21"/>
    </w:rPr>
  </w:style>
  <w:style w:type="paragraph" w:customStyle="1" w:styleId="21">
    <w:name w:val="样式2"/>
    <w:basedOn w:val="D"/>
    <w:qFormat/>
    <w:pPr>
      <w:spacing w:before="50" w:beforeLines="50" w:after="50" w:afterLines="50"/>
      <w:ind w:hanging="200" w:hangingChars="200"/>
    </w:pPr>
    <w:rPr>
      <w:b/>
      <w:color w:val="000000"/>
    </w:rPr>
  </w:style>
  <w:style w:type="paragraph" w:customStyle="1" w:styleId="D4">
    <w:name w:val="D标二"/>
    <w:basedOn w:val="Normal"/>
    <w:qFormat/>
    <w:pPr>
      <w:keepNext/>
      <w:keepLines/>
      <w:spacing w:before="360" w:line="360" w:lineRule="auto"/>
      <w:outlineLvl w:val="1"/>
    </w:pPr>
    <w:rPr>
      <w:rFonts w:eastAsia="黑体"/>
      <w:b/>
      <w:bCs/>
      <w:sz w:val="30"/>
      <w:szCs w:val="30"/>
    </w:rPr>
  </w:style>
  <w:style w:type="paragraph" w:customStyle="1" w:styleId="a8">
    <w:name w:val="表格文字"/>
    <w:basedOn w:val="Normal"/>
    <w:pPr>
      <w:jc w:val="center"/>
    </w:pPr>
    <w:rPr>
      <w:rFonts w:ascii="仿宋_GB2312" w:eastAsia="仿宋_GB2312" w:hAnsi="Arial Black"/>
      <w:kern w:val="44"/>
      <w:sz w:val="24"/>
      <w:szCs w:val="20"/>
    </w:rPr>
  </w:style>
  <w:style w:type="paragraph" w:customStyle="1" w:styleId="5">
    <w:name w:val="5文章(治)"/>
    <w:basedOn w:val="Normal"/>
    <w:pPr>
      <w:spacing w:line="360" w:lineRule="auto"/>
      <w:ind w:firstLine="560" w:firstLineChars="200"/>
    </w:pPr>
    <w:rPr>
      <w:rFonts w:eastAsia="楷体_GB2312"/>
      <w:sz w:val="28"/>
      <w:szCs w:val="20"/>
    </w:rPr>
  </w:style>
  <w:style w:type="paragraph" w:customStyle="1" w:styleId="a9">
    <w:name w:val="论文正文"/>
    <w:basedOn w:val="NormalIndent"/>
    <w:pPr>
      <w:ind w:firstLine="480" w:firstLineChars="200"/>
    </w:pPr>
    <w:rPr>
      <w:rFonts w:ascii="宋体" w:hAnsi="宋体"/>
      <w:sz w:val="28"/>
      <w:szCs w:val="24"/>
    </w:rPr>
  </w:style>
  <w:style w:type="paragraph" w:styleId="Revision">
    <w:name w:val="Revision"/>
    <w:uiPriority w:val="99"/>
    <w:semiHidden/>
    <w:rPr>
      <w:kern w:val="2"/>
      <w:sz w:val="21"/>
      <w:szCs w:val="24"/>
      <w:lang w:val="en-US" w:eastAsia="zh-CN" w:bidi="ar-SA"/>
    </w:rPr>
  </w:style>
  <w:style w:type="paragraph" w:customStyle="1" w:styleId="3333333333333333">
    <w:name w:val="3333333333333333"/>
    <w:basedOn w:val="Normal"/>
    <w:pPr>
      <w:spacing w:after="120" w:line="360" w:lineRule="auto"/>
      <w:jc w:val="left"/>
      <w:outlineLvl w:val="2"/>
    </w:pPr>
    <w:rPr>
      <w:sz w:val="28"/>
    </w:rPr>
  </w:style>
  <w:style w:type="paragraph" w:customStyle="1" w:styleId="222222222222222222">
    <w:name w:val="222222222222222222"/>
    <w:basedOn w:val="Normal"/>
    <w:pPr>
      <w:spacing w:before="120" w:after="120" w:line="360" w:lineRule="auto"/>
      <w:jc w:val="left"/>
      <w:outlineLvl w:val="1"/>
    </w:pPr>
    <w:rPr>
      <w:sz w:val="30"/>
    </w:rPr>
  </w:style>
  <w:style w:type="paragraph" w:customStyle="1" w:styleId="a10">
    <w:name w:val="表格正文"/>
    <w:basedOn w:val="Normal"/>
    <w:next w:val="Normal"/>
    <w:pPr>
      <w:jc w:val="center"/>
    </w:pPr>
    <w:rPr>
      <w:szCs w:val="28"/>
    </w:rPr>
  </w:style>
  <w:style w:type="paragraph" w:customStyle="1" w:styleId="A11">
    <w:name w:val="A标三"/>
    <w:basedOn w:val="D2"/>
    <w:qFormat/>
    <w:pPr>
      <w:spacing w:before="0" w:line="396" w:lineRule="auto"/>
      <w:ind w:firstLine="200" w:firstLineChars="200"/>
    </w:pPr>
    <w:rPr>
      <w:b w:val="0"/>
      <w:sz w:val="24"/>
      <w:szCs w:val="24"/>
    </w:rPr>
  </w:style>
  <w:style w:type="paragraph" w:customStyle="1" w:styleId="0a1">
    <w:name w:val="0a式1"/>
    <w:basedOn w:val="Normal"/>
    <w:rPr>
      <w:color w:val="000000"/>
      <w:kern w:val="0"/>
      <w:sz w:val="24"/>
      <w:szCs w:val="20"/>
    </w:rPr>
  </w:style>
  <w:style w:type="paragraph" w:customStyle="1" w:styleId="1">
    <w:name w:val="样式1"/>
    <w:basedOn w:val="Normal"/>
    <w:pPr>
      <w:spacing w:line="400" w:lineRule="exact"/>
      <w:jc w:val="center"/>
    </w:pPr>
    <w:rPr>
      <w:kern w:val="0"/>
      <w:sz w:val="24"/>
    </w:rPr>
  </w:style>
  <w:style w:type="paragraph" w:customStyle="1" w:styleId="Normal0">
    <w:name w:val="Normal_0"/>
    <w:pPr>
      <w:widowControl w:val="0"/>
      <w:adjustRightInd w:val="0"/>
      <w:spacing w:line="315" w:lineRule="atLeast"/>
      <w:jc w:val="both"/>
      <w:textAlignment w:val="baseline"/>
    </w:pPr>
    <w:rPr>
      <w:rFonts w:ascii="宋体"/>
      <w:sz w:val="24"/>
      <w:lang w:val="en-US" w:eastAsia="zh-CN" w:bidi="ar-SA"/>
    </w:rPr>
  </w:style>
  <w:style w:type="paragraph" w:customStyle="1" w:styleId="xl24">
    <w:name w:val="xl24"/>
    <w:basedOn w:val="Normal"/>
    <w:pPr>
      <w:widowControl/>
      <w:spacing w:before="100" w:beforeAutospacing="1" w:after="100" w:afterAutospacing="1"/>
      <w:jc w:val="center"/>
    </w:pPr>
    <w:rPr>
      <w:rFonts w:ascii="宋体" w:hAnsi="宋体" w:cs="宋体"/>
      <w:kern w:val="0"/>
      <w:sz w:val="24"/>
    </w:rPr>
  </w:style>
  <w:style w:type="paragraph" w:customStyle="1" w:styleId="666666666666">
    <w:name w:val="666666666666"/>
    <w:basedOn w:val="Normal"/>
    <w:pPr>
      <w:spacing w:line="360" w:lineRule="auto"/>
      <w:jc w:val="center"/>
    </w:pPr>
    <w:rPr>
      <w:b/>
      <w:sz w:val="24"/>
    </w:rPr>
  </w:style>
  <w:style w:type="paragraph" w:customStyle="1" w:styleId="A12">
    <w:name w:val="A标二"/>
    <w:basedOn w:val="D4"/>
    <w:qFormat/>
    <w:pPr>
      <w:spacing w:before="120" w:after="120" w:line="396" w:lineRule="auto"/>
      <w:ind w:firstLine="200" w:firstLineChars="200"/>
    </w:pPr>
    <w:rPr>
      <w:rFonts w:ascii="宋体" w:eastAsia="宋体" w:hAnsi="宋体"/>
      <w:sz w:val="24"/>
      <w:szCs w:val="24"/>
    </w:rPr>
  </w:style>
  <w:style w:type="paragraph" w:customStyle="1" w:styleId="015">
    <w:name w:val="样式 正文首行缩进 + 小四 段后: 0 磅 行距: 1.5 倍行距"/>
    <w:basedOn w:val="Normal"/>
    <w:pPr>
      <w:spacing w:line="360" w:lineRule="auto"/>
      <w:ind w:firstLine="480" w:firstLineChars="200"/>
    </w:pPr>
    <w:rPr>
      <w:sz w:val="24"/>
      <w:szCs w:val="20"/>
    </w:rPr>
  </w:style>
  <w:style w:type="paragraph" w:customStyle="1" w:styleId="CharCharCharCharCharChar1Char">
    <w:name w:val=" Char Char Char Char Char Char1 Char"/>
    <w:basedOn w:val="Normal"/>
  </w:style>
  <w:style w:type="paragraph" w:customStyle="1" w:styleId="D5">
    <w:name w:val="D图表"/>
    <w:basedOn w:val="Normal"/>
    <w:qFormat/>
    <w:pPr>
      <w:spacing w:before="120" w:after="120"/>
      <w:jc w:val="center"/>
    </w:pPr>
    <w:rPr>
      <w:b/>
      <w:szCs w:val="21"/>
    </w:rPr>
  </w:style>
  <w:style w:type="paragraph" w:customStyle="1" w:styleId="77777777777777777">
    <w:name w:val="77777777777777777"/>
    <w:basedOn w:val="Normal"/>
    <w:pPr>
      <w:jc w:val="center"/>
    </w:pPr>
  </w:style>
  <w:style w:type="table" w:customStyle="1" w:styleId="D6">
    <w:name w:val="D新表"/>
    <w:basedOn w:val="TableNormal"/>
    <w:pPr>
      <w:spacing w:before="40" w:after="40" w:line="240" w:lineRule="atLeast"/>
      <w:jc w:val="center"/>
    </w:pPr>
    <w:rPr>
      <w:szCs w:val="21"/>
    </w:rPr>
    <w:tblPr>
      <w:tblBorders>
        <w:top w:val="thinThickSmallGap" w:sz="18" w:space="0" w:color="auto"/>
        <w:left w:val="single" w:sz="4" w:space="0" w:color="auto"/>
        <w:bottom w:val="thickThinSmallGap" w:sz="18" w:space="0" w:color="auto"/>
        <w:right w:val="single" w:sz="4" w:space="0" w:color="auto"/>
        <w:insideH w:val="single" w:sz="4" w:space="0" w:color="auto"/>
        <w:insideV w:val="single" w:sz="4" w:space="0" w:color="auto"/>
      </w:tblBorders>
    </w:tblPr>
    <w:tblStylePr w:type="firstRow">
      <w:tblPr/>
      <w:tcPr>
        <w:tcBorders>
          <w:top w:val="thinThickSmallGap" w:sz="18" w:space="0" w:color="auto"/>
          <w:left w:val="nil"/>
          <w:bottom w:val="single" w:sz="4" w:space="0" w:color="auto"/>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4.xml" /><Relationship Id="rId11" Type="http://schemas.openxmlformats.org/officeDocument/2006/relationships/header" Target="header4.xml" /><Relationship Id="rId12" Type="http://schemas.openxmlformats.org/officeDocument/2006/relationships/footer" Target="footer5.xml" /><Relationship Id="rId13" Type="http://schemas.openxmlformats.org/officeDocument/2006/relationships/footer" Target="footer6.xml" /><Relationship Id="rId14" Type="http://schemas.openxmlformats.org/officeDocument/2006/relationships/header" Target="header5.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image" Target="media/image1.jpeg" /><Relationship Id="rId18" Type="http://schemas.openxmlformats.org/officeDocument/2006/relationships/header" Target="header6.xml" /><Relationship Id="rId19" Type="http://schemas.openxmlformats.org/officeDocument/2006/relationships/footer" Target="footer9.xml" /><Relationship Id="rId2" Type="http://schemas.openxmlformats.org/officeDocument/2006/relationships/webSettings" Target="webSettings.xml" /><Relationship Id="rId20" Type="http://schemas.openxmlformats.org/officeDocument/2006/relationships/footer" Target="footer10.xml" /><Relationship Id="rId21" Type="http://schemas.openxmlformats.org/officeDocument/2006/relationships/header" Target="header7.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header" Target="header8.xml" /><Relationship Id="rId25" Type="http://schemas.openxmlformats.org/officeDocument/2006/relationships/footer" Target="footer13.xml" /><Relationship Id="rId26" Type="http://schemas.openxmlformats.org/officeDocument/2006/relationships/footer" Target="footer14.xml" /><Relationship Id="rId27" Type="http://schemas.openxmlformats.org/officeDocument/2006/relationships/header" Target="header9.xml" /><Relationship Id="rId28" Type="http://schemas.openxmlformats.org/officeDocument/2006/relationships/footer" Target="footer15.xml" /><Relationship Id="rId29" Type="http://schemas.openxmlformats.org/officeDocument/2006/relationships/footer" Target="footer16.xml" /><Relationship Id="rId3" Type="http://schemas.openxmlformats.org/officeDocument/2006/relationships/fontTable" Target="fontTable.xml" /><Relationship Id="rId30" Type="http://schemas.openxmlformats.org/officeDocument/2006/relationships/image" Target="media/image2.jpeg" /><Relationship Id="rId31" Type="http://schemas.openxmlformats.org/officeDocument/2006/relationships/image" Target="media/image3.png" /><Relationship Id="rId32" Type="http://schemas.openxmlformats.org/officeDocument/2006/relationships/header" Target="header10.xml" /><Relationship Id="rId33" Type="http://schemas.openxmlformats.org/officeDocument/2006/relationships/footer" Target="footer17.xml" /><Relationship Id="rId34" Type="http://schemas.openxmlformats.org/officeDocument/2006/relationships/footer" Target="footer18.xml" /><Relationship Id="rId35" Type="http://schemas.openxmlformats.org/officeDocument/2006/relationships/header" Target="header11.xml" /><Relationship Id="rId36" Type="http://schemas.openxmlformats.org/officeDocument/2006/relationships/footer" Target="footer19.xml" /><Relationship Id="rId37" Type="http://schemas.openxmlformats.org/officeDocument/2006/relationships/footer" Target="footer20.xml" /><Relationship Id="rId38" Type="http://schemas.openxmlformats.org/officeDocument/2006/relationships/header" Target="header12.xml" /><Relationship Id="rId39" Type="http://schemas.openxmlformats.org/officeDocument/2006/relationships/footer" Target="footer21.xml" /><Relationship Id="rId4" Type="http://schemas.openxmlformats.org/officeDocument/2006/relationships/header" Target="header1.xml" /><Relationship Id="rId40" Type="http://schemas.openxmlformats.org/officeDocument/2006/relationships/footer" Target="footer22.xml" /><Relationship Id="rId41" Type="http://schemas.openxmlformats.org/officeDocument/2006/relationships/hyperlink" Target="https://d.book118.com/598014064127006042" TargetMode="External" /><Relationship Id="rId42" Type="http://schemas.openxmlformats.org/officeDocument/2006/relationships/header" Target="header13.xml" /><Relationship Id="rId43" Type="http://schemas.openxmlformats.org/officeDocument/2006/relationships/footer" Target="footer23.xml" /><Relationship Id="rId44" Type="http://schemas.openxmlformats.org/officeDocument/2006/relationships/footer" Target="footer24.xml" /><Relationship Id="rId45" Type="http://schemas.openxmlformats.org/officeDocument/2006/relationships/theme" Target="theme/theme1.xml" /><Relationship Id="rId46" Type="http://schemas.openxmlformats.org/officeDocument/2006/relationships/numbering" Target="numbering.xml" /><Relationship Id="rId47"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3145</Words>
  <Characters>17929</Characters>
  <Application>Microsoft Office Word</Application>
  <DocSecurity>0</DocSecurity>
  <Lines>149</Lines>
  <Paragraphs>42</Paragraphs>
  <ScaleCrop>false</ScaleCrop>
  <Company>Lenovo (Beijing) Limited</Company>
  <LinksUpToDate>false</LinksUpToDate>
  <CharactersWithSpaces>21032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江西环球市政建设园林绿化工程有限公司</dc:title>
  <dc:creator>Lenovo User</dc:creator>
  <cp:lastModifiedBy>委员</cp:lastModifiedBy>
  <cp:revision>2</cp:revision>
  <cp:lastPrinted>2013-08-28T12:24:00Z</cp:lastPrinted>
  <dcterms:created xsi:type="dcterms:W3CDTF">2013-08-28T11:53:00Z</dcterms:created>
  <dcterms:modified xsi:type="dcterms:W3CDTF">2024-02-23T04:44:36Z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CA84756EB7FB4EB4A7F1306190B5C645_12</vt:lpwstr>
  </property>
  <property fmtid="{D5CDD505-2E9C-101B-9397-08002B2CF9AE}" pid="3" name="KSOProductBuildVer">
    <vt:lpwstr>2052-12.1.0.15712</vt:lpwstr>
  </property>
</Properties>
</file>