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285" w:lineRule="auto"/>
        <w:jc w:val="center"/>
        <w:rPr>
          <w:rFonts w:ascii="微软雅黑" w:eastAsia="微软雅黑" w:hAnsi="微软雅黑" w:cs="微软雅黑" w:hint="eastAsia"/>
          <w:color w:val="000000"/>
        </w:rPr>
      </w:pPr>
      <w:r>
        <w:rPr>
          <w:rFonts w:ascii="微软雅黑" w:eastAsia="微软雅黑" w:hAnsi="微软雅黑" w:cs="微软雅黑" w:hint="eastAsia"/>
          <w:b/>
          <w:color w:val="000000"/>
          <w:sz w:val="32"/>
        </w:rPr>
        <w:drawing>
          <wp:anchor distT="0" distB="0" distL="114300" distR="114300" simplePos="0" relativeHeight="251658240" behindDoc="0" locked="0" layoutInCell="1" allowOverlap="1">
            <wp:simplePos x="0" y="0"/>
            <wp:positionH relativeFrom="page">
              <wp:posOffset>10985500</wp:posOffset>
            </wp:positionH>
            <wp:positionV relativeFrom="topMargin">
              <wp:posOffset>11010900</wp:posOffset>
            </wp:positionV>
            <wp:extent cx="342900" cy="482600"/>
            <wp:effectExtent l="0" t="0" r="0" b="12700"/>
            <wp:wrapNone/>
            <wp:docPr id="100028" name="图片 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pic:cNvPicPr>
                      <a:picLocks noChangeAspect="1"/>
                    </pic:cNvPicPr>
                  </pic:nvPicPr>
                  <pic:blipFill>
                    <a:blip xmlns:r="http://schemas.openxmlformats.org/officeDocument/2006/relationships" r:embed="rId5"/>
                    <a:stretch>
                      <a:fillRect/>
                    </a:stretch>
                  </pic:blipFill>
                  <pic:spPr>
                    <a:xfrm>
                      <a:off x="0" y="0"/>
                      <a:ext cx="342900" cy="482600"/>
                    </a:xfrm>
                    <a:prstGeom prst="rect">
                      <a:avLst/>
                    </a:prstGeom>
                  </pic:spPr>
                </pic:pic>
              </a:graphicData>
            </a:graphic>
          </wp:anchor>
        </w:drawing>
      </w:r>
      <w:r>
        <w:rPr>
          <w:rFonts w:ascii="微软雅黑" w:eastAsia="微软雅黑" w:hAnsi="微软雅黑" w:cs="微软雅黑" w:hint="eastAsia"/>
          <w:b/>
          <w:color w:val="000000"/>
          <w:sz w:val="32"/>
        </w:rPr>
        <w:t>2022</w:t>
      </w:r>
      <w:r>
        <w:rPr>
          <w:rFonts w:ascii="微软雅黑" w:eastAsia="微软雅黑" w:hAnsi="微软雅黑" w:cs="微软雅黑" w:hint="eastAsia"/>
          <w:b/>
          <w:color w:val="000000"/>
          <w:sz w:val="32"/>
        </w:rPr>
        <w:t>年辽宁省普通高等学校招生选择性考试</w:t>
      </w:r>
    </w:p>
    <w:p>
      <w:pPr>
        <w:spacing w:line="285" w:lineRule="auto"/>
        <w:jc w:val="center"/>
        <w:rPr>
          <w:rFonts w:ascii="微软雅黑" w:eastAsia="微软雅黑" w:hAnsi="微软雅黑" w:cs="微软雅黑" w:hint="eastAsia"/>
          <w:color w:val="000000"/>
        </w:rPr>
      </w:pPr>
      <w:r>
        <w:rPr>
          <w:rFonts w:ascii="微软雅黑" w:eastAsia="微软雅黑" w:hAnsi="微软雅黑" w:cs="微软雅黑" w:hint="eastAsia"/>
          <w:b/>
          <w:color w:val="000000"/>
          <w:sz w:val="32"/>
        </w:rPr>
        <w:t>生物学</w:t>
      </w:r>
    </w:p>
    <w:p>
      <w:pPr>
        <w:spacing w:line="285" w:lineRule="auto"/>
        <w:jc w:val="both"/>
        <w:rPr>
          <w:rFonts w:ascii="微软雅黑" w:eastAsia="微软雅黑" w:hAnsi="微软雅黑" w:cs="微软雅黑" w:hint="eastAsia"/>
          <w:color w:val="000000"/>
        </w:rPr>
      </w:pPr>
      <w:r>
        <w:rPr>
          <w:rFonts w:ascii="微软雅黑" w:eastAsia="微软雅黑" w:hAnsi="微软雅黑" w:cs="微软雅黑" w:hint="eastAsia"/>
          <w:b/>
          <w:color w:val="000000"/>
          <w:sz w:val="24"/>
        </w:rPr>
        <w:t>一、选择题：</w:t>
      </w:r>
    </w:p>
    <w:p>
      <w:pPr>
        <w:spacing w:line="360" w:lineRule="auto"/>
        <w:jc w:val="both"/>
        <w:rPr>
          <w:rFonts w:ascii="微软雅黑" w:eastAsia="微软雅黑" w:hAnsi="微软雅黑" w:cs="微软雅黑" w:hint="eastAsia"/>
          <w:color w:val="000000"/>
        </w:rPr>
      </w:pPr>
    </w:p>
    <w:p>
      <w:pPr>
        <w:spacing w:line="360" w:lineRule="auto"/>
        <w:jc w:val="both"/>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rPr>
        <w:t>下列关于硝化细菌的叙述，错误的是（</w:t>
      </w: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rPr>
        <w:t>）</w:t>
      </w:r>
    </w:p>
    <w:p>
      <w:pPr>
        <w:tabs>
          <w:tab w:val="left" w:pos="4873"/>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A. </w:t>
      </w:r>
      <w:r>
        <w:rPr>
          <w:rFonts w:ascii="微软雅黑" w:eastAsia="微软雅黑" w:hAnsi="微软雅黑" w:cs="微软雅黑" w:hint="eastAsia"/>
          <w:color w:val="000000"/>
        </w:rPr>
        <w:t>可以发生基因突变</w:t>
      </w:r>
      <w:r>
        <w:rPr>
          <w:rFonts w:ascii="微软雅黑" w:eastAsia="微软雅黑" w:hAnsi="微软雅黑" w:cs="微软雅黑" w:hint="eastAsia"/>
          <w:color w:val="000000"/>
        </w:rPr>
        <w:tab/>
      </w:r>
      <w:r>
        <w:rPr>
          <w:rFonts w:ascii="微软雅黑" w:eastAsia="微软雅黑" w:hAnsi="微软雅黑" w:cs="微软雅黑" w:hint="eastAsia"/>
          <w:color w:val="000000"/>
        </w:rPr>
        <w:t xml:space="preserve">B. </w:t>
      </w:r>
      <w:r>
        <w:rPr>
          <w:rFonts w:ascii="微软雅黑" w:eastAsia="微软雅黑" w:hAnsi="微软雅黑" w:cs="微软雅黑" w:hint="eastAsia"/>
          <w:color w:val="000000"/>
        </w:rPr>
        <w:t>在核糖体合成蛋白质</w:t>
      </w:r>
    </w:p>
    <w:p>
      <w:pPr>
        <w:tabs>
          <w:tab w:val="left" w:pos="4873"/>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C. </w:t>
      </w:r>
      <w:r>
        <w:rPr>
          <w:rFonts w:ascii="微软雅黑" w:eastAsia="微软雅黑" w:hAnsi="微软雅黑" w:cs="微软雅黑" w:hint="eastAsia"/>
          <w:color w:val="000000"/>
        </w:rPr>
        <w:t>可以进行有丝分裂</w:t>
      </w:r>
      <w:r>
        <w:rPr>
          <w:rFonts w:ascii="微软雅黑" w:eastAsia="微软雅黑" w:hAnsi="微软雅黑" w:cs="微软雅黑" w:hint="eastAsia"/>
          <w:color w:val="000000"/>
        </w:rPr>
        <w:tab/>
      </w:r>
      <w:r>
        <w:rPr>
          <w:rFonts w:ascii="微软雅黑" w:eastAsia="微软雅黑" w:hAnsi="微软雅黑" w:cs="微软雅黑" w:hint="eastAsia"/>
          <w:color w:val="000000"/>
        </w:rPr>
        <w:t xml:space="preserve">D. </w:t>
      </w:r>
      <w:r>
        <w:rPr>
          <w:rFonts w:ascii="微软雅黑" w:eastAsia="微软雅黑" w:hAnsi="微软雅黑" w:cs="微软雅黑" w:hint="eastAsia"/>
          <w:color w:val="000000"/>
        </w:rPr>
        <w:t>能以</w:t>
      </w:r>
      <w:r>
        <w:rPr>
          <w:rFonts w:ascii="微软雅黑" w:eastAsia="微软雅黑" w:hAnsi="微软雅黑" w:cs="微软雅黑" w:hint="eastAsia"/>
          <w:color w:val="000000"/>
        </w:rPr>
        <w:t>CO</w:t>
      </w:r>
      <w:r>
        <w:rPr>
          <w:rFonts w:ascii="微软雅黑" w:eastAsia="微软雅黑" w:hAnsi="微软雅黑" w:cs="微软雅黑" w:hint="eastAsia"/>
          <w:color w:val="000000"/>
          <w:vertAlign w:val="subscript"/>
        </w:rPr>
        <w:t>2</w:t>
      </w:r>
      <w:r>
        <w:rPr>
          <w:rFonts w:ascii="微软雅黑" w:eastAsia="微软雅黑" w:hAnsi="微软雅黑" w:cs="微软雅黑" w:hint="eastAsia"/>
          <w:color w:val="000000"/>
        </w:rPr>
        <w:t>作为碳源</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【答案】</w:t>
      </w:r>
      <w:r>
        <w:rPr>
          <w:rFonts w:ascii="微软雅黑" w:eastAsia="微软雅黑" w:hAnsi="微软雅黑" w:cs="微软雅黑" w:hint="eastAsia"/>
          <w:color w:val="000000"/>
        </w:rPr>
        <w:t>C</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【解析】</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【分析】</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、硝化细菌是原核生物，原核细胞与真核细胞相比，最大的区别是原核细胞没有被核膜包被的成形的细胞核（没有核膜、核仁和染色体）；原核生物只能进行二分裂生殖。</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2、原核细胞只有核糖体一种细胞器，但部分原核细胞也能进行光合作用和有氧呼吸，如蓝细菌。原核生物含有细胞膜、细胞质结构，含有核酸和蛋白质等物质。</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【详解】A、硝化细菌的遗传物质是DNA，可发生基因突变，A正确；</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B、原核细胞只有核糖体一种细胞器，蛋白质在核糖体合成，B正确；</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C、原核生物不能进行有丝分裂，进行二分裂，C错误；</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D、硝化细菌可进行化能合成作用，是自养型生物，能以CO</w:t>
      </w:r>
      <w:r>
        <w:rPr>
          <w:rFonts w:ascii="微软雅黑" w:eastAsia="微软雅黑" w:hAnsi="微软雅黑" w:cs="微软雅黑" w:hint="eastAsia"/>
          <w:color w:val="000000"/>
          <w:vertAlign w:val="subscript"/>
        </w:rPr>
        <w:t>2</w:t>
      </w:r>
      <w:r>
        <w:rPr>
          <w:rFonts w:ascii="微软雅黑" w:eastAsia="微软雅黑" w:hAnsi="微软雅黑" w:cs="微软雅黑" w:hint="eastAsia"/>
          <w:color w:val="000000"/>
        </w:rPr>
        <w:t>作为碳源，D正确。</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故选C。</w:t>
      </w:r>
    </w:p>
    <w:p>
      <w:pPr>
        <w:spacing w:line="360" w:lineRule="auto"/>
        <w:jc w:val="both"/>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2. </w:t>
      </w:r>
      <w:r>
        <w:rPr>
          <w:rFonts w:ascii="微软雅黑" w:eastAsia="微软雅黑" w:hAnsi="微软雅黑" w:cs="微软雅黑" w:hint="eastAsia"/>
          <w:color w:val="000000"/>
        </w:rPr>
        <w:t>“一粥一饭，当思来之不易；半丝半缕，恒念物力维艰”体现了日常生活中减少生态足迹的理念，下列选项中都能减少生态足迹的是（</w:t>
      </w: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rPr>
        <w:t>）</w:t>
      </w:r>
    </w:p>
    <w:p>
      <w:pPr>
        <w:spacing w:line="360" w:lineRule="auto"/>
        <w:jc w:val="both"/>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①光盘行动②自驾旅游③高效农业④桑基鱼塘⑤一次性餐具使用⑥秸秆焚烧</w:t>
      </w:r>
    </w:p>
    <w:p>
      <w:pPr>
        <w:tabs>
          <w:tab w:val="left" w:pos="2436"/>
          <w:tab w:val="left" w:pos="4873"/>
          <w:tab w:val="left" w:pos="7309"/>
        </w:tabs>
        <w:spacing w:line="360" w:lineRule="auto"/>
        <w:jc w:val="left"/>
        <w:textAlignment w:val="center"/>
        <w:rPr>
          <w:rFonts w:ascii="微软雅黑" w:eastAsia="微软雅黑" w:hAnsi="微软雅黑" w:cs="微软雅黑" w:hint="eastAsia"/>
          <w:color w:val="000000"/>
        </w:rPr>
        <w:sectPr>
          <w:headerReference w:type="even" r:id="rId6"/>
          <w:footerReference w:type="even" r:id="rId7"/>
          <w:headerReference w:type="first" r:id="rId8"/>
          <w:footerReference w:type="first" r:id="rId9"/>
          <w:pgSz w:w="11906" w:h="16838"/>
          <w:pgMar w:top="910" w:right="1080" w:bottom="1440" w:left="1080" w:header="152" w:footer="0" w:gutter="0"/>
          <w:cols w:num="1" w:space="720"/>
          <w:docGrid w:type="lines" w:linePitch="312" w:charSpace="0"/>
        </w:sectPr>
      </w:pPr>
      <w:r>
        <w:rPr>
          <w:rFonts w:ascii="微软雅黑" w:eastAsia="微软雅黑" w:hAnsi="微软雅黑" w:cs="微软雅黑" w:hint="eastAsia"/>
          <w:color w:val="000000"/>
        </w:rPr>
        <w:t xml:space="preserve">A. </w:t>
      </w:r>
      <w:r>
        <w:rPr>
          <w:rFonts w:ascii="微软雅黑" w:eastAsia="微软雅黑" w:hAnsi="微软雅黑" w:cs="微软雅黑" w:hint="eastAsia"/>
          <w:color w:val="000000"/>
        </w:rPr>
        <w:t>①③④</w:t>
      </w:r>
      <w:r>
        <w:rPr>
          <w:rFonts w:ascii="微软雅黑" w:eastAsia="微软雅黑" w:hAnsi="微软雅黑" w:cs="微软雅黑" w:hint="eastAsia"/>
          <w:color w:val="000000"/>
        </w:rPr>
        <w:tab/>
      </w:r>
      <w:r>
        <w:rPr>
          <w:rFonts w:ascii="微软雅黑" w:eastAsia="微软雅黑" w:hAnsi="微软雅黑" w:cs="微软雅黑" w:hint="eastAsia"/>
          <w:color w:val="000000"/>
        </w:rPr>
        <w:t xml:space="preserve">B. </w:t>
      </w:r>
      <w:r>
        <w:rPr>
          <w:rFonts w:ascii="微软雅黑" w:eastAsia="微软雅黑" w:hAnsi="微软雅黑" w:cs="微软雅黑" w:hint="eastAsia"/>
          <w:color w:val="000000"/>
        </w:rPr>
        <w:t>①④⑥</w:t>
      </w:r>
      <w:r>
        <w:rPr>
          <w:rFonts w:ascii="微软雅黑" w:eastAsia="微软雅黑" w:hAnsi="微软雅黑" w:cs="微软雅黑" w:hint="eastAsia"/>
          <w:color w:val="000000"/>
        </w:rPr>
        <w:tab/>
      </w:r>
      <w:r>
        <w:rPr>
          <w:rFonts w:ascii="微软雅黑" w:eastAsia="微软雅黑" w:hAnsi="微软雅黑" w:cs="微软雅黑" w:hint="eastAsia"/>
          <w:color w:val="000000"/>
        </w:rPr>
        <w:t xml:space="preserve">C. </w:t>
      </w:r>
      <w:r>
        <w:rPr>
          <w:rFonts w:ascii="微软雅黑" w:eastAsia="微软雅黑" w:hAnsi="微软雅黑" w:cs="微软雅黑" w:hint="eastAsia"/>
          <w:color w:val="000000"/>
        </w:rPr>
        <w:t>②③⑤</w:t>
      </w:r>
      <w:r>
        <w:rPr>
          <w:rFonts w:ascii="微软雅黑" w:eastAsia="微软雅黑" w:hAnsi="微软雅黑" w:cs="微软雅黑" w:hint="eastAsia"/>
          <w:color w:val="000000"/>
        </w:rPr>
        <w:tab/>
      </w:r>
      <w:r>
        <w:rPr>
          <w:rFonts w:ascii="微软雅黑" w:eastAsia="微软雅黑" w:hAnsi="微软雅黑" w:cs="微软雅黑" w:hint="eastAsia"/>
          <w:color w:val="000000"/>
        </w:rPr>
        <w:t xml:space="preserve">D. </w:t>
      </w:r>
      <w:r>
        <w:rPr>
          <w:rFonts w:ascii="微软雅黑" w:eastAsia="微软雅黑" w:hAnsi="微软雅黑" w:cs="微软雅黑" w:hint="eastAsia"/>
          <w:color w:val="000000"/>
        </w:rPr>
        <w:t>②⑤⑥</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【答案】</w:t>
      </w:r>
      <w:r>
        <w:rPr>
          <w:rFonts w:ascii="微软雅黑" w:eastAsia="微软雅黑" w:hAnsi="微软雅黑" w:cs="微软雅黑" w:hint="eastAsia"/>
          <w:color w:val="000000"/>
        </w:rPr>
        <w:t>A</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【解析】</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【分析】生态足迹：（</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）概念:在现有技术条件下，维持某一人口单位生存所需的生产资源和吸纳废物的土地及水域的面积。</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（2）意义:生态足迹的值越大,代表人类所需的资源越多,对生态和环境的影响就越大。</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 （</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）特点:生态足迹的大小与人类的生活方式有关。生活方式不同,生态足迹的大小可能不同。</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【详解】①光盘行动可以避免食物浪费，能够减少生态足迹，①正确；</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②自驾旅游会增大生态足迹，②错误；</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③④高效农业、桑基鱼塘，能够合理利用资源，提高能量利用率，减少生态足迹，③④正确；</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⑤一次性餐具使用，会造成木材浪费，会增大生态足迹，⑤错误；</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⑥秸秆焚烧，使秸秆中的能量不能合理利用，造成浪费且空气污染，会增大生态足迹，⑥错误。</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综上可知，①③④正确。</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故选A。</w:t>
      </w:r>
    </w:p>
    <w:p>
      <w:pPr>
        <w:spacing w:line="360" w:lineRule="auto"/>
        <w:jc w:val="both"/>
        <w:textAlignment w:val="center"/>
        <w:rPr>
          <w:rFonts w:ascii="微软雅黑" w:eastAsia="微软雅黑" w:hAnsi="微软雅黑" w:cs="微软雅黑" w:hint="eastAsia"/>
          <w:color w:val="000000"/>
        </w:rPr>
      </w:pPr>
    </w:p>
    <w:p>
      <w:pPr>
        <w:spacing w:line="360" w:lineRule="auto"/>
        <w:jc w:val="both"/>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rPr>
        <w:t>下列关于生物进化和生物多样性的叙述，错误的是（</w:t>
      </w: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rPr>
        <w:t>）</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A. </w:t>
      </w:r>
      <w:r>
        <w:rPr>
          <w:rFonts w:ascii="微软雅黑" w:eastAsia="微软雅黑" w:hAnsi="微软雅黑" w:cs="微软雅黑" w:hint="eastAsia"/>
          <w:color w:val="000000"/>
        </w:rPr>
        <w:t>通过杂交育种技术培育出许多水稻新品种，增加了水稻的遗传多样性</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B. </w:t>
      </w:r>
      <w:r>
        <w:rPr>
          <w:rFonts w:ascii="微软雅黑" w:eastAsia="微软雅黑" w:hAnsi="微软雅黑" w:cs="微软雅黑" w:hint="eastAsia"/>
          <w:color w:val="000000"/>
        </w:rPr>
        <w:t>人类与黑猩猩基因组序列高度相似，说明人类从黑猩猩进化而来</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C. </w:t>
      </w:r>
      <w:r>
        <w:rPr>
          <w:rFonts w:ascii="微软雅黑" w:eastAsia="微软雅黑" w:hAnsi="微软雅黑" w:cs="微软雅黑" w:hint="eastAsia"/>
          <w:color w:val="000000"/>
        </w:rPr>
        <w:t>新物种的形成意味着生物类型和适应方式的增多</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D. </w:t>
      </w:r>
      <w:r>
        <w:rPr>
          <w:rFonts w:ascii="微软雅黑" w:eastAsia="微软雅黑" w:hAnsi="微软雅黑" w:cs="微软雅黑" w:hint="eastAsia"/>
          <w:color w:val="000000"/>
        </w:rPr>
        <w:t>生物之间既相互依存又相互制约，生物多样性是协同进化的结果</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【答案】</w:t>
      </w:r>
      <w:r>
        <w:rPr>
          <w:rFonts w:ascii="微软雅黑" w:eastAsia="微软雅黑" w:hAnsi="微软雅黑" w:cs="微软雅黑" w:hint="eastAsia"/>
          <w:color w:val="000000"/>
        </w:rPr>
        <w:t>B</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【解析】</w:t>
      </w:r>
    </w:p>
    <w:p>
      <w:pPr>
        <w:spacing w:line="360" w:lineRule="auto"/>
        <w:jc w:val="left"/>
        <w:textAlignment w:val="center"/>
        <w:rPr>
          <w:rFonts w:ascii="微软雅黑" w:eastAsia="微软雅黑" w:hAnsi="微软雅黑" w:cs="微软雅黑" w:hint="eastAsia"/>
          <w:color w:val="000000"/>
        </w:rPr>
        <w:sectPr>
          <w:headerReference w:type="even" r:id="rId10"/>
          <w:footerReference w:type="even" r:id="rId11"/>
          <w:headerReference w:type="first" r:id="rId12"/>
          <w:footerReference w:type="first" r:id="rId13"/>
          <w:type w:val="nextPage"/>
          <w:pgSz w:w="11906" w:h="16838"/>
          <w:pgMar w:top="910" w:right="1080" w:bottom="1440" w:left="1080" w:header="152" w:footer="0" w:gutter="0"/>
          <w:pgNumType w:start="2"/>
          <w:cols w:num="1" w:space="720"/>
          <w:titlePg w:val="0"/>
          <w:docGrid w:type="lines" w:linePitch="312" w:charSpace="0"/>
        </w:sectPr>
      </w:pPr>
      <w:r>
        <w:rPr>
          <w:rFonts w:ascii="微软雅黑" w:eastAsia="微软雅黑" w:hAnsi="微软雅黑" w:cs="微软雅黑" w:hint="eastAsia"/>
          <w:color w:val="000000"/>
        </w:rPr>
        <w:t>【分析】</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、生物多样性包括遗传多样性、物种多样性和生态系统多样性三个层次。</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2、遗传多样性是指物种内基因和基因型的多样性。遗传多样性的实质是可遗传变异。检测遗传多样性最简单的方法是聚合酶链反应（简称PCR），最可靠的方法是测定不同亚种、不同种群的基因组全序列。</w:t>
      </w:r>
    </w:p>
    <w:p>
      <w:pPr>
        <w:spacing w:line="360" w:lineRule="auto"/>
        <w:jc w:val="left"/>
        <w:textAlignment w:val="center"/>
        <w:rPr>
          <w:rFonts w:ascii="微软雅黑" w:eastAsia="微软雅黑" w:hAnsi="微软雅黑" w:cs="微软雅黑" w:hint="eastAsia"/>
          <w:color w:val="000000"/>
        </w:rPr>
      </w:pP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、物种多样性是指地球上动物、植物和微生物等生物物种的多样化。</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【详解】A、通过杂交育种技术培育出许多水稻新品种，增加了水稻的基因型，即增加了水稻的遗传多样性，A正确；</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B、黑猩猩与人类在基因上的相似程度达到96%以上，只能表明人类和黑猩猩的较近的亲缘关系，由于客观环境因素的改变，黑猩猩不能进化成人类，B错误；</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C、新物种形成意味着生物能够以新的方式适应环境，为其发展奠定了基础，所以生物类型和适应方式的增多，C正确；</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D、生物与生物之间有密切联系，自然界中的动物和其他动物长期生存与发展的过程中，形成了相互依赖，相互制约的关系，生物多样性是协同进化的结果，D正确。</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故选B。</w:t>
      </w:r>
    </w:p>
    <w:p>
      <w:pPr>
        <w:spacing w:line="360" w:lineRule="auto"/>
        <w:jc w:val="both"/>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4. </w:t>
      </w:r>
      <w:r>
        <w:rPr>
          <w:rFonts w:ascii="微软雅黑" w:eastAsia="微软雅黑" w:hAnsi="微软雅黑" w:cs="微软雅黑" w:hint="eastAsia"/>
          <w:color w:val="000000"/>
        </w:rPr>
        <w:t>选用合适的实验材料对生物科学研究至关重要。下表对教材中相关研究的叙述，错误的是（</w:t>
      </w: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rPr>
        <w:t>）</w:t>
      </w:r>
    </w:p>
    <w:tbl>
      <w:tblPr>
        <w:tblStyle w:val="TableNormal"/>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660"/>
        <w:gridCol w:w="1290"/>
        <w:gridCol w:w="1821"/>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trHeight w:val="33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选项</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实验材料</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生物学研究</w:t>
            </w:r>
          </w:p>
        </w:tc>
      </w:tr>
      <w:tr>
        <w:tblPrEx>
          <w:tblW w:w="0" w:type="auto"/>
          <w:tblInd w:w="0" w:type="dxa"/>
          <w:tblCellMar>
            <w:top w:w="120" w:type="dxa"/>
            <w:left w:w="120" w:type="dxa"/>
            <w:bottom w:w="120" w:type="dxa"/>
            <w:right w:w="120" w:type="dxa"/>
          </w:tblCellMar>
        </w:tblPrEx>
        <w:trPr>
          <w:trHeight w:val="33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A</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小球藻</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卡尔文循环</w:t>
            </w:r>
          </w:p>
        </w:tc>
      </w:tr>
      <w:tr>
        <w:tblPrEx>
          <w:tblW w:w="0" w:type="auto"/>
          <w:tblInd w:w="0" w:type="dxa"/>
          <w:tblCellMar>
            <w:top w:w="120" w:type="dxa"/>
            <w:left w:w="120" w:type="dxa"/>
            <w:bottom w:w="120" w:type="dxa"/>
            <w:right w:w="120" w:type="dxa"/>
          </w:tblCellMar>
        </w:tblPrEx>
        <w:trPr>
          <w:trHeight w:val="33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B</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肺炎链球菌</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DNA</w:t>
            </w:r>
            <w:r>
              <w:rPr>
                <w:rFonts w:ascii="微软雅黑" w:eastAsia="微软雅黑" w:hAnsi="微软雅黑" w:cs="微软雅黑" w:hint="eastAsia"/>
                <w:color w:val="000000"/>
              </w:rPr>
              <w:t>半保留复制</w:t>
            </w:r>
          </w:p>
        </w:tc>
      </w:tr>
      <w:tr>
        <w:tblPrEx>
          <w:tblW w:w="0" w:type="auto"/>
          <w:tblInd w:w="0" w:type="dxa"/>
          <w:tblCellMar>
            <w:top w:w="120" w:type="dxa"/>
            <w:left w:w="120" w:type="dxa"/>
            <w:bottom w:w="120" w:type="dxa"/>
            <w:right w:w="120" w:type="dxa"/>
          </w:tblCellMar>
        </w:tblPrEx>
        <w:trPr>
          <w:trHeight w:val="33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C</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枪乌贼</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动作电位原理</w:t>
            </w:r>
          </w:p>
        </w:tc>
      </w:tr>
      <w:tr>
        <w:tblPrEx>
          <w:tblW w:w="0" w:type="auto"/>
          <w:tblInd w:w="0" w:type="dxa"/>
          <w:tblCellMar>
            <w:top w:w="120" w:type="dxa"/>
            <w:left w:w="120" w:type="dxa"/>
            <w:bottom w:w="120" w:type="dxa"/>
            <w:right w:w="120" w:type="dxa"/>
          </w:tblCellMar>
        </w:tblPrEx>
        <w:trPr>
          <w:trHeight w:val="33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D</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T2</w:t>
            </w:r>
            <w:r>
              <w:rPr>
                <w:rFonts w:ascii="微软雅黑" w:eastAsia="微软雅黑" w:hAnsi="微软雅黑" w:cs="微软雅黑" w:hint="eastAsia"/>
                <w:color w:val="000000"/>
              </w:rPr>
              <w:t>噬菌体</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DNA</w:t>
            </w:r>
            <w:r>
              <w:rPr>
                <w:rFonts w:ascii="微软雅黑" w:eastAsia="微软雅黑" w:hAnsi="微软雅黑" w:cs="微软雅黑" w:hint="eastAsia"/>
                <w:color w:val="000000"/>
              </w:rPr>
              <w:t>是遗传物质</w:t>
            </w:r>
          </w:p>
        </w:tc>
      </w:tr>
    </w:tbl>
    <w:p>
      <w:pPr>
        <w:spacing w:line="360" w:lineRule="auto"/>
        <w:jc w:val="both"/>
        <w:textAlignment w:val="center"/>
        <w:rPr>
          <w:rFonts w:ascii="微软雅黑" w:eastAsia="微软雅黑" w:hAnsi="微软雅黑" w:cs="微软雅黑" w:hint="eastAsia"/>
          <w:color w:val="000000"/>
        </w:rPr>
      </w:pPr>
    </w:p>
    <w:p>
      <w:pPr>
        <w:tabs>
          <w:tab w:val="left" w:pos="2436"/>
          <w:tab w:val="left" w:pos="4873"/>
          <w:tab w:val="left" w:pos="7309"/>
        </w:tabs>
        <w:spacing w:line="360" w:lineRule="auto"/>
        <w:jc w:val="left"/>
        <w:textAlignment w:val="center"/>
        <w:rPr>
          <w:rFonts w:ascii="微软雅黑" w:eastAsia="微软雅黑" w:hAnsi="微软雅黑" w:cs="微软雅黑" w:hint="eastAsia"/>
          <w:color w:val="000000"/>
        </w:rPr>
        <w:sectPr>
          <w:headerReference w:type="even" r:id="rId14"/>
          <w:footerReference w:type="even" r:id="rId15"/>
          <w:headerReference w:type="first" r:id="rId16"/>
          <w:footerReference w:type="first" r:id="rId17"/>
          <w:type w:val="nextPage"/>
          <w:pgSz w:w="11906" w:h="16838"/>
          <w:pgMar w:top="910" w:right="1080" w:bottom="1440" w:left="1080" w:header="152" w:footer="0" w:gutter="0"/>
          <w:pgNumType w:start="3"/>
          <w:cols w:num="1" w:space="720"/>
          <w:titlePg w:val="0"/>
          <w:docGrid w:type="lines" w:linePitch="312" w:charSpace="0"/>
        </w:sectPr>
      </w:pPr>
      <w:r>
        <w:rPr>
          <w:rFonts w:ascii="微软雅黑" w:eastAsia="微软雅黑" w:hAnsi="微软雅黑" w:cs="微软雅黑" w:hint="eastAsia"/>
          <w:color w:val="000000"/>
        </w:rPr>
        <w:t xml:space="preserve">A. </w:t>
      </w:r>
      <w:r>
        <w:rPr>
          <w:rFonts w:ascii="微软雅黑" w:eastAsia="微软雅黑" w:hAnsi="微软雅黑" w:cs="微软雅黑" w:hint="eastAsia"/>
          <w:color w:val="000000"/>
        </w:rPr>
        <w:t>A</w:t>
      </w:r>
      <w:r>
        <w:rPr>
          <w:rFonts w:ascii="微软雅黑" w:eastAsia="微软雅黑" w:hAnsi="微软雅黑" w:cs="微软雅黑" w:hint="eastAsia"/>
          <w:color w:val="000000"/>
        </w:rPr>
        <w:tab/>
      </w:r>
      <w:r>
        <w:rPr>
          <w:rFonts w:ascii="微软雅黑" w:eastAsia="微软雅黑" w:hAnsi="微软雅黑" w:cs="微软雅黑" w:hint="eastAsia"/>
          <w:color w:val="000000"/>
        </w:rPr>
        <w:t xml:space="preserve">B. </w:t>
      </w:r>
      <w:r>
        <w:rPr>
          <w:rFonts w:ascii="微软雅黑" w:eastAsia="微软雅黑" w:hAnsi="微软雅黑" w:cs="微软雅黑" w:hint="eastAsia"/>
          <w:color w:val="000000"/>
        </w:rPr>
        <w:t>B</w:t>
      </w:r>
      <w:r>
        <w:rPr>
          <w:rFonts w:ascii="微软雅黑" w:eastAsia="微软雅黑" w:hAnsi="微软雅黑" w:cs="微软雅黑" w:hint="eastAsia"/>
          <w:color w:val="000000"/>
        </w:rPr>
        <w:tab/>
      </w:r>
      <w:r>
        <w:rPr>
          <w:rFonts w:ascii="微软雅黑" w:eastAsia="微软雅黑" w:hAnsi="微软雅黑" w:cs="微软雅黑" w:hint="eastAsia"/>
          <w:color w:val="000000"/>
        </w:rPr>
        <w:t xml:space="preserve">C. </w:t>
      </w:r>
      <w:r>
        <w:rPr>
          <w:rFonts w:ascii="微软雅黑" w:eastAsia="微软雅黑" w:hAnsi="微软雅黑" w:cs="微软雅黑" w:hint="eastAsia"/>
          <w:color w:val="000000"/>
        </w:rPr>
        <w:t>C</w:t>
      </w:r>
      <w:r>
        <w:rPr>
          <w:rFonts w:ascii="微软雅黑" w:eastAsia="微软雅黑" w:hAnsi="微软雅黑" w:cs="微软雅黑" w:hint="eastAsia"/>
          <w:color w:val="000000"/>
        </w:rPr>
        <w:tab/>
      </w:r>
      <w:r>
        <w:rPr>
          <w:rFonts w:ascii="微软雅黑" w:eastAsia="微软雅黑" w:hAnsi="微软雅黑" w:cs="微软雅黑" w:hint="eastAsia"/>
          <w:color w:val="000000"/>
        </w:rPr>
        <w:t xml:space="preserve">D. </w:t>
      </w:r>
      <w:r>
        <w:rPr>
          <w:rFonts w:ascii="微软雅黑" w:eastAsia="微软雅黑" w:hAnsi="微软雅黑" w:cs="微软雅黑" w:hint="eastAsia"/>
          <w:color w:val="000000"/>
        </w:rPr>
        <w:t>D</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【答案】</w:t>
      </w:r>
      <w:r>
        <w:rPr>
          <w:rFonts w:ascii="微软雅黑" w:eastAsia="微软雅黑" w:hAnsi="微软雅黑" w:cs="微软雅黑" w:hint="eastAsia"/>
          <w:color w:val="000000"/>
        </w:rPr>
        <w:t>B</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【解析】</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【分析】</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、肺炎链球菌转化实验包括格里菲斯体内转化实验和艾弗里体外转化实验，其中格里菲斯体内转化实验证明S型细菌中存在某种“转化因子”，能将R型细菌转化为S型细菌；艾弗里体外转化实验证明DNA是遗传物质。</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2、T</w:t>
      </w:r>
      <w:r>
        <w:rPr>
          <w:rFonts w:ascii="微软雅黑" w:eastAsia="微软雅黑" w:hAnsi="微软雅黑" w:cs="微软雅黑" w:hint="eastAsia"/>
          <w:color w:val="000000"/>
          <w:vertAlign w:val="subscript"/>
        </w:rPr>
        <w:t>2</w:t>
      </w:r>
      <w:r>
        <w:rPr>
          <w:rFonts w:ascii="微软雅黑" w:eastAsia="微软雅黑" w:hAnsi="微软雅黑" w:cs="微软雅黑" w:hint="eastAsia"/>
          <w:color w:val="000000"/>
        </w:rPr>
        <w:t>噬菌体侵染细菌的实验步骤：分别用</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vertAlign w:val="superscript"/>
        </w:rPr>
        <w:t>5</w:t>
      </w:r>
      <w:r>
        <w:rPr>
          <w:rFonts w:ascii="微软雅黑" w:eastAsia="微软雅黑" w:hAnsi="微软雅黑" w:cs="微软雅黑" w:hint="eastAsia"/>
          <w:color w:val="000000"/>
        </w:rPr>
        <w:t>S或</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vertAlign w:val="superscript"/>
        </w:rPr>
        <w:t>2</w:t>
      </w:r>
      <w:r>
        <w:rPr>
          <w:rFonts w:ascii="微软雅黑" w:eastAsia="微软雅黑" w:hAnsi="微软雅黑" w:cs="微软雅黑" w:hint="eastAsia"/>
          <w:color w:val="000000"/>
        </w:rPr>
        <w:t>P标记噬菌体→噬菌体与大肠杆菌混合培养→噬菌体侵染未被标记的细菌→在搅拌器中搅拌，然后离心，检测上清液和沉淀物中的放射性物质。该实验证明DNA是遗传物质。</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【详解】A、科学家利用小球藻、运用同位素标记法研究卡尔文循环，A正确；</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B、科学家通过培养大肠杆菌，探究DNA半保留复制方式，运用了同位素示踪法和密度梯度离心法，B错误；</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C、科学家以枪乌贼离体粗大的神经纤维为实验材料，研究动作电位原理，C正确；</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D、赫尔希和蔡斯利用放射性同位素标记法分别用</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vertAlign w:val="superscript"/>
        </w:rPr>
        <w:t>5</w:t>
      </w:r>
      <w:r>
        <w:rPr>
          <w:rFonts w:ascii="微软雅黑" w:eastAsia="微软雅黑" w:hAnsi="微软雅黑" w:cs="微软雅黑" w:hint="eastAsia"/>
          <w:color w:val="000000"/>
        </w:rPr>
        <w:t>S或</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vertAlign w:val="superscript"/>
        </w:rPr>
        <w:t>2</w:t>
      </w:r>
      <w:r>
        <w:rPr>
          <w:rFonts w:ascii="微软雅黑" w:eastAsia="微软雅黑" w:hAnsi="微软雅黑" w:cs="微软雅黑" w:hint="eastAsia"/>
          <w:color w:val="000000"/>
        </w:rPr>
        <w:t>P标记的噬菌体进行噬菌体侵染细菌的实验，证明DNA是遗传物质，D正确。</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故选B。</w:t>
      </w:r>
    </w:p>
    <w:p>
      <w:pPr>
        <w:spacing w:line="360" w:lineRule="auto"/>
        <w:jc w:val="both"/>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5. </w:t>
      </w:r>
      <w:r>
        <w:rPr>
          <w:rFonts w:ascii="微软雅黑" w:eastAsia="微软雅黑" w:hAnsi="微软雅黑" w:cs="微软雅黑" w:hint="eastAsia"/>
          <w:color w:val="000000"/>
        </w:rPr>
        <w:t>下列关于神经系统结构和功能的叙述，正确的是（</w:t>
      </w: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rPr>
        <w:t>）</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A. </w:t>
      </w:r>
      <w:r>
        <w:rPr>
          <w:rFonts w:ascii="微软雅黑" w:eastAsia="微软雅黑" w:hAnsi="微软雅黑" w:cs="微软雅黑" w:hint="eastAsia"/>
          <w:color w:val="000000"/>
        </w:rPr>
        <w:t>大脑皮层</w:t>
      </w:r>
      <w:r>
        <w:rPr>
          <w:rFonts w:ascii="微软雅黑" w:eastAsia="微软雅黑" w:hAnsi="微软雅黑" w:cs="微软雅黑" w:hint="eastAsia"/>
          <w:color w:val="000000"/>
        </w:rPr>
        <w:t>H</w:t>
      </w:r>
      <w:r>
        <w:rPr>
          <w:rFonts w:ascii="微软雅黑" w:eastAsia="微软雅黑" w:hAnsi="微软雅黑" w:cs="微软雅黑" w:hint="eastAsia"/>
          <w:color w:val="000000"/>
        </w:rPr>
        <w:t>区病变的人，不能看懂文字</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B. </w:t>
      </w:r>
      <w:r>
        <w:rPr>
          <w:rFonts w:ascii="微软雅黑" w:eastAsia="微软雅黑" w:hAnsi="微软雅黑" w:cs="微软雅黑" w:hint="eastAsia"/>
          <w:color w:val="000000"/>
        </w:rPr>
        <w:t>手的运动受大脑皮层中央前回下部的调控</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C. </w:t>
      </w:r>
      <w:r>
        <w:rPr>
          <w:rFonts w:ascii="微软雅黑" w:eastAsia="微软雅黑" w:hAnsi="微软雅黑" w:cs="微软雅黑" w:hint="eastAsia"/>
          <w:color w:val="000000"/>
        </w:rPr>
        <w:t>条件反射</w:t>
      </w:r>
      <w:r>
        <w:rPr>
          <w:rFonts w:ascii="微软雅黑" w:eastAsia="微软雅黑" w:hAnsi="微软雅黑" w:cs="微软雅黑" w:hint="eastAsia"/>
          <w:color w:val="000000"/>
          <w:position w:val="0"/>
        </w:rPr>
        <w:drawing>
          <wp:inline distT="0" distB="0" distL="114300" distR="114300">
            <wp:extent cx="133350" cy="177800"/>
            <wp:effectExtent l="0" t="0" r="0" b="13335"/>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xmlns:r="http://schemas.openxmlformats.org/officeDocument/2006/relationships" r:embed="rId18"/>
                    <a:stretch>
                      <a:fillRect/>
                    </a:stretch>
                  </pic:blipFill>
                  <pic:spPr>
                    <a:xfrm>
                      <a:off x="0" y="0"/>
                      <a:ext cx="133350" cy="177800"/>
                    </a:xfrm>
                    <a:prstGeom prst="rect">
                      <a:avLst/>
                    </a:prstGeom>
                  </pic:spPr>
                </pic:pic>
              </a:graphicData>
            </a:graphic>
          </wp:inline>
        </w:drawing>
      </w:r>
      <w:r>
        <w:rPr>
          <w:rFonts w:ascii="微软雅黑" w:eastAsia="微软雅黑" w:hAnsi="微软雅黑" w:cs="微软雅黑" w:hint="eastAsia"/>
          <w:color w:val="000000"/>
        </w:rPr>
        <w:t>消退不需要大脑皮层的参与</w:t>
      </w:r>
    </w:p>
    <w:p>
      <w:pPr>
        <w:spacing w:line="360" w:lineRule="auto"/>
        <w:jc w:val="left"/>
        <w:textAlignment w:val="center"/>
        <w:rPr>
          <w:rFonts w:ascii="微软雅黑" w:eastAsia="微软雅黑" w:hAnsi="微软雅黑" w:cs="微软雅黑" w:hint="eastAsia"/>
          <w:color w:val="000000"/>
        </w:rPr>
        <w:sectPr>
          <w:headerReference w:type="even" r:id="rId19"/>
          <w:footerReference w:type="even" r:id="rId20"/>
          <w:headerReference w:type="first" r:id="rId21"/>
          <w:footerReference w:type="first" r:id="rId22"/>
          <w:type w:val="nextPage"/>
          <w:pgSz w:w="11906" w:h="16838"/>
          <w:pgMar w:top="910" w:right="1080" w:bottom="1440" w:left="1080" w:header="152" w:footer="0" w:gutter="0"/>
          <w:pgNumType w:start="4"/>
          <w:cols w:num="1" w:space="720"/>
          <w:titlePg w:val="0"/>
          <w:docGrid w:type="lines" w:linePitch="312" w:charSpace="0"/>
        </w:sectPr>
      </w:pPr>
      <w:r>
        <w:rPr>
          <w:rFonts w:ascii="微软雅黑" w:eastAsia="微软雅黑" w:hAnsi="微软雅黑" w:cs="微软雅黑" w:hint="eastAsia"/>
          <w:color w:val="000000"/>
        </w:rPr>
        <w:t xml:space="preserve">D. </w:t>
      </w:r>
      <w:r>
        <w:rPr>
          <w:rFonts w:ascii="微软雅黑" w:eastAsia="微软雅黑" w:hAnsi="微软雅黑" w:cs="微软雅黑" w:hint="eastAsia"/>
          <w:color w:val="000000"/>
        </w:rPr>
        <w:t>紧张、焦虑等可能抑制成人脑中的神经发生</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【答案】</w:t>
      </w:r>
      <w:r>
        <w:rPr>
          <w:rFonts w:ascii="微软雅黑" w:eastAsia="微软雅黑" w:hAnsi="微软雅黑" w:cs="微软雅黑" w:hint="eastAsia"/>
          <w:color w:val="000000"/>
        </w:rPr>
        <w:t>D</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【解析】</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【分析】位于大脑表层的大脑皮层，是整个神经系统中最高级的部位。它能对外部世界的感知以及控制机体的反射活动外，还具有语言、学习、记忆和思维等方面的高级功能。</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【详解】A、大脑皮层H区病变的人，听不懂讲话，A错误；</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B、刺激大脑皮层中央前回的顶部，可以引起下肢的运动；刺激中央前回的下部，会引起头部器官的运动；刺激中央前回的其他部位，会引起其他相应器官的运动，B错误；</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C、条件反射是在大脑皮层的参与下完成的，条件反射是条件刺激与非条件刺激反复多次结合的结果，缺少了条件刺激条件反射会消退，因此条件反射的消退需要大脑皮层的参与，C错误；</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D、紧张、焦虑可能会引起突触间隙神经递质的含量减少，所以紧张、焦虑等可能抑制成人脑中的神经发生，D正确。</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故选D。</w:t>
      </w:r>
    </w:p>
    <w:p>
      <w:pPr>
        <w:spacing w:line="360" w:lineRule="auto"/>
        <w:jc w:val="both"/>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6. </w:t>
      </w:r>
      <w:r>
        <w:rPr>
          <w:rFonts w:ascii="微软雅黑" w:eastAsia="微软雅黑" w:hAnsi="微软雅黑" w:cs="微软雅黑" w:hint="eastAsia"/>
          <w:color w:val="000000"/>
        </w:rPr>
        <w:t>为研究中医名方</w:t>
      </w:r>
      <w:r>
        <w:rPr>
          <w:rFonts w:ascii="微软雅黑" w:eastAsia="微软雅黑" w:hAnsi="微软雅黑" w:cs="微软雅黑" w:hint="eastAsia"/>
          <w:color w:val="000000"/>
        </w:rPr>
        <w:t>—</w:t>
      </w:r>
      <w:r>
        <w:rPr>
          <w:rFonts w:ascii="微软雅黑" w:eastAsia="微软雅黑" w:hAnsi="微软雅黑" w:cs="微软雅黑" w:hint="eastAsia"/>
          <w:color w:val="000000"/>
        </w:rPr>
        <w:t>柴胡疏肝散对功能性消化不良大鼠胃排空（胃内容物进入小肠）的作用，科研人员设置</w:t>
      </w:r>
      <w:r>
        <w:rPr>
          <w:rFonts w:ascii="微软雅黑" w:eastAsia="微软雅黑" w:hAnsi="微软雅黑" w:cs="微软雅黑" w:hint="eastAsia"/>
          <w:color w:val="000000"/>
        </w:rPr>
        <w:t>4</w:t>
      </w:r>
      <w:r>
        <w:rPr>
          <w:rFonts w:ascii="微软雅黑" w:eastAsia="微软雅黑" w:hAnsi="微软雅黑" w:cs="微软雅黑" w:hint="eastAsia"/>
          <w:color w:val="000000"/>
        </w:rPr>
        <w:t>组实验，测得大鼠胃排空率见下表。下列叙述错误的是（</w:t>
      </w: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rPr>
        <w:t>）</w:t>
      </w:r>
    </w:p>
    <w:tbl>
      <w:tblPr>
        <w:tblStyle w:val="TableNormal"/>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1500"/>
        <w:gridCol w:w="2286"/>
        <w:gridCol w:w="1687"/>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trHeight w:val="33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组别</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状态</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胃排空率（</w:t>
            </w:r>
            <w:r>
              <w:rPr>
                <w:rFonts w:ascii="微软雅黑" w:eastAsia="微软雅黑" w:hAnsi="微软雅黑" w:cs="微软雅黑" w:hint="eastAsia"/>
                <w:color w:val="000000"/>
              </w:rPr>
              <w:t>%</w:t>
            </w:r>
            <w:r>
              <w:rPr>
                <w:rFonts w:ascii="微软雅黑" w:eastAsia="微软雅黑" w:hAnsi="微软雅黑" w:cs="微软雅黑" w:hint="eastAsia"/>
                <w:color w:val="000000"/>
              </w:rPr>
              <w:t>）</w:t>
            </w:r>
          </w:p>
        </w:tc>
      </w:tr>
      <w:tr>
        <w:tblPrEx>
          <w:tblW w:w="0" w:type="auto"/>
          <w:tblInd w:w="0" w:type="dxa"/>
          <w:tblCellMar>
            <w:top w:w="120" w:type="dxa"/>
            <w:left w:w="120" w:type="dxa"/>
            <w:bottom w:w="120" w:type="dxa"/>
            <w:right w:w="120" w:type="dxa"/>
          </w:tblCellMar>
        </w:tblPrEx>
        <w:trPr>
          <w:trHeight w:val="33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正常组</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健康大鼠</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55.80</w:t>
            </w:r>
          </w:p>
        </w:tc>
      </w:tr>
      <w:tr>
        <w:tblPrEx>
          <w:tblW w:w="0" w:type="auto"/>
          <w:tblInd w:w="0" w:type="dxa"/>
          <w:tblCellMar>
            <w:top w:w="120" w:type="dxa"/>
            <w:left w:w="120" w:type="dxa"/>
            <w:bottom w:w="120" w:type="dxa"/>
            <w:right w:w="120" w:type="dxa"/>
          </w:tblCellMar>
        </w:tblPrEx>
        <w:trPr>
          <w:trHeight w:val="33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模型组</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患病大鼠未给药</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rFonts w:ascii="微软雅黑" w:eastAsia="微软雅黑" w:hAnsi="微软雅黑" w:cs="微软雅黑" w:hint="eastAsia"/>
                <w:color w:val="000000"/>
              </w:rPr>
            </w:pPr>
          </w:p>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8.65</w:t>
            </w:r>
          </w:p>
        </w:tc>
      </w:tr>
      <w:tr>
        <w:tblPrEx>
          <w:tblW w:w="0" w:type="auto"/>
          <w:tblInd w:w="0" w:type="dxa"/>
          <w:tblCellMar>
            <w:top w:w="120" w:type="dxa"/>
            <w:left w:w="120" w:type="dxa"/>
            <w:bottom w:w="120" w:type="dxa"/>
            <w:right w:w="120" w:type="dxa"/>
          </w:tblCellMar>
        </w:tblPrEx>
        <w:trPr>
          <w:trHeight w:val="33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柴胡疏肝散组</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患病大鼠</w:t>
            </w:r>
            <w:r>
              <w:rPr>
                <w:rFonts w:ascii="微软雅黑" w:eastAsia="微软雅黑" w:hAnsi="微软雅黑" w:cs="微软雅黑" w:hint="eastAsia"/>
                <w:color w:val="000000"/>
              </w:rPr>
              <w:t>+</w:t>
            </w:r>
            <w:r>
              <w:rPr>
                <w:rFonts w:ascii="微软雅黑" w:eastAsia="微软雅黑" w:hAnsi="微软雅黑" w:cs="微软雅黑" w:hint="eastAsia"/>
                <w:color w:val="000000"/>
              </w:rPr>
              <w:t>柴胡疏肝散</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5</w:t>
            </w:r>
          </w:p>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w:t>
            </w:r>
          </w:p>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2</w:t>
            </w:r>
          </w:p>
        </w:tc>
      </w:tr>
    </w:tbl>
    <w:p>
      <w:pPr>
        <w:sectPr>
          <w:headerReference w:type="even" r:id="rId23"/>
          <w:footerReference w:type="even" r:id="rId24"/>
          <w:headerReference w:type="first" r:id="rId25"/>
          <w:footerReference w:type="first" r:id="rId26"/>
          <w:type w:val="nextPage"/>
          <w:pgSz w:w="11906" w:h="16838"/>
          <w:pgMar w:top="910" w:right="1080" w:bottom="1440" w:left="1080" w:header="152" w:footer="0" w:gutter="0"/>
          <w:pgNumType w:start="5"/>
          <w:cols w:num="1" w:space="720"/>
          <w:titlePg w:val="0"/>
          <w:docGrid w:type="lines" w:linePitch="312" w:charSpace="0"/>
        </w:sectPr>
      </w:pPr>
    </w:p>
    <w:tbl>
      <w:tblPr>
        <w:tblStyle w:val="TableNormal"/>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1500"/>
        <w:gridCol w:w="2286"/>
        <w:gridCol w:w="1687"/>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trHeight w:val="33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药物</w:t>
            </w:r>
            <w:r>
              <w:rPr>
                <w:rFonts w:ascii="微软雅黑" w:eastAsia="微软雅黑" w:hAnsi="微软雅黑" w:cs="微软雅黑" w:hint="eastAsia"/>
                <w:color w:val="000000"/>
              </w:rPr>
              <w:t>A</w:t>
            </w:r>
            <w:r>
              <w:rPr>
                <w:rFonts w:ascii="微软雅黑" w:eastAsia="微软雅黑" w:hAnsi="微软雅黑" w:cs="微软雅黑" w:hint="eastAsia"/>
                <w:color w:val="000000"/>
              </w:rPr>
              <w:t>组</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患病大鼠</w:t>
            </w:r>
            <w:r>
              <w:rPr>
                <w:rFonts w:ascii="微软雅黑" w:eastAsia="微软雅黑" w:hAnsi="微软雅黑" w:cs="微软雅黑" w:hint="eastAsia"/>
                <w:color w:val="000000"/>
              </w:rPr>
              <w:t>+</w:t>
            </w:r>
            <w:r>
              <w:rPr>
                <w:rFonts w:ascii="微软雅黑" w:eastAsia="微软雅黑" w:hAnsi="微软雅黑" w:cs="微软雅黑" w:hint="eastAsia"/>
                <w:color w:val="000000"/>
              </w:rPr>
              <w:t>药物</w:t>
            </w:r>
            <w:r>
              <w:rPr>
                <w:rFonts w:ascii="微软雅黑" w:eastAsia="微软雅黑" w:hAnsi="微软雅黑" w:cs="微软雅黑" w:hint="eastAsia"/>
                <w:color w:val="000000"/>
              </w:rPr>
              <w:t>A</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49.92</w:t>
            </w:r>
          </w:p>
        </w:tc>
      </w:tr>
    </w:tbl>
    <w:p>
      <w:pPr>
        <w:spacing w:line="360" w:lineRule="auto"/>
        <w:jc w:val="both"/>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注：药物</w:t>
      </w:r>
      <w:r>
        <w:rPr>
          <w:rFonts w:ascii="微软雅黑" w:eastAsia="微软雅黑" w:hAnsi="微软雅黑" w:cs="微软雅黑" w:hint="eastAsia"/>
          <w:color w:val="000000"/>
        </w:rPr>
        <w:t>A</w:t>
      </w:r>
      <w:r>
        <w:rPr>
          <w:rFonts w:ascii="微软雅黑" w:eastAsia="微软雅黑" w:hAnsi="微软雅黑" w:cs="微软雅黑" w:hint="eastAsia"/>
          <w:color w:val="000000"/>
        </w:rPr>
        <w:t>为治疗功能性消化不良的常用药物</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A. </w:t>
      </w:r>
      <w:r>
        <w:rPr>
          <w:rFonts w:ascii="微软雅黑" w:eastAsia="微软雅黑" w:hAnsi="微软雅黑" w:cs="微软雅黑" w:hint="eastAsia"/>
          <w:color w:val="000000"/>
        </w:rPr>
        <w:t>与正常组相比，模型组大鼠胃排空率明显降低</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B. </w:t>
      </w:r>
      <w:r>
        <w:rPr>
          <w:rFonts w:ascii="微软雅黑" w:eastAsia="微软雅黑" w:hAnsi="微软雅黑" w:cs="微软雅黑" w:hint="eastAsia"/>
          <w:color w:val="000000"/>
        </w:rPr>
        <w:t>正常组能对比反映出给药组大鼠恢复胃排空的程度</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C. </w:t>
      </w:r>
      <w:r>
        <w:rPr>
          <w:rFonts w:ascii="微软雅黑" w:eastAsia="微软雅黑" w:hAnsi="微软雅黑" w:cs="微软雅黑" w:hint="eastAsia"/>
          <w:color w:val="000000"/>
        </w:rPr>
        <w:t>与正常组相比，柴胡疏肝散具有促进胃排空的作用</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D. </w:t>
      </w:r>
      <w:r>
        <w:rPr>
          <w:rFonts w:ascii="微软雅黑" w:eastAsia="微软雅黑" w:hAnsi="微软雅黑" w:cs="微软雅黑" w:hint="eastAsia"/>
          <w:color w:val="000000"/>
        </w:rPr>
        <w:t>柴胡疏肝散与药物</w:t>
      </w:r>
      <w:r>
        <w:rPr>
          <w:rFonts w:ascii="微软雅黑" w:eastAsia="微软雅黑" w:hAnsi="微软雅黑" w:cs="微软雅黑" w:hint="eastAsia"/>
          <w:color w:val="000000"/>
        </w:rPr>
        <w:t>A</w:t>
      </w:r>
      <w:r>
        <w:rPr>
          <w:rFonts w:ascii="微软雅黑" w:eastAsia="微软雅黑" w:hAnsi="微软雅黑" w:cs="微软雅黑" w:hint="eastAsia"/>
          <w:color w:val="000000"/>
        </w:rPr>
        <w:t>对患病大鼠促进胃排空的效果相似</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【答案】</w:t>
      </w:r>
      <w:r>
        <w:rPr>
          <w:rFonts w:ascii="微软雅黑" w:eastAsia="微软雅黑" w:hAnsi="微软雅黑" w:cs="微软雅黑" w:hint="eastAsia"/>
          <w:color w:val="000000"/>
        </w:rPr>
        <w:t>C</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【解析】</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【分析】对照是实验所控制的手段之一，目的在于消除无关变量对实验结果的影响，增强实验结果的可信度。</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【详解】A、由表可知，正常组胃排空率为55.80%，模型组胃排空率为</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8.65%，与正常组相比，模型组大鼠胃排空率明显降低，A正确；</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B、正常组为对照组，将给药之后的胃排空率和正常组比较，能反映出给药组大鼠恢复胃排空的程度，B正确；</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C、由表可知，正常组胃排空率为55.80%，柴胡疏肝散组胃排空率为5</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2%，正常组胃排空率更高，所以与正常组相比不能表明柴胡疏肝散具有促进胃排空的作用，C错误；</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D、由表可知，柴胡疏肝散组与药物A组的胃排空率相似，且均比模型组胃排空率高，柴胡疏肝散与药物A对患病大鼠促进胃排空的效果相似，D正确。</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故选C。</w:t>
      </w:r>
    </w:p>
    <w:p>
      <w:pPr>
        <w:spacing w:line="360" w:lineRule="auto"/>
        <w:jc w:val="both"/>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7. </w:t>
      </w:r>
      <w:r>
        <w:rPr>
          <w:rFonts w:ascii="微软雅黑" w:eastAsia="微软雅黑" w:hAnsi="微软雅黑" w:cs="微软雅黑" w:hint="eastAsia"/>
          <w:color w:val="000000"/>
        </w:rPr>
        <w:t>下列关于人体免疫系统功能的叙述，错误的是（</w:t>
      </w: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rPr>
        <w:t>）</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A. </w:t>
      </w:r>
      <w:r>
        <w:rPr>
          <w:rFonts w:ascii="微软雅黑" w:eastAsia="微软雅黑" w:hAnsi="微软雅黑" w:cs="微软雅黑" w:hint="eastAsia"/>
          <w:color w:val="000000"/>
        </w:rPr>
        <w:t>抗体能消灭细胞外液中的病原体，细胞毒性</w:t>
      </w:r>
      <w:r>
        <w:rPr>
          <w:rFonts w:ascii="微软雅黑" w:eastAsia="微软雅黑" w:hAnsi="微软雅黑" w:cs="微软雅黑" w:hint="eastAsia"/>
          <w:color w:val="000000"/>
        </w:rPr>
        <w:t>T</w:t>
      </w:r>
      <w:r>
        <w:rPr>
          <w:rFonts w:ascii="微软雅黑" w:eastAsia="微软雅黑" w:hAnsi="微软雅黑" w:cs="微软雅黑" w:hint="eastAsia"/>
          <w:color w:val="000000"/>
        </w:rPr>
        <w:t>细胞能消灭侵入细胞内的病原体</w:t>
      </w:r>
    </w:p>
    <w:p>
      <w:pPr>
        <w:spacing w:line="360" w:lineRule="auto"/>
        <w:jc w:val="left"/>
        <w:textAlignment w:val="center"/>
        <w:rPr>
          <w:rFonts w:ascii="微软雅黑" w:eastAsia="微软雅黑" w:hAnsi="微软雅黑" w:cs="微软雅黑" w:hint="eastAsia"/>
          <w:color w:val="000000"/>
        </w:rPr>
        <w:sectPr>
          <w:headerReference w:type="even" r:id="rId27"/>
          <w:footerReference w:type="even" r:id="rId28"/>
          <w:headerReference w:type="first" r:id="rId29"/>
          <w:footerReference w:type="first" r:id="rId30"/>
          <w:type w:val="nextPage"/>
          <w:pgSz w:w="11906" w:h="16838"/>
          <w:pgMar w:top="910" w:right="1080" w:bottom="1440" w:left="1080" w:header="152" w:footer="0" w:gutter="0"/>
          <w:pgNumType w:start="6"/>
          <w:cols w:num="1" w:space="720"/>
          <w:titlePg w:val="0"/>
          <w:docGrid w:type="lines" w:linePitch="312" w:charSpace="0"/>
        </w:sectPr>
      </w:pPr>
      <w:r>
        <w:rPr>
          <w:rFonts w:ascii="微软雅黑" w:eastAsia="微软雅黑" w:hAnsi="微软雅黑" w:cs="微软雅黑" w:hint="eastAsia"/>
          <w:color w:val="000000"/>
        </w:rPr>
        <w:t xml:space="preserve">B. </w:t>
      </w:r>
      <w:r>
        <w:rPr>
          <w:rFonts w:ascii="微软雅黑" w:eastAsia="微软雅黑" w:hAnsi="微软雅黑" w:cs="微软雅黑" w:hint="eastAsia"/>
          <w:color w:val="000000"/>
        </w:rPr>
        <w:t>首次感染新的病原体时，</w:t>
      </w:r>
      <w:r>
        <w:rPr>
          <w:rFonts w:ascii="微软雅黑" w:eastAsia="微软雅黑" w:hAnsi="微软雅黑" w:cs="微软雅黑" w:hint="eastAsia"/>
          <w:color w:val="000000"/>
        </w:rPr>
        <w:t>B</w:t>
      </w:r>
      <w:r>
        <w:rPr>
          <w:rFonts w:ascii="微软雅黑" w:eastAsia="微软雅黑" w:hAnsi="微软雅黑" w:cs="微软雅黑" w:hint="eastAsia"/>
          <w:color w:val="000000"/>
        </w:rPr>
        <w:t>细胞在辅助性</w:t>
      </w:r>
      <w:r>
        <w:rPr>
          <w:rFonts w:ascii="微软雅黑" w:eastAsia="微软雅黑" w:hAnsi="微软雅黑" w:cs="微软雅黑" w:hint="eastAsia"/>
          <w:color w:val="000000"/>
        </w:rPr>
        <w:t>T</w:t>
      </w:r>
      <w:r>
        <w:rPr>
          <w:rFonts w:ascii="微软雅黑" w:eastAsia="微软雅黑" w:hAnsi="微软雅黑" w:cs="微软雅黑" w:hint="eastAsia"/>
          <w:color w:val="000000"/>
        </w:rPr>
        <w:t>细胞的辅助下才能被活化</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C. </w:t>
      </w:r>
      <w:r>
        <w:rPr>
          <w:rFonts w:ascii="微软雅黑" w:eastAsia="微软雅黑" w:hAnsi="微软雅黑" w:cs="微软雅黑" w:hint="eastAsia"/>
          <w:color w:val="000000"/>
        </w:rPr>
        <w:t>若免疫监视功能低下，机体会有持续的病毒感染或肿瘤发生</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D. </w:t>
      </w:r>
      <w:r>
        <w:rPr>
          <w:rFonts w:ascii="微软雅黑" w:eastAsia="微软雅黑" w:hAnsi="微软雅黑" w:cs="微软雅黑" w:hint="eastAsia"/>
          <w:color w:val="000000"/>
        </w:rPr>
        <w:t>“预防”胜于“治疗”，保持机体正常的免疫功能对抵抗疾病非常重要</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【答案】</w:t>
      </w:r>
      <w:r>
        <w:rPr>
          <w:rFonts w:ascii="微软雅黑" w:eastAsia="微软雅黑" w:hAnsi="微软雅黑" w:cs="微软雅黑" w:hint="eastAsia"/>
          <w:color w:val="000000"/>
        </w:rPr>
        <w:t>A</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【解析】</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【分析】免疫是指人体的一种生理功能，人体依靠这种功能来识别自己和非己成分，从而破坏和排斥进入体内的抗原物质，或人体本身产生的损伤细胞和肿瘤细胞等，以维持人体内部环境的平衡和稳定。</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【详解】A、体液免疫中浆细胞产生抗体，消灭细胞外液中</w:t>
      </w:r>
      <w:r>
        <w:rPr>
          <w:rFonts w:ascii="微软雅黑" w:eastAsia="微软雅黑" w:hAnsi="微软雅黑" w:cs="微软雅黑" w:hint="eastAsia"/>
          <w:color w:val="000000"/>
          <w:position w:val="0"/>
        </w:rPr>
        <w:drawing>
          <wp:inline distT="0" distB="0" distL="114300" distR="114300">
            <wp:extent cx="133350" cy="177800"/>
            <wp:effectExtent l="0" t="0" r="0" b="13335"/>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xmlns:r="http://schemas.openxmlformats.org/officeDocument/2006/relationships" r:embed="rId18"/>
                    <a:stretch>
                      <a:fillRect/>
                    </a:stretch>
                  </pic:blipFill>
                  <pic:spPr>
                    <a:xfrm>
                      <a:off x="0" y="0"/>
                      <a:ext cx="133350" cy="177800"/>
                    </a:xfrm>
                    <a:prstGeom prst="rect">
                      <a:avLst/>
                    </a:prstGeom>
                  </pic:spPr>
                </pic:pic>
              </a:graphicData>
            </a:graphic>
          </wp:inline>
        </w:drawing>
      </w:r>
      <w:r>
        <w:rPr>
          <w:rFonts w:ascii="微软雅黑" w:eastAsia="微软雅黑" w:hAnsi="微软雅黑" w:cs="微软雅黑" w:hint="eastAsia"/>
          <w:color w:val="000000"/>
        </w:rPr>
        <w:t>病原体；细胞毒性T细胞与靶细胞密切接触，使靶细胞裂解死亡，使侵入细胞内的病原体释放出来，再被抗体消灭，A错误；</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B、首次感染新的病原体时，B细胞活化需要两个信号的刺激，一些病原体可以和B细胞接触，为激活B细胞提供第一个信号，辅助性T细胞表面特定分子发生变化并与B细胞结合，这是激活B细胞的第二个信号，且需要辅助性T细胞分泌的细胞因子的作用，B正确；</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C、免疫监视是指监视、识别和清除体内产生的异常细胞的功能，免疫监视功能低下时，机体会有肿瘤发生或持续的病毒感染，C正确；</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D、人体的免疫功能包括防御感染、自我稳定、免疫监视，故“预防”胜于“治疗”，保持机体正常的免疫功能对抵抗疾病非常重要，D正确。</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故选A。</w:t>
      </w:r>
    </w:p>
    <w:p>
      <w:pPr>
        <w:spacing w:line="360" w:lineRule="auto"/>
        <w:jc w:val="both"/>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8. </w:t>
      </w:r>
      <w:r>
        <w:rPr>
          <w:rFonts w:ascii="微软雅黑" w:eastAsia="微软雅黑" w:hAnsi="微软雅黑" w:cs="微软雅黑" w:hint="eastAsia"/>
          <w:color w:val="000000"/>
        </w:rPr>
        <w:t>二甲基亚砜（</w:t>
      </w:r>
      <w:r>
        <w:rPr>
          <w:rFonts w:ascii="微软雅黑" w:eastAsia="微软雅黑" w:hAnsi="微软雅黑" w:cs="微软雅黑" w:hint="eastAsia"/>
          <w:color w:val="000000"/>
        </w:rPr>
        <w:t>DMSO</w:t>
      </w:r>
      <w:r>
        <w:rPr>
          <w:rFonts w:ascii="微软雅黑" w:eastAsia="微软雅黑" w:hAnsi="微软雅黑" w:cs="微软雅黑" w:hint="eastAsia"/>
          <w:color w:val="000000"/>
        </w:rPr>
        <w:t>）易与水分子结合，常用作细胞冻存的渗透性保护剂。干细胞冻存复苏后指标检测结果见下表。下列叙述错误的是（</w:t>
      </w: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rPr>
        <w:t>）</w:t>
      </w:r>
    </w:p>
    <w:tbl>
      <w:tblPr>
        <w:tblStyle w:val="TableNormal"/>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2317"/>
        <w:gridCol w:w="2104"/>
        <w:gridCol w:w="2679"/>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trHeight w:val="33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righ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冻存剂</w:t>
            </w:r>
            <w:r>
              <w:rPr>
                <w:rFonts w:ascii="微软雅黑" w:eastAsia="微软雅黑" w:hAnsi="微软雅黑" w:cs="微软雅黑" w:hint="eastAsia"/>
                <w:color w:val="000000"/>
              </w:rPr>
              <w:t xml:space="preserve"> </w:t>
            </w:r>
          </w:p>
          <w:p>
            <w:pPr>
              <w:spacing w:line="360" w:lineRule="auto"/>
              <w:jc w:val="both"/>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指标</w:t>
            </w:r>
            <w:r>
              <w:rPr>
                <w:rFonts w:ascii="微软雅黑" w:eastAsia="微软雅黑" w:hAnsi="微软雅黑" w:cs="微软雅黑" w:hint="eastAsia"/>
                <w:color w:val="000000"/>
              </w:rPr>
              <w:t xml:space="preserve">                                  </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合成培养基</w:t>
            </w:r>
            <w:r>
              <w:rPr>
                <w:rFonts w:ascii="微软雅黑" w:eastAsia="微软雅黑" w:hAnsi="微软雅黑" w:cs="微软雅黑" w:hint="eastAsia"/>
                <w:color w:val="000000"/>
              </w:rPr>
              <w:t>+DMSO</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合成培养基</w:t>
            </w:r>
            <w:r>
              <w:rPr>
                <w:rFonts w:ascii="微软雅黑" w:eastAsia="微软雅黑" w:hAnsi="微软雅黑" w:cs="微软雅黑" w:hint="eastAsia"/>
                <w:color w:val="000000"/>
              </w:rPr>
              <w:t>+DMSO+</w:t>
            </w:r>
            <w:r>
              <w:rPr>
                <w:rFonts w:ascii="微软雅黑" w:eastAsia="微软雅黑" w:hAnsi="微软雅黑" w:cs="微软雅黑" w:hint="eastAsia"/>
                <w:color w:val="000000"/>
              </w:rPr>
              <w:t>血清</w:t>
            </w:r>
          </w:p>
        </w:tc>
      </w:tr>
      <w:tr>
        <w:tblPrEx>
          <w:tblW w:w="0" w:type="auto"/>
          <w:tblInd w:w="0" w:type="dxa"/>
          <w:tblCellMar>
            <w:top w:w="120" w:type="dxa"/>
            <w:left w:w="120" w:type="dxa"/>
            <w:bottom w:w="120" w:type="dxa"/>
            <w:right w:w="120" w:type="dxa"/>
          </w:tblCellMar>
        </w:tblPrEx>
        <w:trPr>
          <w:trHeight w:val="33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G</w:t>
            </w:r>
          </w:p>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期细胞数百分比（</w:t>
            </w:r>
            <w:r>
              <w:rPr>
                <w:rFonts w:ascii="微软雅黑" w:eastAsia="微软雅黑" w:hAnsi="微软雅黑" w:cs="微软雅黑" w:hint="eastAsia"/>
                <w:color w:val="000000"/>
              </w:rPr>
              <w:t>%</w:t>
            </w:r>
            <w:r>
              <w:rPr>
                <w:rFonts w:ascii="微软雅黑" w:eastAsia="微软雅黑" w:hAnsi="微软雅黑" w:cs="微软雅黑" w:hint="eastAsia"/>
                <w:color w:val="000000"/>
              </w:rPr>
              <w:t>）</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65.78</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79.85</w:t>
            </w:r>
          </w:p>
        </w:tc>
      </w:tr>
    </w:tbl>
    <w:p>
      <w:pPr>
        <w:sectPr>
          <w:headerReference w:type="even" r:id="rId31"/>
          <w:footerReference w:type="even" r:id="rId32"/>
          <w:headerReference w:type="first" r:id="rId33"/>
          <w:footerReference w:type="first" r:id="rId34"/>
          <w:type w:val="nextPage"/>
          <w:pgSz w:w="11906" w:h="16838"/>
          <w:pgMar w:top="910" w:right="1080" w:bottom="1440" w:left="1080" w:header="152" w:footer="0" w:gutter="0"/>
          <w:pgNumType w:start="7"/>
          <w:cols w:num="1" w:space="720"/>
          <w:titlePg w:val="0"/>
          <w:docGrid w:type="lines" w:linePitch="312" w:charSpace="0"/>
        </w:sectPr>
      </w:pPr>
    </w:p>
    <w:tbl>
      <w:tblPr>
        <w:tblStyle w:val="TableNormal"/>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2317"/>
        <w:gridCol w:w="2104"/>
        <w:gridCol w:w="2679"/>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trHeight w:val="33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活细胞数百分比（</w:t>
            </w:r>
            <w:r>
              <w:rPr>
                <w:rFonts w:ascii="微软雅黑" w:eastAsia="微软雅黑" w:hAnsi="微软雅黑" w:cs="微软雅黑" w:hint="eastAsia"/>
                <w:color w:val="000000"/>
              </w:rPr>
              <w:t>%</w:t>
            </w:r>
            <w:r>
              <w:rPr>
                <w:rFonts w:ascii="微软雅黑" w:eastAsia="微软雅黑" w:hAnsi="微软雅黑" w:cs="微软雅黑" w:hint="eastAsia"/>
                <w:color w:val="000000"/>
              </w:rPr>
              <w:t>）</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rFonts w:ascii="微软雅黑" w:eastAsia="微软雅黑" w:hAnsi="微软雅黑" w:cs="微软雅黑" w:hint="eastAsia"/>
                <w:color w:val="000000"/>
              </w:rPr>
            </w:pPr>
          </w:p>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5.29</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4</w:t>
            </w:r>
          </w:p>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w:t>
            </w:r>
          </w:p>
          <w:p>
            <w:pPr>
              <w:spacing w:line="360" w:lineRule="auto"/>
              <w:jc w:val="center"/>
              <w:textAlignment w:val="center"/>
              <w:rPr>
                <w:rFonts w:ascii="微软雅黑" w:eastAsia="微软雅黑" w:hAnsi="微软雅黑" w:cs="微软雅黑" w:hint="eastAsia"/>
                <w:color w:val="000000"/>
              </w:rPr>
            </w:pPr>
          </w:p>
        </w:tc>
      </w:tr>
    </w:tbl>
    <w:p>
      <w:pPr>
        <w:spacing w:line="360" w:lineRule="auto"/>
        <w:jc w:val="both"/>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注：细胞分裂间期分为</w:t>
      </w:r>
      <w:r>
        <w:rPr>
          <w:rFonts w:ascii="微软雅黑" w:eastAsia="微软雅黑" w:hAnsi="微软雅黑" w:cs="微软雅黑" w:hint="eastAsia"/>
          <w:color w:val="000000"/>
        </w:rPr>
        <w:t>G</w:t>
      </w:r>
    </w:p>
    <w:p>
      <w:pPr>
        <w:spacing w:line="360" w:lineRule="auto"/>
        <w:jc w:val="both"/>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期、</w:t>
      </w:r>
      <w:r>
        <w:rPr>
          <w:rFonts w:ascii="微软雅黑" w:eastAsia="微软雅黑" w:hAnsi="微软雅黑" w:cs="微软雅黑" w:hint="eastAsia"/>
          <w:color w:val="000000"/>
        </w:rPr>
        <w:t>S</w:t>
      </w:r>
      <w:r>
        <w:rPr>
          <w:rFonts w:ascii="微软雅黑" w:eastAsia="微软雅黑" w:hAnsi="微软雅黑" w:cs="微软雅黑" w:hint="eastAsia"/>
          <w:color w:val="000000"/>
        </w:rPr>
        <w:t>期（</w:t>
      </w:r>
      <w:r>
        <w:rPr>
          <w:rFonts w:ascii="微软雅黑" w:eastAsia="微软雅黑" w:hAnsi="微软雅黑" w:cs="微软雅黑" w:hint="eastAsia"/>
          <w:color w:val="000000"/>
        </w:rPr>
        <w:t>DNA</w:t>
      </w:r>
      <w:r>
        <w:rPr>
          <w:rFonts w:ascii="微软雅黑" w:eastAsia="微软雅黑" w:hAnsi="微软雅黑" w:cs="微软雅黑" w:hint="eastAsia"/>
          <w:color w:val="000000"/>
        </w:rPr>
        <w:t>复制期）和</w:t>
      </w:r>
      <w:r>
        <w:rPr>
          <w:rFonts w:ascii="微软雅黑" w:eastAsia="微软雅黑" w:hAnsi="微软雅黑" w:cs="微软雅黑" w:hint="eastAsia"/>
          <w:color w:val="000000"/>
        </w:rPr>
        <w:t>G</w:t>
      </w:r>
      <w:r>
        <w:rPr>
          <w:rFonts w:ascii="微软雅黑" w:eastAsia="微软雅黑" w:hAnsi="微软雅黑" w:cs="微软雅黑" w:hint="eastAsia"/>
          <w:color w:val="000000"/>
          <w:vertAlign w:val="subscript"/>
        </w:rPr>
        <w:t>2</w:t>
      </w:r>
      <w:r>
        <w:rPr>
          <w:rFonts w:ascii="微软雅黑" w:eastAsia="微软雅黑" w:hAnsi="微软雅黑" w:cs="微软雅黑" w:hint="eastAsia"/>
          <w:color w:val="000000"/>
        </w:rPr>
        <w:t>期</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A. </w:t>
      </w:r>
      <w:r>
        <w:rPr>
          <w:rFonts w:ascii="微软雅黑" w:eastAsia="微软雅黑" w:hAnsi="微软雅黑" w:cs="微软雅黑" w:hint="eastAsia"/>
          <w:color w:val="000000"/>
        </w:rPr>
        <w:t>冻存复苏后的干细胞可以用于治疗人类某些疾病</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B. </w:t>
      </w:r>
      <w:r>
        <w:rPr>
          <w:rFonts w:ascii="微软雅黑" w:eastAsia="微软雅黑" w:hAnsi="微软雅黑" w:cs="微软雅黑" w:hint="eastAsia"/>
          <w:color w:val="000000"/>
        </w:rPr>
        <w:t>G</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期细胞数百分比上升，导致更多干细胞直接进入分裂期</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C. </w:t>
      </w:r>
      <w:r>
        <w:rPr>
          <w:rFonts w:ascii="微软雅黑" w:eastAsia="微软雅黑" w:hAnsi="微软雅黑" w:cs="微软雅黑" w:hint="eastAsia"/>
          <w:color w:val="000000"/>
        </w:rPr>
        <w:t>血清中的天然成分影响</w:t>
      </w:r>
      <w:r>
        <w:rPr>
          <w:rFonts w:ascii="微软雅黑" w:eastAsia="微软雅黑" w:hAnsi="微软雅黑" w:cs="微软雅黑" w:hint="eastAsia"/>
          <w:color w:val="000000"/>
        </w:rPr>
        <w:t>G</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期，增加干细胞复苏后的活细胞数百分比</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D. </w:t>
      </w:r>
      <w:r>
        <w:rPr>
          <w:rFonts w:ascii="微软雅黑" w:eastAsia="微软雅黑" w:hAnsi="微软雅黑" w:cs="微软雅黑" w:hint="eastAsia"/>
          <w:color w:val="000000"/>
        </w:rPr>
        <w:t>DMSO</w:t>
      </w:r>
      <w:r>
        <w:rPr>
          <w:rFonts w:ascii="微软雅黑" w:eastAsia="微软雅黑" w:hAnsi="微软雅黑" w:cs="微软雅黑" w:hint="eastAsia"/>
          <w:color w:val="000000"/>
        </w:rPr>
        <w:t>的作用是使干细胞中自由水转化为结合水</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【答案】</w:t>
      </w:r>
      <w:r>
        <w:rPr>
          <w:rFonts w:ascii="微软雅黑" w:eastAsia="微软雅黑" w:hAnsi="微软雅黑" w:cs="微软雅黑" w:hint="eastAsia"/>
          <w:color w:val="000000"/>
        </w:rPr>
        <w:t>B</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【解析】</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分析】细细胞冻存及复苏的基本原则是慢冻快融，实验证明这样可以最大限度的保存细胞活力。目前细胞冻存多采用甘油或二甲基亚矾作保护剂，这两种物质能提高细胞膜对水的通透性，加上缓慢冷冻可使细胞内的水分渗出细胞外，减少细胞内冰晶的形成，从而减少由于冰晶形成造成的细胞损伤。复苏细胞应采用快速融化的方法，这样可以保证细胞外结晶在很短的时间内即融化，避免由于缓慢融化使水分渗入细胞内形成胞内再结晶对细胞造成损伤。</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【详解】A、冻存复苏后的干细胞可以经诱导分裂分化形成多种组织器官，用于治疗人类某些疾病，A正确；</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B、G</w:t>
      </w:r>
    </w:p>
    <w:p>
      <w:pPr>
        <w:spacing w:line="360" w:lineRule="auto"/>
        <w:jc w:val="left"/>
        <w:textAlignment w:val="center"/>
        <w:rPr>
          <w:rFonts w:ascii="微软雅黑" w:eastAsia="微软雅黑" w:hAnsi="微软雅黑" w:cs="微软雅黑" w:hint="eastAsia"/>
          <w:color w:val="000000"/>
        </w:rPr>
        <w:sectPr>
          <w:headerReference w:type="even" r:id="rId35"/>
          <w:footerReference w:type="even" r:id="rId36"/>
          <w:headerReference w:type="first" r:id="rId37"/>
          <w:footerReference w:type="first" r:id="rId38"/>
          <w:type w:val="nextPage"/>
          <w:pgSz w:w="11906" w:h="16838"/>
          <w:pgMar w:top="910" w:right="1080" w:bottom="1440" w:left="1080" w:header="152" w:footer="0" w:gutter="0"/>
          <w:pgNumType w:start="8"/>
          <w:cols w:num="1" w:space="720"/>
          <w:titlePg w:val="0"/>
          <w:docGrid w:type="lines" w:linePitch="312" w:charSpace="0"/>
        </w:sectPr>
      </w:pPr>
      <w:r>
        <w:rPr>
          <w:rFonts w:ascii="微软雅黑" w:eastAsia="微软雅黑" w:hAnsi="微软雅黑" w:cs="微软雅黑" w:hint="eastAsia"/>
          <w:color w:val="000000"/>
        </w:rPr>
        <w:t>期细胞数百分比上升，说明细胞进入分裂间期，但不会导致干细胞直接进入分裂期，还需经过S和G</w:t>
      </w:r>
      <w:r>
        <w:rPr>
          <w:rFonts w:ascii="微软雅黑" w:eastAsia="微软雅黑" w:hAnsi="微软雅黑" w:cs="微软雅黑" w:hint="eastAsia"/>
          <w:color w:val="000000"/>
          <w:vertAlign w:val="subscript"/>
        </w:rPr>
        <w:t>2</w:t>
      </w:r>
      <w:r>
        <w:rPr>
          <w:rFonts w:ascii="微软雅黑" w:eastAsia="微软雅黑" w:hAnsi="微软雅黑" w:cs="微软雅黑" w:hint="eastAsia"/>
          <w:color w:val="000000"/>
        </w:rPr>
        <w:t>期，B错误；</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C、分析表格可知，血清中的天然成分影响G</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期（该期细胞数百分比增大），能增加干细胞复苏后的活细胞数百分比，C正确；</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D、二甲基亚砜（DMSO）易与水分子结合，可以使干细胞中自由水转化为结合水，D正确。</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故选B。</w:t>
      </w:r>
    </w:p>
    <w:p>
      <w:pPr>
        <w:spacing w:line="360" w:lineRule="auto"/>
        <w:jc w:val="both"/>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9. </w:t>
      </w:r>
      <w:r>
        <w:rPr>
          <w:rFonts w:ascii="微软雅黑" w:eastAsia="微软雅黑" w:hAnsi="微软雅黑" w:cs="微软雅黑" w:hint="eastAsia"/>
          <w:color w:val="000000"/>
        </w:rPr>
        <w:t>水通道蛋白（</w:t>
      </w:r>
      <w:r>
        <w:rPr>
          <w:rFonts w:ascii="微软雅黑" w:eastAsia="微软雅黑" w:hAnsi="微软雅黑" w:cs="微软雅黑" w:hint="eastAsia"/>
          <w:color w:val="000000"/>
        </w:rPr>
        <w:t>AQP</w:t>
      </w:r>
      <w:r>
        <w:rPr>
          <w:rFonts w:ascii="微软雅黑" w:eastAsia="微软雅黑" w:hAnsi="微软雅黑" w:cs="微软雅黑" w:hint="eastAsia"/>
          <w:color w:val="000000"/>
        </w:rPr>
        <w:t>）是一类细胞膜通道蛋白。检测人睡液腺正常组织和水肿组织中</w:t>
      </w:r>
    </w:p>
    <w:p>
      <w:pPr>
        <w:spacing w:line="360" w:lineRule="auto"/>
        <w:jc w:val="both"/>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种</w:t>
      </w:r>
      <w:r>
        <w:rPr>
          <w:rFonts w:ascii="微软雅黑" w:eastAsia="微软雅黑" w:hAnsi="微软雅黑" w:cs="微软雅黑" w:hint="eastAsia"/>
          <w:color w:val="000000"/>
        </w:rPr>
        <w:t>AQP</w:t>
      </w:r>
      <w:r>
        <w:rPr>
          <w:rFonts w:ascii="微软雅黑" w:eastAsia="微软雅黑" w:hAnsi="微软雅黑" w:cs="微软雅黑" w:hint="eastAsia"/>
          <w:color w:val="000000"/>
        </w:rPr>
        <w:t>基因</w:t>
      </w:r>
      <w:r>
        <w:rPr>
          <w:rFonts w:ascii="微软雅黑" w:eastAsia="微软雅黑" w:hAnsi="微软雅黑" w:cs="微软雅黑" w:hint="eastAsia"/>
          <w:color w:val="000000"/>
        </w:rPr>
        <w:t>mRNA</w:t>
      </w:r>
      <w:r>
        <w:rPr>
          <w:rFonts w:ascii="微软雅黑" w:eastAsia="微软雅黑" w:hAnsi="微软雅黑" w:cs="微软雅黑" w:hint="eastAsia"/>
          <w:color w:val="000000"/>
        </w:rPr>
        <w:t>含量，发现</w:t>
      </w:r>
      <w:r>
        <w:rPr>
          <w:rFonts w:ascii="微软雅黑" w:eastAsia="微软雅黑" w:hAnsi="微软雅黑" w:cs="微软雅黑" w:hint="eastAsia"/>
          <w:color w:val="000000"/>
        </w:rPr>
        <w:t>AQP</w:t>
      </w:r>
    </w:p>
    <w:p>
      <w:pPr>
        <w:spacing w:line="360" w:lineRule="auto"/>
        <w:jc w:val="both"/>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和</w:t>
      </w:r>
      <w:r>
        <w:rPr>
          <w:rFonts w:ascii="微软雅黑" w:eastAsia="微软雅黑" w:hAnsi="微软雅黑" w:cs="微软雅黑" w:hint="eastAsia"/>
          <w:color w:val="000000"/>
        </w:rPr>
        <w:t>AQP</w:t>
      </w:r>
    </w:p>
    <w:p>
      <w:pPr>
        <w:spacing w:line="360" w:lineRule="auto"/>
        <w:jc w:val="both"/>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基因</w:t>
      </w:r>
      <w:r>
        <w:rPr>
          <w:rFonts w:ascii="微软雅黑" w:eastAsia="微软雅黑" w:hAnsi="微软雅黑" w:cs="微软雅黑" w:hint="eastAsia"/>
          <w:color w:val="000000"/>
        </w:rPr>
        <w:t>mRNA</w:t>
      </w:r>
      <w:r>
        <w:rPr>
          <w:rFonts w:ascii="微软雅黑" w:eastAsia="微软雅黑" w:hAnsi="微软雅黑" w:cs="微软雅黑" w:hint="eastAsia"/>
          <w:color w:val="000000"/>
        </w:rPr>
        <w:t>含量无变化，而水肿组织</w:t>
      </w:r>
      <w:r>
        <w:rPr>
          <w:rFonts w:ascii="微软雅黑" w:eastAsia="微软雅黑" w:hAnsi="微软雅黑" w:cs="微软雅黑" w:hint="eastAsia"/>
          <w:color w:val="000000"/>
        </w:rPr>
        <w:t>AQP5</w:t>
      </w:r>
      <w:r>
        <w:rPr>
          <w:rFonts w:ascii="微软雅黑" w:eastAsia="微软雅黑" w:hAnsi="微软雅黑" w:cs="微软雅黑" w:hint="eastAsia"/>
          <w:color w:val="000000"/>
        </w:rPr>
        <w:t>基因</w:t>
      </w:r>
      <w:r>
        <w:rPr>
          <w:rFonts w:ascii="微软雅黑" w:eastAsia="微软雅黑" w:hAnsi="微软雅黑" w:cs="微软雅黑" w:hint="eastAsia"/>
          <w:color w:val="000000"/>
        </w:rPr>
        <w:t>mRNA</w:t>
      </w:r>
      <w:r>
        <w:rPr>
          <w:rFonts w:ascii="微软雅黑" w:eastAsia="微软雅黑" w:hAnsi="微软雅黑" w:cs="微软雅黑" w:hint="eastAsia"/>
          <w:color w:val="000000"/>
        </w:rPr>
        <w:t>含量是正常组织的</w:t>
      </w:r>
      <w:r>
        <w:rPr>
          <w:rFonts w:ascii="微软雅黑" w:eastAsia="微软雅黑" w:hAnsi="微软雅黑" w:cs="微软雅黑" w:hint="eastAsia"/>
          <w:color w:val="000000"/>
        </w:rPr>
        <w:t>2.5</w:t>
      </w:r>
      <w:r>
        <w:rPr>
          <w:rFonts w:ascii="微软雅黑" w:eastAsia="微软雅黑" w:hAnsi="微软雅黑" w:cs="微软雅黑" w:hint="eastAsia"/>
          <w:color w:val="000000"/>
        </w:rPr>
        <w:t>倍。下列叙述正确的是（</w:t>
      </w: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rPr>
        <w:t>）</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A. </w:t>
      </w:r>
      <w:r>
        <w:rPr>
          <w:rFonts w:ascii="微软雅黑" w:eastAsia="微软雅黑" w:hAnsi="微软雅黑" w:cs="微软雅黑" w:hint="eastAsia"/>
          <w:color w:val="000000"/>
        </w:rPr>
        <w:t>人唾液腺正常组织细胞中</w:t>
      </w:r>
      <w:r>
        <w:rPr>
          <w:rFonts w:ascii="微软雅黑" w:eastAsia="微软雅黑" w:hAnsi="微软雅黑" w:cs="微软雅黑" w:hint="eastAsia"/>
          <w:color w:val="000000"/>
        </w:rPr>
        <w:t>AQP</w:t>
      </w:r>
      <w:r>
        <w:rPr>
          <w:rFonts w:ascii="微软雅黑" w:eastAsia="微软雅黑" w:hAnsi="微软雅黑" w:cs="微软雅黑" w:hint="eastAsia"/>
          <w:color w:val="000000"/>
        </w:rPr>
        <w:t>蛋白的氨基酸序列相同</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B. </w:t>
      </w:r>
      <w:r>
        <w:rPr>
          <w:rFonts w:ascii="微软雅黑" w:eastAsia="微软雅黑" w:hAnsi="微软雅黑" w:cs="微软雅黑" w:hint="eastAsia"/>
          <w:color w:val="000000"/>
        </w:rPr>
        <w:t>AQP</w:t>
      </w:r>
      <w:r>
        <w:rPr>
          <w:rFonts w:ascii="微软雅黑" w:eastAsia="微软雅黑" w:hAnsi="微软雅黑" w:cs="微软雅黑" w:hint="eastAsia"/>
          <w:color w:val="000000"/>
        </w:rPr>
        <w:t>蛋白与水分子可逆结合，转运水进出细胞不需要消耗</w:t>
      </w:r>
      <w:r>
        <w:rPr>
          <w:rFonts w:ascii="微软雅黑" w:eastAsia="微软雅黑" w:hAnsi="微软雅黑" w:cs="微软雅黑" w:hint="eastAsia"/>
          <w:color w:val="000000"/>
        </w:rPr>
        <w:t>ATP</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C. </w:t>
      </w:r>
      <w:r>
        <w:rPr>
          <w:rFonts w:ascii="微软雅黑" w:eastAsia="微软雅黑" w:hAnsi="微软雅黑" w:cs="微软雅黑" w:hint="eastAsia"/>
          <w:color w:val="000000"/>
        </w:rPr>
        <w:t>检测结果表明，只有</w:t>
      </w:r>
      <w:r>
        <w:rPr>
          <w:rFonts w:ascii="微软雅黑" w:eastAsia="微软雅黑" w:hAnsi="微软雅黑" w:cs="微软雅黑" w:hint="eastAsia"/>
          <w:color w:val="000000"/>
        </w:rPr>
        <w:t>AQP5</w:t>
      </w:r>
      <w:r>
        <w:rPr>
          <w:rFonts w:ascii="微软雅黑" w:eastAsia="微软雅黑" w:hAnsi="微软雅黑" w:cs="微软雅黑" w:hint="eastAsia"/>
          <w:color w:val="000000"/>
        </w:rPr>
        <w:t>蛋白参与人唾液腺水肿的形成</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D. </w:t>
      </w:r>
      <w:r>
        <w:rPr>
          <w:rFonts w:ascii="微软雅黑" w:eastAsia="微软雅黑" w:hAnsi="微软雅黑" w:cs="微软雅黑" w:hint="eastAsia"/>
          <w:color w:val="000000"/>
        </w:rPr>
        <w:t>正常组织与水肿组织的水转运速率不同，与</w:t>
      </w:r>
      <w:r>
        <w:rPr>
          <w:rFonts w:ascii="微软雅黑" w:eastAsia="微软雅黑" w:hAnsi="微软雅黑" w:cs="微软雅黑" w:hint="eastAsia"/>
          <w:color w:val="000000"/>
        </w:rPr>
        <w:t>AQP</w:t>
      </w:r>
      <w:r>
        <w:rPr>
          <w:rFonts w:ascii="微软雅黑" w:eastAsia="微软雅黑" w:hAnsi="微软雅黑" w:cs="微软雅黑" w:hint="eastAsia"/>
          <w:color w:val="000000"/>
        </w:rPr>
        <w:t>蛋白的数量有关</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【答案】</w:t>
      </w:r>
      <w:r>
        <w:rPr>
          <w:rFonts w:ascii="微软雅黑" w:eastAsia="微软雅黑" w:hAnsi="微软雅黑" w:cs="微软雅黑" w:hint="eastAsia"/>
          <w:color w:val="000000"/>
        </w:rPr>
        <w:t>D</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【解析】</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分析】转运蛋白包括通道蛋白和载体蛋白。通道蛋白参与的只是被动运输（易化扩散），在运输过程中并不与被运输的分子或离子相结合，也不会移动，并且是从高浓度向低浓度运输，所以运输时不消耗能量。载体蛋白参与的有主动转运和易化扩散，在运输过程中与相应的分子特异性结合（具有类似于酶和底物结合的饱和效应），自身的构型会发生变化，并且会移动。通道蛋白转运速率与物质浓度成比例，且比载体蛋白介导的转运速度更快。</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【详解】A、AQP基因有</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种，AQP蛋白应该也有</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种，故人唾液腺正常组织细胞中AQP蛋白的氨基酸序列不相同，A错误；</w:t>
      </w:r>
    </w:p>
    <w:p>
      <w:pPr>
        <w:spacing w:line="360" w:lineRule="auto"/>
        <w:jc w:val="left"/>
        <w:textAlignment w:val="center"/>
        <w:rPr>
          <w:rFonts w:ascii="微软雅黑" w:eastAsia="微软雅黑" w:hAnsi="微软雅黑" w:cs="微软雅黑" w:hint="eastAsia"/>
          <w:color w:val="000000"/>
        </w:rPr>
        <w:sectPr>
          <w:headerReference w:type="even" r:id="rId39"/>
          <w:footerReference w:type="even" r:id="rId40"/>
          <w:headerReference w:type="first" r:id="rId41"/>
          <w:footerReference w:type="first" r:id="rId42"/>
          <w:type w:val="nextPage"/>
          <w:pgSz w:w="11906" w:h="16838"/>
          <w:pgMar w:top="910" w:right="1080" w:bottom="1440" w:left="1080" w:header="152" w:footer="0" w:gutter="0"/>
          <w:pgNumType w:start="9"/>
          <w:cols w:num="1" w:space="720"/>
          <w:titlePg w:val="0"/>
          <w:docGrid w:type="lines" w:linePitch="312" w:charSpace="0"/>
        </w:sectPr>
      </w:pPr>
      <w:r>
        <w:rPr>
          <w:rFonts w:ascii="微软雅黑" w:eastAsia="微软雅黑" w:hAnsi="微软雅黑" w:cs="微软雅黑" w:hint="eastAsia"/>
          <w:color w:val="000000"/>
        </w:rPr>
        <w:t>B、AQP蛋白一类细胞膜水通道蛋白，故不能与水分子结合，B错误；</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C、根据信息：AQP</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和AQP</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基因mRNA含量无变化，而水肿组织AQP5基因mRNA含量是正常组织的2.5倍，可知AQP5基因mRNA含量在水肿组织和正常组织有差异，但不能说明只有AQP5蛋白参与人唾液腺水肿的形成，C错误；</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D、AQP5基因mRNA含量在水肿组织和正常组织有差异，故形成的AQP蛋白的数量有差异，导致正常组织与水肿组织的水转运速率不同，D正确。</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故选D。</w:t>
      </w:r>
    </w:p>
    <w:p>
      <w:pPr>
        <w:spacing w:line="360" w:lineRule="auto"/>
        <w:jc w:val="both"/>
        <w:textAlignment w:val="center"/>
        <w:rPr>
          <w:rFonts w:ascii="微软雅黑" w:eastAsia="微软雅黑" w:hAnsi="微软雅黑" w:cs="微软雅黑" w:hint="eastAsia"/>
          <w:color w:val="000000"/>
        </w:rPr>
      </w:pPr>
    </w:p>
    <w:p>
      <w:pPr>
        <w:spacing w:line="360" w:lineRule="auto"/>
        <w:jc w:val="both"/>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0. </w:t>
      </w:r>
      <w:r>
        <w:rPr>
          <w:rFonts w:ascii="微软雅黑" w:eastAsia="微软雅黑" w:hAnsi="微软雅黑" w:cs="微软雅黑" w:hint="eastAsia"/>
          <w:color w:val="000000"/>
        </w:rPr>
        <w:t>亚麻籽可以榨油，茎秆可以生产纤维。在亚麻生长季节，北方比南方日照时间长，亚麻开花与昼夜长短有关，只有白天短于一定的时长才能开花。赤霉素可以促进植物伸长生长，但对亚麻成花没有影响。烯效唑可抑制植物体内赤霉素的合成。下列在黑龙江省栽培亚麻的叙述，正确的是（</w:t>
      </w: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rPr>
        <w:t>）</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A. </w:t>
      </w:r>
      <w:r>
        <w:rPr>
          <w:rFonts w:ascii="微软雅黑" w:eastAsia="微软雅黑" w:hAnsi="微软雅黑" w:cs="微软雅黑" w:hint="eastAsia"/>
          <w:color w:val="000000"/>
        </w:rPr>
        <w:t>适当使用烯效唑，以同时生产亚麻籽和亚麻纤维</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B. </w:t>
      </w:r>
      <w:r>
        <w:rPr>
          <w:rFonts w:ascii="微软雅黑" w:eastAsia="微软雅黑" w:hAnsi="微软雅黑" w:cs="微软雅黑" w:hint="eastAsia"/>
          <w:color w:val="000000"/>
        </w:rPr>
        <w:t>适当使用赤霉素，以同时生产亚麻籽和亚麻纤维</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C. </w:t>
      </w:r>
      <w:r>
        <w:rPr>
          <w:rFonts w:ascii="微软雅黑" w:eastAsia="微软雅黑" w:hAnsi="微软雅黑" w:cs="微软雅黑" w:hint="eastAsia"/>
          <w:color w:val="000000"/>
        </w:rPr>
        <w:t>适当使用赤霉素，以提高亚麻纤维产量</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D. </w:t>
      </w:r>
      <w:r>
        <w:rPr>
          <w:rFonts w:ascii="微软雅黑" w:eastAsia="微软雅黑" w:hAnsi="微软雅黑" w:cs="微软雅黑" w:hint="eastAsia"/>
          <w:color w:val="000000"/>
        </w:rPr>
        <w:t>适当使用烯效唑，以提高亚麻籽产量</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【答案】</w:t>
      </w:r>
      <w:r>
        <w:rPr>
          <w:rFonts w:ascii="微软雅黑" w:eastAsia="微软雅黑" w:hAnsi="微软雅黑" w:cs="微软雅黑" w:hint="eastAsia"/>
          <w:color w:val="000000"/>
        </w:rPr>
        <w:t>C</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【解析】</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【分析】赤霉素：合成部位：幼芽、幼根和未成熟的种子等幼嫩部分 。主要生理功能：促进细胞的伸长；解除种子、块茎的休眠并促进萌发的作用。</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【详解】A、已知赤霉素可以促进植物伸长生长，烯效唑可抑制植物体内赤霉素的合成。故适当使用烯效唑，不能生产亚麻纤维，A错误；</w:t>
      </w:r>
    </w:p>
    <w:p>
      <w:pPr>
        <w:spacing w:line="360" w:lineRule="auto"/>
        <w:jc w:val="left"/>
        <w:textAlignment w:val="center"/>
        <w:rPr>
          <w:rFonts w:ascii="微软雅黑" w:eastAsia="微软雅黑" w:hAnsi="微软雅黑" w:cs="微软雅黑" w:hint="eastAsia"/>
          <w:color w:val="000000"/>
        </w:rPr>
        <w:sectPr>
          <w:headerReference w:type="even" r:id="rId43"/>
          <w:footerReference w:type="even" r:id="rId44"/>
          <w:headerReference w:type="first" r:id="rId45"/>
          <w:footerReference w:type="first" r:id="rId46"/>
          <w:type w:val="nextPage"/>
          <w:pgSz w:w="11906" w:h="16838"/>
          <w:pgMar w:top="910" w:right="1080" w:bottom="1440" w:left="1080" w:header="152" w:footer="0" w:gutter="0"/>
          <w:pgNumType w:start="10"/>
          <w:cols w:num="1" w:space="720"/>
          <w:titlePg w:val="0"/>
          <w:docGrid w:type="lines" w:linePitch="312" w:charSpace="0"/>
        </w:sectPr>
      </w:pPr>
      <w:r>
        <w:rPr>
          <w:rFonts w:ascii="微软雅黑" w:eastAsia="微软雅黑" w:hAnsi="微软雅黑" w:cs="微软雅黑" w:hint="eastAsia"/>
          <w:color w:val="000000"/>
        </w:rPr>
        <w:t>B、赤霉素对亚麻成花没有影响，故适当使用赤霉素，不能生产亚麻籽，B错误；</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C、已知赤霉素可以促进植物伸长生长，茎秆可以生产纤维</w:t>
      </w:r>
      <w:r>
        <w:rPr>
          <w:rFonts w:ascii="微软雅黑" w:eastAsia="微软雅黑" w:hAnsi="微软雅黑" w:cs="微软雅黑" w:hint="eastAsia"/>
          <w:color w:val="000000"/>
          <w:position w:val="-12"/>
        </w:rPr>
        <w:drawing>
          <wp:inline distT="0" distB="0" distL="114300" distR="114300">
            <wp:extent cx="127000" cy="762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xmlns:r="http://schemas.openxmlformats.org/officeDocument/2006/relationships" r:embed="rId47"/>
                    <a:stretch>
                      <a:fillRect/>
                    </a:stretch>
                  </pic:blipFill>
                  <pic:spPr>
                    <a:xfrm>
                      <a:off x="0" y="0"/>
                      <a:ext cx="127000" cy="76200"/>
                    </a:xfrm>
                    <a:prstGeom prst="rect">
                      <a:avLst/>
                    </a:prstGeom>
                  </pic:spPr>
                </pic:pic>
              </a:graphicData>
            </a:graphic>
          </wp:inline>
        </w:drawing>
      </w:r>
      <w:r>
        <w:rPr>
          <w:rFonts w:ascii="微软雅黑" w:eastAsia="微软雅黑" w:hAnsi="微软雅黑" w:cs="微软雅黑" w:hint="eastAsia"/>
          <w:color w:val="000000"/>
        </w:rPr>
        <w:t>故适当使用赤霉素，以提高亚麻纤维产量，C正确；</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D、烯效唑可抑制植物体内赤霉素的合成，适当使用烯效唑，不能提高亚麻籽产量，D错误。</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故选C。</w:t>
      </w:r>
    </w:p>
    <w:p>
      <w:pPr>
        <w:spacing w:line="360" w:lineRule="auto"/>
        <w:jc w:val="both"/>
        <w:textAlignment w:val="center"/>
        <w:rPr>
          <w:rFonts w:ascii="微软雅黑" w:eastAsia="微软雅黑" w:hAnsi="微软雅黑" w:cs="微软雅黑" w:hint="eastAsia"/>
          <w:color w:val="000000"/>
        </w:rPr>
      </w:pPr>
    </w:p>
    <w:p>
      <w:pPr>
        <w:spacing w:line="360" w:lineRule="auto"/>
        <w:jc w:val="both"/>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rPr>
        <w:t>人工草坪物种比较单一，易受外界因素的影响而杂草化。双子叶植物欧亚蔊菜是常见的草坪杂草。下列叙述错误的是（</w:t>
      </w: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rPr>
        <w:t>）</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A. </w:t>
      </w:r>
      <w:r>
        <w:rPr>
          <w:rFonts w:ascii="微软雅黑" w:eastAsia="微软雅黑" w:hAnsi="微软雅黑" w:cs="微软雅黑" w:hint="eastAsia"/>
          <w:color w:val="000000"/>
        </w:rPr>
        <w:t>采用样方法调查草坪中欧亚蔊菜的种群密度时，随机取样是关键</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B. </w:t>
      </w:r>
      <w:r>
        <w:rPr>
          <w:rFonts w:ascii="微软雅黑" w:eastAsia="微软雅黑" w:hAnsi="微软雅黑" w:cs="微软雅黑" w:hint="eastAsia"/>
          <w:color w:val="000000"/>
        </w:rPr>
        <w:t>喷施高浓度的</w:t>
      </w:r>
      <w:r>
        <w:rPr>
          <w:rFonts w:ascii="微软雅黑" w:eastAsia="微软雅黑" w:hAnsi="微软雅黑" w:cs="微软雅黑" w:hint="eastAsia"/>
          <w:color w:val="000000"/>
        </w:rPr>
        <w:t>2</w:t>
      </w:r>
      <w:r>
        <w:rPr>
          <w:rFonts w:ascii="微软雅黑" w:eastAsia="微软雅黑" w:hAnsi="微软雅黑" w:cs="微软雅黑" w:hint="eastAsia"/>
          <w:color w:val="000000"/>
        </w:rPr>
        <w:t>，</w:t>
      </w:r>
      <w:r>
        <w:rPr>
          <w:rFonts w:ascii="微软雅黑" w:eastAsia="微软雅黑" w:hAnsi="微软雅黑" w:cs="微软雅黑" w:hint="eastAsia"/>
          <w:color w:val="000000"/>
        </w:rPr>
        <w:t>4-D</w:t>
      </w:r>
      <w:r>
        <w:rPr>
          <w:rFonts w:ascii="微软雅黑" w:eastAsia="微软雅黑" w:hAnsi="微软雅黑" w:cs="微软雅黑" w:hint="eastAsia"/>
          <w:color w:val="000000"/>
        </w:rPr>
        <w:t>可以杀死草坪中的欧亚蔊菜</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C. </w:t>
      </w:r>
      <w:r>
        <w:rPr>
          <w:rFonts w:ascii="微软雅黑" w:eastAsia="微软雅黑" w:hAnsi="微软雅黑" w:cs="微软雅黑" w:hint="eastAsia"/>
          <w:color w:val="000000"/>
        </w:rPr>
        <w:t>欧亚蔊菜入侵人工草坪初期，种群增长曲线呈“</w:t>
      </w:r>
      <w:r>
        <w:rPr>
          <w:rFonts w:ascii="微软雅黑" w:eastAsia="微软雅黑" w:hAnsi="微软雅黑" w:cs="微软雅黑" w:hint="eastAsia"/>
          <w:color w:val="000000"/>
        </w:rPr>
        <w:t>S</w:t>
      </w:r>
      <w:r>
        <w:rPr>
          <w:rFonts w:ascii="微软雅黑" w:eastAsia="微软雅黑" w:hAnsi="微软雅黑" w:cs="微软雅黑" w:hint="eastAsia"/>
          <w:color w:val="000000"/>
        </w:rPr>
        <w:t>”形</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D. </w:t>
      </w:r>
      <w:r>
        <w:rPr>
          <w:rFonts w:ascii="微软雅黑" w:eastAsia="微软雅黑" w:hAnsi="微软雅黑" w:cs="微软雅黑" w:hint="eastAsia"/>
          <w:color w:val="000000"/>
        </w:rPr>
        <w:t>与自然草地相比，人工草坪自我维持结构和功能相对稳定</w:t>
      </w:r>
      <w:r>
        <w:rPr>
          <w:rFonts w:ascii="微软雅黑" w:eastAsia="微软雅黑" w:hAnsi="微软雅黑" w:cs="微软雅黑" w:hint="eastAsia"/>
          <w:color w:val="000000"/>
          <w:position w:val="0"/>
        </w:rPr>
        <w:drawing>
          <wp:inline distT="0" distB="0" distL="114300" distR="114300">
            <wp:extent cx="133350" cy="177800"/>
            <wp:effectExtent l="0" t="0" r="0" b="13335"/>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xmlns:r="http://schemas.openxmlformats.org/officeDocument/2006/relationships" r:embed="rId18"/>
                    <a:stretch>
                      <a:fillRect/>
                    </a:stretch>
                  </pic:blipFill>
                  <pic:spPr>
                    <a:xfrm>
                      <a:off x="0" y="0"/>
                      <a:ext cx="133350" cy="177800"/>
                    </a:xfrm>
                    <a:prstGeom prst="rect">
                      <a:avLst/>
                    </a:prstGeom>
                  </pic:spPr>
                </pic:pic>
              </a:graphicData>
            </a:graphic>
          </wp:inline>
        </w:drawing>
      </w:r>
      <w:r>
        <w:rPr>
          <w:rFonts w:ascii="微软雅黑" w:eastAsia="微软雅黑" w:hAnsi="微软雅黑" w:cs="微软雅黑" w:hint="eastAsia"/>
          <w:color w:val="000000"/>
        </w:rPr>
        <w:t>能力较低</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【答案】</w:t>
      </w:r>
      <w:r>
        <w:rPr>
          <w:rFonts w:ascii="微软雅黑" w:eastAsia="微软雅黑" w:hAnsi="微软雅黑" w:cs="微软雅黑" w:hint="eastAsia"/>
          <w:color w:val="000000"/>
        </w:rPr>
        <w:t>C</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【解析】</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【分析】估算种群密度时，常用样方法和标记重捕法，其中样方法适用于调查植物或活动能力弱，活动范围小的动物，而标记重捕法适用于调查活动能力强，活动范围大的动物。</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【详解】A、采用样方法调查种群密度的关键是随机取样，排除主观因素对调查结果的影响，A正确。</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B、欧亚蔊菜是一种双子叶杂草，可喷施高浓度的2，4-D可以杀死草坪中的欧亚蔊菜，B正确；</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C、由于环境适宜，欧亚蔊菜入侵人工草坪初期，种群增长曲线呈“J”形，C错误；</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D、人工草坪物种比较单一，营养结构简单，故与自然草地相比，人工草坪自我维持结构和功能相对稳定的能力较低，D正确。</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故选C。</w:t>
      </w:r>
    </w:p>
    <w:p>
      <w:pPr>
        <w:spacing w:line="360" w:lineRule="auto"/>
        <w:jc w:val="both"/>
        <w:textAlignment w:val="center"/>
        <w:rPr>
          <w:rFonts w:ascii="微软雅黑" w:eastAsia="微软雅黑" w:hAnsi="微软雅黑" w:cs="微软雅黑" w:hint="eastAsia"/>
          <w:color w:val="000000"/>
        </w:rPr>
      </w:pPr>
    </w:p>
    <w:p>
      <w:pPr>
        <w:spacing w:line="360" w:lineRule="auto"/>
        <w:jc w:val="both"/>
        <w:textAlignment w:val="center"/>
        <w:rPr>
          <w:rFonts w:ascii="微软雅黑" w:eastAsia="微软雅黑" w:hAnsi="微软雅黑" w:cs="微软雅黑" w:hint="eastAsia"/>
          <w:color w:val="000000"/>
        </w:rPr>
        <w:sectPr>
          <w:headerReference w:type="even" r:id="rId48"/>
          <w:footerReference w:type="even" r:id="rId49"/>
          <w:headerReference w:type="first" r:id="rId50"/>
          <w:footerReference w:type="first" r:id="rId51"/>
          <w:type w:val="nextPage"/>
          <w:pgSz w:w="11906" w:h="16838"/>
          <w:pgMar w:top="910" w:right="1080" w:bottom="1440" w:left="1080" w:header="152" w:footer="0" w:gutter="0"/>
          <w:pgNumType w:start="11"/>
          <w:cols w:num="1" w:space="720"/>
          <w:titlePg w:val="0"/>
          <w:docGrid w:type="lines" w:linePitch="312" w:charSpace="0"/>
        </w:sectPr>
      </w:pPr>
      <w:r>
        <w:rPr>
          <w:rFonts w:ascii="微软雅黑" w:eastAsia="微软雅黑" w:hAnsi="微软雅黑" w:cs="微软雅黑" w:hint="eastAsia"/>
          <w:color w:val="000000"/>
        </w:rPr>
        <w:t xml:space="preserve">2. </w:t>
      </w:r>
      <w:r>
        <w:rPr>
          <w:rFonts w:ascii="微软雅黑" w:eastAsia="微软雅黑" w:hAnsi="微软雅黑" w:cs="微软雅黑" w:hint="eastAsia"/>
          <w:color w:val="000000"/>
        </w:rPr>
        <w:t>抗虫和耐除草剂玉米双抗</w:t>
      </w:r>
    </w:p>
    <w:p>
      <w:pPr>
        <w:spacing w:line="360" w:lineRule="auto"/>
        <w:jc w:val="both"/>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2-5</w:t>
      </w:r>
      <w:r>
        <w:rPr>
          <w:rFonts w:ascii="微软雅黑" w:eastAsia="微软雅黑" w:hAnsi="微软雅黑" w:cs="微软雅黑" w:hint="eastAsia"/>
          <w:color w:val="000000"/>
        </w:rPr>
        <w:t>是我国自主研发的转基因品种。为给监管转基因生物安全提供依据，采用</w:t>
      </w:r>
      <w:r>
        <w:rPr>
          <w:rFonts w:ascii="微软雅黑" w:eastAsia="微软雅黑" w:hAnsi="微软雅黑" w:cs="微软雅黑" w:hint="eastAsia"/>
          <w:color w:val="000000"/>
        </w:rPr>
        <w:t>PC</w:t>
      </w:r>
      <w:r>
        <w:rPr>
          <w:rFonts w:ascii="微软雅黑" w:eastAsia="微软雅黑" w:hAnsi="微软雅黑" w:cs="微软雅黑" w:hint="eastAsia"/>
          <w:color w:val="000000"/>
        </w:rPr>
        <w:t>方法进行目的基因监测，反应程序如图所示。下列叙述正确的是（</w:t>
      </w: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rPr>
        <w:t>）</w:t>
      </w:r>
    </w:p>
    <w:p>
      <w:pPr>
        <w:spacing w:line="360" w:lineRule="auto"/>
        <w:jc w:val="both"/>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drawing>
          <wp:inline distT="0" distB="0" distL="114300" distR="114300">
            <wp:extent cx="4248150" cy="15240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52"/>
                    <a:stretch>
                      <a:fillRect/>
                    </a:stretch>
                  </pic:blipFill>
                  <pic:spPr>
                    <a:xfrm>
                      <a:off x="0" y="0"/>
                      <a:ext cx="4248150" cy="1524000"/>
                    </a:xfrm>
                    <a:prstGeom prst="rect">
                      <a:avLst/>
                    </a:prstGeom>
                  </pic:spPr>
                </pic:pic>
              </a:graphicData>
            </a:graphic>
          </wp:inline>
        </w:drawing>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A. </w:t>
      </w:r>
      <w:r>
        <w:rPr>
          <w:rFonts w:ascii="微软雅黑" w:eastAsia="微软雅黑" w:hAnsi="微软雅黑" w:cs="微软雅黑" w:hint="eastAsia"/>
          <w:color w:val="000000"/>
        </w:rPr>
        <w:t>预变性过程可促进模板</w:t>
      </w:r>
      <w:r>
        <w:rPr>
          <w:rFonts w:ascii="微软雅黑" w:eastAsia="微软雅黑" w:hAnsi="微软雅黑" w:cs="微软雅黑" w:hint="eastAsia"/>
          <w:color w:val="000000"/>
        </w:rPr>
        <w:t>DNA</w:t>
      </w:r>
      <w:r>
        <w:rPr>
          <w:rFonts w:ascii="微软雅黑" w:eastAsia="微软雅黑" w:hAnsi="微软雅黑" w:cs="微软雅黑" w:hint="eastAsia"/>
          <w:color w:val="000000"/>
        </w:rPr>
        <w:t>边解旋边复制</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B. </w:t>
      </w:r>
      <w:r>
        <w:rPr>
          <w:rFonts w:ascii="微软雅黑" w:eastAsia="微软雅黑" w:hAnsi="微软雅黑" w:cs="微软雅黑" w:hint="eastAsia"/>
          <w:color w:val="000000"/>
        </w:rPr>
        <w:t>后延伸过程可使目的基因的扩增更加充分</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C. </w:t>
      </w:r>
      <w:r>
        <w:rPr>
          <w:rFonts w:ascii="微软雅黑" w:eastAsia="微软雅黑" w:hAnsi="微软雅黑" w:cs="微软雅黑" w:hint="eastAsia"/>
          <w:color w:val="000000"/>
        </w:rPr>
        <w:t>延伸过程无需引物参与即可完成半保留复制</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D. </w:t>
      </w:r>
      <w:r>
        <w:rPr>
          <w:rFonts w:ascii="微软雅黑" w:eastAsia="微软雅黑" w:hAnsi="微软雅黑" w:cs="微软雅黑" w:hint="eastAsia"/>
          <w:color w:val="000000"/>
        </w:rPr>
        <w:t>转基因品种经检测含有目的基因后即可上市</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【答案】</w:t>
      </w:r>
      <w:r>
        <w:rPr>
          <w:rFonts w:ascii="微软雅黑" w:eastAsia="微软雅黑" w:hAnsi="微软雅黑" w:cs="微软雅黑" w:hint="eastAsia"/>
          <w:color w:val="000000"/>
        </w:rPr>
        <w:t>B</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【解析】</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分析】PCR过程为：①变性，当温度上升到90℃以上时，氢键断裂，双链DNA解旋为单链；②复性，当温度降低到50℃左右是，两种引物通过碱基互补配对与两条单链DNA结合；③延伸，温度上升到72℃左右，溶液中的四种脱氧核苷酸，在DNA聚合酶的作用下，根据碱基互补配对原则合成新的DNA链。</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【详解】A、预变性是使引物完全变性解开，A错误；</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B、后延伸过程后延伸是为了让引物延伸完全并让单链产物完全退火形成双链结构，可使目的基因的扩增更加充分，B正确；</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C、延伸过程需引物参与，C错误；</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D、转基因品种不只需要检测是否含有目的基因，还要检测是否表达，还有安全性问题，D错误；</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故选B。</w:t>
      </w:r>
    </w:p>
    <w:p>
      <w:pPr>
        <w:spacing w:line="360" w:lineRule="auto"/>
        <w:jc w:val="both"/>
        <w:textAlignment w:val="center"/>
        <w:rPr>
          <w:rFonts w:ascii="微软雅黑" w:eastAsia="微软雅黑" w:hAnsi="微软雅黑" w:cs="微软雅黑" w:hint="eastAsia"/>
          <w:color w:val="000000"/>
        </w:rPr>
        <w:sectPr>
          <w:headerReference w:type="even" r:id="rId53"/>
          <w:footerReference w:type="even" r:id="rId54"/>
          <w:headerReference w:type="first" r:id="rId55"/>
          <w:footerReference w:type="first" r:id="rId56"/>
          <w:type w:val="nextPage"/>
          <w:pgSz w:w="11906" w:h="16838"/>
          <w:pgMar w:top="910" w:right="1080" w:bottom="1440" w:left="1080" w:header="152" w:footer="0" w:gutter="0"/>
          <w:pgNumType w:start="12"/>
          <w:cols w:num="1" w:space="720"/>
          <w:titlePg w:val="0"/>
          <w:docGrid w:type="lines" w:linePitch="312" w:charSpace="0"/>
        </w:sectPr>
      </w:pPr>
    </w:p>
    <w:p>
      <w:pPr>
        <w:spacing w:line="360" w:lineRule="auto"/>
        <w:jc w:val="both"/>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rPr>
        <w:t>采用样线法（以一定的速度沿样线前进，同时记录样线两侧一定距离内鸟类的种类及数量）对某地城市公园中鸟类多样性进行调查，结果见下表。下列分析不合理的是（</w:t>
      </w: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rPr>
        <w:t>）</w:t>
      </w:r>
    </w:p>
    <w:tbl>
      <w:tblPr>
        <w:tblStyle w:val="TableNormal"/>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1500"/>
        <w:gridCol w:w="870"/>
        <w:gridCol w:w="1080"/>
        <w:gridCol w:w="1080"/>
        <w:gridCol w:w="1080"/>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trHeight w:val="33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城市公园类型</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植物园</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森林公园</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湿地公园</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山体公园</w:t>
            </w:r>
          </w:p>
        </w:tc>
      </w:tr>
      <w:tr>
        <w:tblPrEx>
          <w:tblW w:w="0" w:type="auto"/>
          <w:tblInd w:w="0" w:type="dxa"/>
          <w:tblCellMar>
            <w:top w:w="120" w:type="dxa"/>
            <w:left w:w="120" w:type="dxa"/>
            <w:bottom w:w="120" w:type="dxa"/>
            <w:right w:w="120" w:type="dxa"/>
          </w:tblCellMar>
        </w:tblPrEx>
        <w:trPr>
          <w:trHeight w:val="33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物种数量</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4</w:t>
            </w:r>
          </w:p>
          <w:p>
            <w:pPr>
              <w:spacing w:line="360" w:lineRule="auto"/>
              <w:jc w:val="center"/>
              <w:textAlignment w:val="center"/>
              <w:rPr>
                <w:rFonts w:ascii="微软雅黑" w:eastAsia="微软雅黑" w:hAnsi="微软雅黑" w:cs="微软雅黑" w:hint="eastAsia"/>
                <w:color w:val="000000"/>
              </w:rPr>
            </w:pP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52</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6</w:t>
            </w:r>
          </w:p>
          <w:p>
            <w:pPr>
              <w:spacing w:line="360" w:lineRule="auto"/>
              <w:jc w:val="center"/>
              <w:textAlignment w:val="center"/>
              <w:rPr>
                <w:rFonts w:ascii="微软雅黑" w:eastAsia="微软雅黑" w:hAnsi="微软雅黑" w:cs="微软雅黑" w:hint="eastAsia"/>
                <w:color w:val="000000"/>
              </w:rPr>
            </w:pP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rFonts w:ascii="微软雅黑" w:eastAsia="微软雅黑" w:hAnsi="微软雅黑" w:cs="微软雅黑" w:hint="eastAsia"/>
                <w:color w:val="000000"/>
              </w:rPr>
            </w:pPr>
          </w:p>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8</w:t>
            </w:r>
          </w:p>
        </w:tc>
      </w:tr>
    </w:tbl>
    <w:p>
      <w:pPr>
        <w:spacing w:line="360" w:lineRule="auto"/>
        <w:jc w:val="both"/>
        <w:textAlignment w:val="center"/>
        <w:rPr>
          <w:rFonts w:ascii="微软雅黑" w:eastAsia="微软雅黑" w:hAnsi="微软雅黑" w:cs="微软雅黑" w:hint="eastAsia"/>
          <w:color w:val="000000"/>
        </w:rPr>
      </w:pP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A. </w:t>
      </w:r>
      <w:r>
        <w:rPr>
          <w:rFonts w:ascii="微软雅黑" w:eastAsia="微软雅黑" w:hAnsi="微软雅黑" w:cs="微软雅黑" w:hint="eastAsia"/>
          <w:color w:val="000000"/>
        </w:rPr>
        <w:t>植物园为鸟类提供易地保护的生存空间，一定程度上增加了鸟类物种多样性</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B. </w:t>
      </w:r>
      <w:r>
        <w:rPr>
          <w:rFonts w:ascii="微软雅黑" w:eastAsia="微软雅黑" w:hAnsi="微软雅黑" w:cs="微软雅黑" w:hint="eastAsia"/>
          <w:color w:val="000000"/>
        </w:rPr>
        <w:t>森林公园群落结构复杂，能够满足多种鸟类对栖息地的要求，鸟类种类较多</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C. </w:t>
      </w:r>
      <w:r>
        <w:rPr>
          <w:rFonts w:ascii="微软雅黑" w:eastAsia="微软雅黑" w:hAnsi="微软雅黑" w:cs="微软雅黑" w:hint="eastAsia"/>
          <w:color w:val="000000"/>
        </w:rPr>
        <w:t>湿地公园为鸟类提供丰富的食物及相对隐蔽的栖息场所，鸟类种类最多</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D. </w:t>
      </w:r>
      <w:r>
        <w:rPr>
          <w:rFonts w:ascii="微软雅黑" w:eastAsia="微软雅黑" w:hAnsi="微软雅黑" w:cs="微软雅黑" w:hint="eastAsia"/>
          <w:color w:val="000000"/>
        </w:rPr>
        <w:t>山体公园由于生境碎片化及人类活动频繁的干扰，鸟类物种数量最少</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【答案】</w:t>
      </w:r>
      <w:r>
        <w:rPr>
          <w:rFonts w:ascii="微软雅黑" w:eastAsia="微软雅黑" w:hAnsi="微软雅黑" w:cs="微软雅黑" w:hint="eastAsia"/>
          <w:color w:val="000000"/>
        </w:rPr>
        <w:t>A</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【解析】</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分析】保护生物多样性的措施可以概括为就地保护和易地保护两大类。就地保护是指在原地对被保护的生态系统或物种建立自然保护区以及风景名胜区等，这是对生物多样性最有效的保护。易地保护是指把保护对象从原地迁出，在异地进行专门保护。</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【详解】A、植物园为鸟类提供了食物和栖息空间，其中的鸟类不是易地保护迁来的，A错误；</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B、森林公园植物种类多样，群落结构复杂，能够满足多种鸟类对栖息地的要求，鸟类种类较多，B正确；</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C、湿地公园芦苇、水草繁茂，有机质丰富，为鸟类提供了理想的食物和隐蔽的栖息场所，鸟类种类最多，C正确；</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D、山体公园由于生境碎片化及人类活动频繁的干扰，鸟类物种数量最少，D正确。</w:t>
      </w:r>
    </w:p>
    <w:p>
      <w:pPr>
        <w:spacing w:line="360" w:lineRule="auto"/>
        <w:jc w:val="left"/>
        <w:textAlignment w:val="center"/>
        <w:rPr>
          <w:rFonts w:ascii="微软雅黑" w:eastAsia="微软雅黑" w:hAnsi="微软雅黑" w:cs="微软雅黑" w:hint="eastAsia"/>
          <w:color w:val="000000"/>
        </w:rPr>
        <w:sectPr>
          <w:headerReference w:type="even" r:id="rId57"/>
          <w:footerReference w:type="even" r:id="rId58"/>
          <w:headerReference w:type="first" r:id="rId59"/>
          <w:footerReference w:type="first" r:id="rId60"/>
          <w:type w:val="nextPage"/>
          <w:pgSz w:w="11906" w:h="16838"/>
          <w:pgMar w:top="910" w:right="1080" w:bottom="1440" w:left="1080" w:header="152" w:footer="0" w:gutter="0"/>
          <w:pgNumType w:start="13"/>
          <w:cols w:num="1" w:space="720"/>
          <w:titlePg w:val="0"/>
          <w:docGrid w:type="lines" w:linePitch="312" w:charSpace="0"/>
        </w:sectPr>
      </w:pPr>
      <w:r>
        <w:rPr>
          <w:rFonts w:ascii="微软雅黑" w:eastAsia="微软雅黑" w:hAnsi="微软雅黑" w:cs="微软雅黑" w:hint="eastAsia"/>
          <w:color w:val="000000"/>
        </w:rPr>
        <w:t>故选A。</w:t>
      </w:r>
    </w:p>
    <w:p>
      <w:pPr>
        <w:spacing w:line="360" w:lineRule="auto"/>
        <w:jc w:val="both"/>
        <w:textAlignment w:val="center"/>
        <w:rPr>
          <w:rFonts w:ascii="微软雅黑" w:eastAsia="微软雅黑" w:hAnsi="微软雅黑" w:cs="微软雅黑" w:hint="eastAsia"/>
          <w:color w:val="000000"/>
        </w:rPr>
      </w:pPr>
    </w:p>
    <w:p>
      <w:pPr>
        <w:spacing w:line="360" w:lineRule="auto"/>
        <w:jc w:val="both"/>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4. </w:t>
      </w:r>
      <w:r>
        <w:rPr>
          <w:rFonts w:ascii="微软雅黑" w:eastAsia="微软雅黑" w:hAnsi="微软雅黑" w:cs="微软雅黑" w:hint="eastAsia"/>
          <w:color w:val="000000"/>
        </w:rPr>
        <w:t>蓝莓细胞富含花青素等多酚类化合物。在蓝莓组织培养过程中，外植体切口处细胞被破坏，多酚类化合物被氧化成褐色醌类化合物，这一过程称为褐变。褐变会引起细胞生长停滞甚至死亡，导致蓝莓组织培养失败。下列叙述错误的是（</w:t>
      </w: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rPr>
        <w:t>）</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A. </w:t>
      </w:r>
      <w:r>
        <w:rPr>
          <w:rFonts w:ascii="微软雅黑" w:eastAsia="微软雅黑" w:hAnsi="微软雅黑" w:cs="微软雅黑" w:hint="eastAsia"/>
          <w:color w:val="000000"/>
        </w:rPr>
        <w:t>花青素通常存在于蓝莓细胞的液泡中</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B. </w:t>
      </w:r>
      <w:r>
        <w:rPr>
          <w:rFonts w:ascii="微软雅黑" w:eastAsia="微软雅黑" w:hAnsi="微软雅黑" w:cs="微软雅黑" w:hint="eastAsia"/>
          <w:color w:val="000000"/>
        </w:rPr>
        <w:t>适当增加培养物转移至新鲜培养基的频率以减少褐变</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C. </w:t>
      </w:r>
      <w:r>
        <w:rPr>
          <w:rFonts w:ascii="微软雅黑" w:eastAsia="微软雅黑" w:hAnsi="微软雅黑" w:cs="微软雅黑" w:hint="eastAsia"/>
          <w:color w:val="000000"/>
        </w:rPr>
        <w:t>在培养基中添加合适的抗氧化剂以减少褐变</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D. </w:t>
      </w:r>
      <w:r>
        <w:rPr>
          <w:rFonts w:ascii="微软雅黑" w:eastAsia="微软雅黑" w:hAnsi="微软雅黑" w:cs="微软雅黑" w:hint="eastAsia"/>
          <w:color w:val="000000"/>
        </w:rPr>
        <w:t>宜选用蓝莓成熟叶片为材料制备外植体</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【答案】</w:t>
      </w:r>
      <w:r>
        <w:rPr>
          <w:rFonts w:ascii="微软雅黑" w:eastAsia="微软雅黑" w:hAnsi="微软雅黑" w:cs="微软雅黑" w:hint="eastAsia"/>
          <w:color w:val="000000"/>
        </w:rPr>
        <w:t>D</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【解析】</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分析】根据题干信息：在蓝莓组织培养过程中，外植体切口处细胞被破坏，多酚类化合物被氧化成褐色醌类化合物，这一过程称为褐变。减少褐变的措施有：减少氧化剂的浓度，如勤换培养基，或添加抗氧化剂。在植物组织培养的过程中，一般选用代谢旺盛、再生能力强的器官或组织为材料制备外植体。</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【详解】A、液泡中含有糖类、无机盐、色素和蛋白质等，其中的色素是指水溶性色素，如花青素，A正确；</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B、适当增加培养物转移至新鲜培养基的频率可减少氧化剂的浓度，从而减少褐变，B正确；</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C、根据题干信息：在蓝莓组织培养过程中，外植体切口处细胞被破坏，多酚类化合物被氧化成褐色醌类化合物，这一过程称为褐变，可知在培养基中添加合适的抗氧化剂以减少褐变，C正确；</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D、一般选用代谢旺盛、再生能力强的器官或组织为材料制备外植体，D错误。</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故选D。</w:t>
      </w:r>
    </w:p>
    <w:p>
      <w:pPr>
        <w:spacing w:line="360" w:lineRule="auto"/>
        <w:jc w:val="both"/>
        <w:textAlignment w:val="center"/>
        <w:rPr>
          <w:rFonts w:ascii="微软雅黑" w:eastAsia="微软雅黑" w:hAnsi="微软雅黑" w:cs="微软雅黑" w:hint="eastAsia"/>
          <w:color w:val="000000"/>
        </w:rPr>
      </w:pPr>
    </w:p>
    <w:p>
      <w:pPr>
        <w:spacing w:line="360" w:lineRule="auto"/>
        <w:jc w:val="both"/>
        <w:textAlignment w:val="center"/>
        <w:rPr>
          <w:rFonts w:ascii="微软雅黑" w:eastAsia="微软雅黑" w:hAnsi="微软雅黑" w:cs="微软雅黑" w:hint="eastAsia"/>
          <w:color w:val="000000"/>
        </w:rPr>
        <w:sectPr>
          <w:headerReference w:type="even" r:id="rId61"/>
          <w:footerReference w:type="even" r:id="rId62"/>
          <w:headerReference w:type="first" r:id="rId63"/>
          <w:footerReference w:type="first" r:id="rId64"/>
          <w:type w:val="nextPage"/>
          <w:pgSz w:w="11906" w:h="16838"/>
          <w:pgMar w:top="910" w:right="1080" w:bottom="1440" w:left="1080" w:header="152" w:footer="0" w:gutter="0"/>
          <w:pgNumType w:start="14"/>
          <w:cols w:num="1" w:space="720"/>
          <w:titlePg w:val="0"/>
          <w:docGrid w:type="lines" w:linePitch="312" w:charSpace="0"/>
        </w:sectPr>
      </w:pPr>
      <w:r>
        <w:rPr>
          <w:rFonts w:ascii="微软雅黑" w:eastAsia="微软雅黑" w:hAnsi="微软雅黑" w:cs="微软雅黑" w:hint="eastAsia"/>
          <w:color w:val="000000"/>
        </w:rPr>
        <w:t xml:space="preserve">5. </w:t>
      </w:r>
      <w:r>
        <w:rPr>
          <w:rFonts w:ascii="微软雅黑" w:eastAsia="微软雅黑" w:hAnsi="微软雅黑" w:cs="微软雅黑" w:hint="eastAsia"/>
          <w:color w:val="000000"/>
        </w:rPr>
        <w:t>为避免航天器在执行载人航天任务时出现微生物污染风险，需要对航天器及洁净的组装车间进行环境微生物检测。下列叙述错误的是（</w:t>
      </w: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rPr>
        <w:t>）</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A. </w:t>
      </w:r>
      <w:r>
        <w:rPr>
          <w:rFonts w:ascii="微软雅黑" w:eastAsia="微软雅黑" w:hAnsi="微软雅黑" w:cs="微软雅黑" w:hint="eastAsia"/>
          <w:color w:val="000000"/>
        </w:rPr>
        <w:t>航天器上存在适应营养物质匮乏等环境的极端微生物</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B. </w:t>
      </w:r>
      <w:r>
        <w:rPr>
          <w:rFonts w:ascii="微软雅黑" w:eastAsia="微软雅黑" w:hAnsi="微软雅黑" w:cs="微软雅黑" w:hint="eastAsia"/>
          <w:color w:val="000000"/>
        </w:rPr>
        <w:t>细菌形成菌膜粘附于航天器设备表面产生生物腐蚀</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C. </w:t>
      </w:r>
      <w:r>
        <w:rPr>
          <w:rFonts w:ascii="微软雅黑" w:eastAsia="微软雅黑" w:hAnsi="微软雅黑" w:cs="微软雅黑" w:hint="eastAsia"/>
          <w:color w:val="000000"/>
        </w:rPr>
        <w:t>在组装车间地面和设备表面采集环境微生物样品</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D. </w:t>
      </w:r>
      <w:r>
        <w:rPr>
          <w:rFonts w:ascii="微软雅黑" w:eastAsia="微软雅黑" w:hAnsi="微软雅黑" w:cs="微软雅黑" w:hint="eastAsia"/>
          <w:color w:val="000000"/>
        </w:rPr>
        <w:t>采用平板划线法等分离培养微生物，观察菌落特征</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【答案】</w:t>
      </w:r>
      <w:r>
        <w:rPr>
          <w:rFonts w:ascii="微软雅黑" w:eastAsia="微软雅黑" w:hAnsi="微软雅黑" w:cs="微软雅黑" w:hint="eastAsia"/>
          <w:color w:val="000000"/>
        </w:rPr>
        <w:t>D</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【解析】</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分析】微生物常见的接种的方法：①平板划线法：将已经熔化的培养基倒入培养皿制成平板，接种，划线，在恒温箱里培养。在线的开始部分，微生物往往连在一起生长，随着线的延伸，菌数逐渐减少，最后可能形成单个菌落。②稀释涂布平板法：将待分离的菌液经过大量稀释后，均匀涂布在培养皿表面，经培养后可形成单个菌落。</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【详解】A、嗜极微生物适应极端环境的特性使它们有在空间暴露环境或地外星球环境中存活的可能，因此航天器上存在适应营养物质匮乏等环境的极端微生物，A正确；</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B、细菌形成菌膜粘附于航天器设备表面产生生物腐蚀，会腐蚀舱内材料以及设备线路、元器件，B正确；</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C、对航天器及洁净的组装车间进行环境微生物检测，需要在组装车间地面和设备表面采集环境微生物样品，C正确；</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D、航天器及洁净的组装车间环境微生物很少，分离培养微生物，观察菌落特征，不需要采用平板划线法，D错误。</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故选D。</w:t>
      </w:r>
    </w:p>
    <w:p>
      <w:pPr>
        <w:spacing w:line="285" w:lineRule="auto"/>
        <w:jc w:val="both"/>
        <w:textAlignment w:val="center"/>
        <w:rPr>
          <w:rFonts w:ascii="微软雅黑" w:eastAsia="微软雅黑" w:hAnsi="微软雅黑" w:cs="微软雅黑" w:hint="eastAsia"/>
          <w:color w:val="000000"/>
        </w:rPr>
      </w:pPr>
      <w:r>
        <w:rPr>
          <w:rFonts w:ascii="微软雅黑" w:eastAsia="微软雅黑" w:hAnsi="微软雅黑" w:cs="微软雅黑" w:hint="eastAsia"/>
          <w:b/>
          <w:color w:val="000000"/>
          <w:sz w:val="24"/>
        </w:rPr>
        <w:t>二、选择题：</w:t>
      </w:r>
      <w:r>
        <w:rPr>
          <w:rFonts w:ascii="微软雅黑" w:eastAsia="微软雅黑" w:hAnsi="微软雅黑" w:cs="微软雅黑" w:hint="eastAsia"/>
          <w:b/>
          <w:color w:val="000000"/>
          <w:sz w:val="24"/>
        </w:rPr>
        <w:t xml:space="preserve"> </w:t>
      </w:r>
    </w:p>
    <w:p>
      <w:pPr>
        <w:spacing w:line="360" w:lineRule="auto"/>
        <w:jc w:val="both"/>
        <w:textAlignment w:val="center"/>
        <w:rPr>
          <w:rFonts w:ascii="微软雅黑" w:eastAsia="微软雅黑" w:hAnsi="微软雅黑" w:cs="微软雅黑" w:hint="eastAsia"/>
          <w:color w:val="000000"/>
        </w:rPr>
      </w:pPr>
    </w:p>
    <w:p>
      <w:pPr>
        <w:spacing w:line="360" w:lineRule="auto"/>
        <w:jc w:val="both"/>
        <w:textAlignment w:val="center"/>
        <w:rPr>
          <w:rFonts w:ascii="微软雅黑" w:eastAsia="微软雅黑" w:hAnsi="微软雅黑" w:cs="微软雅黑" w:hint="eastAsia"/>
          <w:color w:val="000000"/>
        </w:rPr>
        <w:sectPr>
          <w:headerReference w:type="even" r:id="rId65"/>
          <w:footerReference w:type="even" r:id="rId66"/>
          <w:headerReference w:type="first" r:id="rId67"/>
          <w:footerReference w:type="first" r:id="rId68"/>
          <w:type w:val="nextPage"/>
          <w:pgSz w:w="11906" w:h="16838"/>
          <w:pgMar w:top="910" w:right="1080" w:bottom="1440" w:left="1080" w:header="152" w:footer="0" w:gutter="0"/>
          <w:pgNumType w:start="15"/>
          <w:cols w:num="1" w:space="720"/>
          <w:titlePg w:val="0"/>
          <w:docGrid w:type="lines" w:linePitch="312" w:charSpace="0"/>
        </w:sectPr>
      </w:pPr>
      <w:r>
        <w:rPr>
          <w:rFonts w:ascii="微软雅黑" w:eastAsia="微软雅黑" w:hAnsi="微软雅黑" w:cs="微软雅黑" w:hint="eastAsia"/>
          <w:color w:val="000000"/>
        </w:rPr>
        <w:t xml:space="preserve">6. </w:t>
      </w:r>
      <w:r>
        <w:rPr>
          <w:rFonts w:ascii="微软雅黑" w:eastAsia="微软雅黑" w:hAnsi="微软雅黑" w:cs="微软雅黑" w:hint="eastAsia"/>
          <w:color w:val="000000"/>
        </w:rPr>
        <w:t>视网膜病变是糖尿病常见并发症之一。高血糖环境中，在</w:t>
      </w:r>
      <w:r>
        <w:rPr>
          <w:rFonts w:ascii="微软雅黑" w:eastAsia="微软雅黑" w:hAnsi="微软雅黑" w:cs="微软雅黑" w:hint="eastAsia"/>
          <w:color w:val="000000"/>
        </w:rPr>
        <w:t>DNA</w:t>
      </w:r>
      <w:r>
        <w:rPr>
          <w:rFonts w:ascii="微软雅黑" w:eastAsia="微软雅黑" w:hAnsi="微软雅黑" w:cs="微软雅黑" w:hint="eastAsia"/>
          <w:color w:val="000000"/>
        </w:rPr>
        <w:t>甲基转移酶催化下，部分胞嘧啶加上活化的甲基被修饰为</w:t>
      </w:r>
      <w:r>
        <w:rPr>
          <w:rFonts w:ascii="微软雅黑" w:eastAsia="微软雅黑" w:hAnsi="微软雅黑" w:cs="微软雅黑" w:hint="eastAsia"/>
          <w:color w:val="000000"/>
        </w:rPr>
        <w:t>5'-</w:t>
      </w:r>
      <w:r>
        <w:rPr>
          <w:rFonts w:ascii="微软雅黑" w:eastAsia="微软雅黑" w:hAnsi="微软雅黑" w:cs="微软雅黑" w:hint="eastAsia"/>
          <w:color w:val="000000"/>
        </w:rPr>
        <w:t>甲基胞嘧啶，使视网膜细胞线粒体</w:t>
      </w:r>
      <w:r>
        <w:rPr>
          <w:rFonts w:ascii="微软雅黑" w:eastAsia="微软雅黑" w:hAnsi="微软雅黑" w:cs="微软雅黑" w:hint="eastAsia"/>
          <w:color w:val="000000"/>
        </w:rPr>
        <w:t>DNA</w:t>
      </w:r>
    </w:p>
    <w:p>
      <w:pPr>
        <w:spacing w:line="360" w:lineRule="auto"/>
        <w:jc w:val="both"/>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碱基甲基化水平升高，可引起视网膜细胞线粒体损伤和功能异常。下列叙述正确的是（</w:t>
      </w: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rPr>
        <w:t>）</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A. </w:t>
      </w:r>
      <w:r>
        <w:rPr>
          <w:rFonts w:ascii="微软雅黑" w:eastAsia="微软雅黑" w:hAnsi="微软雅黑" w:cs="微软雅黑" w:hint="eastAsia"/>
          <w:color w:val="000000"/>
        </w:rPr>
        <w:t>线粒体</w:t>
      </w:r>
      <w:r>
        <w:rPr>
          <w:rFonts w:ascii="微软雅黑" w:eastAsia="微软雅黑" w:hAnsi="微软雅黑" w:cs="微软雅黑" w:hint="eastAsia"/>
          <w:color w:val="000000"/>
        </w:rPr>
        <w:t>DNA</w:t>
      </w:r>
      <w:r>
        <w:rPr>
          <w:rFonts w:ascii="微软雅黑" w:eastAsia="微软雅黑" w:hAnsi="微软雅黑" w:cs="微软雅黑" w:hint="eastAsia"/>
          <w:color w:val="000000"/>
        </w:rPr>
        <w:t>甲基化水平升高，可抑制相关基因的表达</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B. </w:t>
      </w:r>
      <w:r>
        <w:rPr>
          <w:rFonts w:ascii="微软雅黑" w:eastAsia="微软雅黑" w:hAnsi="微软雅黑" w:cs="微软雅黑" w:hint="eastAsia"/>
          <w:color w:val="000000"/>
        </w:rPr>
        <w:t>高血糖环境中，线粒体</w:t>
      </w:r>
      <w:r>
        <w:rPr>
          <w:rFonts w:ascii="微软雅黑" w:eastAsia="微软雅黑" w:hAnsi="微软雅黑" w:cs="微软雅黑" w:hint="eastAsia"/>
          <w:color w:val="000000"/>
        </w:rPr>
        <w:t>DNA</w:t>
      </w:r>
      <w:r>
        <w:rPr>
          <w:rFonts w:ascii="微软雅黑" w:eastAsia="微软雅黑" w:hAnsi="微软雅黑" w:cs="微软雅黑" w:hint="eastAsia"/>
          <w:color w:val="000000"/>
        </w:rPr>
        <w:t>在复制时也遵循碱基互补配对原则</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C. </w:t>
      </w:r>
      <w:r>
        <w:rPr>
          <w:rFonts w:ascii="微软雅黑" w:eastAsia="微软雅黑" w:hAnsi="微软雅黑" w:cs="微软雅黑" w:hint="eastAsia"/>
          <w:color w:val="000000"/>
        </w:rPr>
        <w:t>高血糖环境引起的甲基化修饰改变了患者线粒体</w:t>
      </w:r>
      <w:r>
        <w:rPr>
          <w:rFonts w:ascii="微软雅黑" w:eastAsia="微软雅黑" w:hAnsi="微软雅黑" w:cs="微软雅黑" w:hint="eastAsia"/>
          <w:color w:val="000000"/>
        </w:rPr>
        <w:t>DNA</w:t>
      </w:r>
      <w:r>
        <w:rPr>
          <w:rFonts w:ascii="微软雅黑" w:eastAsia="微软雅黑" w:hAnsi="微软雅黑" w:cs="微软雅黑" w:hint="eastAsia"/>
          <w:color w:val="000000"/>
        </w:rPr>
        <w:t>碱基序列</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D. </w:t>
      </w:r>
      <w:r>
        <w:rPr>
          <w:rFonts w:ascii="微软雅黑" w:eastAsia="微软雅黑" w:hAnsi="微软雅黑" w:cs="微软雅黑" w:hint="eastAsia"/>
          <w:color w:val="000000"/>
        </w:rPr>
        <w:t>糖尿病患者线粒体</w:t>
      </w:r>
      <w:r>
        <w:rPr>
          <w:rFonts w:ascii="微软雅黑" w:eastAsia="微软雅黑" w:hAnsi="微软雅黑" w:cs="微软雅黑" w:hint="eastAsia"/>
          <w:color w:val="000000"/>
        </w:rPr>
        <w:t>DNA</w:t>
      </w:r>
      <w:r>
        <w:rPr>
          <w:rFonts w:ascii="微软雅黑" w:eastAsia="微软雅黑" w:hAnsi="微软雅黑" w:cs="微软雅黑" w:hint="eastAsia"/>
          <w:color w:val="000000"/>
        </w:rPr>
        <w:t>高甲基化水平可遗传</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【答案】</w:t>
      </w:r>
      <w:r>
        <w:rPr>
          <w:rFonts w:ascii="微软雅黑" w:eastAsia="微软雅黑" w:hAnsi="微软雅黑" w:cs="微软雅黑" w:hint="eastAsia"/>
          <w:color w:val="000000"/>
        </w:rPr>
        <w:t>ABD</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【解析】</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【分析】</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表观遗传学是研究基因的核苷酸序列不发生改变的情况下，基因表达的可遗传的变化的一门遗传学分支学科。表观遗传的现象很多，已知的有DNA甲基化，基因组印记，母体效应，基因沉默，核仁显性，休眠转座子激活和RNA编辑等。</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2、基因的碱基序列不变，但表达水平发生可遗传变化，这种现象称为表观遗传。</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【详解】A、线粒体DNA甲基化水平升高，可抑制相关基因的表达，可引起视网膜细胞线粒体损伤和功能异常，A正确；</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B、线粒体DNA也是双螺旋结构，在复制时也遵循碱基互补配对原则，B正确；</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C、基化修饰并不改变患者线粒体DNA碱基序列，C错误；</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D、女性糖尿病患者线粒体DNA高甲基化水平可遗传，D正确。</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故选ABD。</w:t>
      </w:r>
    </w:p>
    <w:p>
      <w:pPr>
        <w:spacing w:line="360" w:lineRule="auto"/>
        <w:jc w:val="both"/>
        <w:textAlignment w:val="center"/>
        <w:rPr>
          <w:rFonts w:ascii="微软雅黑" w:eastAsia="微软雅黑" w:hAnsi="微软雅黑" w:cs="微软雅黑" w:hint="eastAsia"/>
          <w:color w:val="000000"/>
        </w:rPr>
      </w:pPr>
    </w:p>
    <w:p>
      <w:pPr>
        <w:spacing w:line="360" w:lineRule="auto"/>
        <w:jc w:val="both"/>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7. </w:t>
      </w:r>
      <w:r>
        <w:rPr>
          <w:rFonts w:ascii="微软雅黑" w:eastAsia="微软雅黑" w:hAnsi="微软雅黑" w:cs="微软雅黑" w:hint="eastAsia"/>
          <w:color w:val="000000"/>
        </w:rPr>
        <w:t>Fe</w:t>
      </w:r>
    </w:p>
    <w:p>
      <w:pPr>
        <w:spacing w:line="360" w:lineRule="auto"/>
        <w:jc w:val="both"/>
        <w:textAlignment w:val="center"/>
        <w:rPr>
          <w:rFonts w:ascii="微软雅黑" w:eastAsia="微软雅黑" w:hAnsi="微软雅黑" w:cs="微软雅黑" w:hint="eastAsia"/>
          <w:color w:val="000000"/>
        </w:rPr>
        <w:sectPr>
          <w:headerReference w:type="even" r:id="rId69"/>
          <w:footerReference w:type="even" r:id="rId70"/>
          <w:headerReference w:type="first" r:id="rId71"/>
          <w:footerReference w:type="first" r:id="rId72"/>
          <w:type w:val="nextPage"/>
          <w:pgSz w:w="11906" w:h="16838"/>
          <w:pgMar w:top="910" w:right="1080" w:bottom="1440" w:left="1080" w:header="152" w:footer="0" w:gutter="0"/>
          <w:pgNumType w:start="16"/>
          <w:cols w:num="1" w:space="720"/>
          <w:titlePg w:val="0"/>
          <w:docGrid w:type="lines" w:linePitch="312" w:charSpace="0"/>
        </w:sectPr>
      </w:pPr>
      <w:r>
        <w:rPr>
          <w:rFonts w:ascii="微软雅黑" w:eastAsia="微软雅黑" w:hAnsi="微软雅黑" w:cs="微软雅黑" w:hint="eastAsia"/>
          <w:color w:val="000000"/>
          <w:vertAlign w:val="superscript"/>
        </w:rPr>
        <w:t>+</w:t>
      </w:r>
      <w:r>
        <w:rPr>
          <w:rFonts w:ascii="微软雅黑" w:eastAsia="微软雅黑" w:hAnsi="微软雅黑" w:cs="微软雅黑" w:hint="eastAsia"/>
          <w:color w:val="000000"/>
        </w:rPr>
        <w:t>通过运铁蛋白与受体结合被输入哺乳动物生长细胞，最终以</w:t>
      </w:r>
      <w:r>
        <w:rPr>
          <w:rFonts w:ascii="微软雅黑" w:eastAsia="微软雅黑" w:hAnsi="微软雅黑" w:cs="微软雅黑" w:hint="eastAsia"/>
          <w:color w:val="000000"/>
        </w:rPr>
        <w:t>Fe</w:t>
      </w:r>
      <w:r>
        <w:rPr>
          <w:rFonts w:ascii="微软雅黑" w:eastAsia="微软雅黑" w:hAnsi="微软雅黑" w:cs="微软雅黑" w:hint="eastAsia"/>
          <w:color w:val="000000"/>
          <w:vertAlign w:val="superscript"/>
        </w:rPr>
        <w:t>2+</w:t>
      </w:r>
      <w:r>
        <w:rPr>
          <w:rFonts w:ascii="微软雅黑" w:eastAsia="微软雅黑" w:hAnsi="微软雅黑" w:cs="微软雅黑" w:hint="eastAsia"/>
          <w:color w:val="000000"/>
        </w:rPr>
        <w:t>形式进入细胞质基质，相关过程如图所示。细胞内若</w:t>
      </w:r>
      <w:r>
        <w:rPr>
          <w:rFonts w:ascii="微软雅黑" w:eastAsia="微软雅黑" w:hAnsi="微软雅黑" w:cs="微软雅黑" w:hint="eastAsia"/>
          <w:color w:val="000000"/>
        </w:rPr>
        <w:t>Fe</w:t>
      </w:r>
      <w:r>
        <w:rPr>
          <w:rFonts w:ascii="微软雅黑" w:eastAsia="微软雅黑" w:hAnsi="微软雅黑" w:cs="微软雅黑" w:hint="eastAsia"/>
          <w:color w:val="000000"/>
          <w:vertAlign w:val="superscript"/>
        </w:rPr>
        <w:t>2+</w:t>
      </w:r>
      <w:r>
        <w:rPr>
          <w:rFonts w:ascii="微软雅黑" w:eastAsia="微软雅黑" w:hAnsi="微软雅黑" w:cs="微软雅黑" w:hint="eastAsia"/>
          <w:color w:val="000000"/>
        </w:rPr>
        <w:t>过多会引发膜脂质过氧化，导致细胞发生铁依赖的程序性死亡，称为铁死亡。下列叙述正确的是（</w:t>
      </w: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rPr>
        <w:t>）</w:t>
      </w:r>
    </w:p>
    <w:p>
      <w:pPr>
        <w:spacing w:line="360" w:lineRule="auto"/>
        <w:jc w:val="both"/>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drawing>
          <wp:inline distT="0" distB="0" distL="114300" distR="114300">
            <wp:extent cx="4276725" cy="22860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73"/>
                    <a:stretch>
                      <a:fillRect/>
                    </a:stretch>
                  </pic:blipFill>
                  <pic:spPr>
                    <a:xfrm>
                      <a:off x="0" y="0"/>
                      <a:ext cx="4276725" cy="2286000"/>
                    </a:xfrm>
                    <a:prstGeom prst="rect">
                      <a:avLst/>
                    </a:prstGeom>
                  </pic:spPr>
                </pic:pic>
              </a:graphicData>
            </a:graphic>
          </wp:inline>
        </w:drawing>
      </w:r>
    </w:p>
    <w:p>
      <w:pPr>
        <w:spacing w:line="360" w:lineRule="auto"/>
        <w:jc w:val="both"/>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注：早期内体和晚期内体是溶酶体形成前的结构形式</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A. </w:t>
      </w:r>
      <w:r>
        <w:rPr>
          <w:rFonts w:ascii="微软雅黑" w:eastAsia="微软雅黑" w:hAnsi="微软雅黑" w:cs="微软雅黑" w:hint="eastAsia"/>
          <w:color w:val="000000"/>
        </w:rPr>
        <w:t>铁死亡和细胞自噬都受基因调控</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B. </w:t>
      </w:r>
      <w:r>
        <w:rPr>
          <w:rFonts w:ascii="微软雅黑" w:eastAsia="微软雅黑" w:hAnsi="微软雅黑" w:cs="微软雅黑" w:hint="eastAsia"/>
          <w:color w:val="000000"/>
        </w:rPr>
        <w:t>运铁蛋白结合与释放</w:t>
      </w:r>
      <w:r>
        <w:rPr>
          <w:rFonts w:ascii="微软雅黑" w:eastAsia="微软雅黑" w:hAnsi="微软雅黑" w:cs="微软雅黑" w:hint="eastAsia"/>
          <w:color w:val="000000"/>
        </w:rPr>
        <w:t>Fe</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vertAlign w:val="superscript"/>
        </w:rPr>
        <w:t>+</w:t>
      </w:r>
      <w:r>
        <w:rPr>
          <w:rFonts w:ascii="微软雅黑" w:eastAsia="微软雅黑" w:hAnsi="微软雅黑" w:cs="微软雅黑" w:hint="eastAsia"/>
          <w:color w:val="000000"/>
        </w:rPr>
        <w:t>的环境</w:t>
      </w:r>
      <w:r>
        <w:rPr>
          <w:rFonts w:ascii="微软雅黑" w:eastAsia="微软雅黑" w:hAnsi="微软雅黑" w:cs="微软雅黑" w:hint="eastAsia"/>
          <w:color w:val="000000"/>
        </w:rPr>
        <w:t>pH</w:t>
      </w:r>
      <w:r>
        <w:rPr>
          <w:rFonts w:ascii="微软雅黑" w:eastAsia="微软雅黑" w:hAnsi="微软雅黑" w:cs="微软雅黑" w:hint="eastAsia"/>
          <w:color w:val="000000"/>
        </w:rPr>
        <w:t>不同</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C. </w:t>
      </w:r>
      <w:r>
        <w:rPr>
          <w:rFonts w:ascii="微软雅黑" w:eastAsia="微软雅黑" w:hAnsi="微软雅黑" w:cs="微软雅黑" w:hint="eastAsia"/>
          <w:color w:val="000000"/>
        </w:rPr>
        <w:t>细胞膜的脂质过氧化会导致膜流动性降低</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D. </w:t>
      </w:r>
      <w:r>
        <w:rPr>
          <w:rFonts w:ascii="微软雅黑" w:eastAsia="微软雅黑" w:hAnsi="微软雅黑" w:cs="微软雅黑" w:hint="eastAsia"/>
          <w:color w:val="000000"/>
        </w:rPr>
        <w:t>运铁蛋白携带</w:t>
      </w:r>
      <w:r>
        <w:rPr>
          <w:rFonts w:ascii="微软雅黑" w:eastAsia="微软雅黑" w:hAnsi="微软雅黑" w:cs="微软雅黑" w:hint="eastAsia"/>
          <w:color w:val="000000"/>
        </w:rPr>
        <w:t>Fe</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vertAlign w:val="superscript"/>
        </w:rPr>
        <w:t>+</w:t>
      </w:r>
      <w:r>
        <w:rPr>
          <w:rFonts w:ascii="微软雅黑" w:eastAsia="微软雅黑" w:hAnsi="微软雅黑" w:cs="微软雅黑" w:hint="eastAsia"/>
          <w:color w:val="000000"/>
        </w:rPr>
        <w:t>进入细胞不需要消耗能量</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【答案】</w:t>
      </w:r>
      <w:r>
        <w:rPr>
          <w:rFonts w:ascii="微软雅黑" w:eastAsia="微软雅黑" w:hAnsi="微软雅黑" w:cs="微软雅黑" w:hint="eastAsia"/>
          <w:color w:val="000000"/>
        </w:rPr>
        <w:t>ABC</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【解析】</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【分析】运铁蛋白与铁离子结合后成为铁结合运铁蛋白，该蛋白 与细胞膜上的运铁蛋白受体结合并引起细胞膜内陷，最终运送铁离子进入细胞，该过程表明细胞膜具有识别功能，也说明细胞膜在结构上具有流动性，A正确。</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【详解】A、铁死亡是一种铁依赖性的，区别于细胞凋亡、细胞坏死、细胞自噬的新型的细胞程序性死亡方式，受基因调控，A正确；</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B、从图中运铁蛋白与铁离子的结合及分离,可以看出环境溶液pH为5.0时，运铁蛋白与铁离子分离，环境溶液pH为7.0时，运铁蛋白与其受体分离，随后与铁离子结合成铁结合运铁蛋白，B正确；</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C、细胞器和细胞膜结构的改变和功能障碍是脂质过氧化的最明显后果，包括膜流动性降低，C正确；</w:t>
      </w:r>
      <w:r>
        <w:rPr>
          <w:rFonts w:ascii="微软雅黑" w:eastAsia="微软雅黑" w:hAnsi="微软雅黑" w:cs="微软雅黑" w:hint="eastAsia"/>
          <w:color w:val="000000"/>
        </w:rPr>
        <w:br/>
      </w:r>
      <w:r>
        <w:rPr>
          <w:rFonts w:ascii="微软雅黑" w:eastAsia="微软雅黑" w:hAnsi="微软雅黑" w:cs="微软雅黑" w:hint="eastAsia"/>
          <w:color w:val="000000"/>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74" w:history="1">
        <w:r>
          <w:rPr>
            <w:rFonts w:ascii="SimSun" w:eastAsia="SimSun" w:hAnsi="SimSun" w:cs="SimSun"/>
            <w:b/>
            <w:bCs/>
            <w:color w:val="0000EE"/>
            <w:kern w:val="0"/>
            <w:sz w:val="30"/>
            <w:szCs w:val="30"/>
            <w:u w:val="single" w:color="0000EE"/>
          </w:rPr>
          <w:t>https://d.book118.com/598033132053006042</w:t>
        </w:r>
      </w:hyperlink>
    </w:p>
    <w:p>
      <w:pPr>
        <w:spacing w:line="360" w:lineRule="auto"/>
        <w:jc w:val="left"/>
        <w:textAlignment w:val="center"/>
        <w:rPr>
          <w:rFonts w:ascii="微软雅黑" w:eastAsia="微软雅黑" w:hAnsi="微软雅黑" w:cs="微软雅黑" w:hint="eastAsia"/>
          <w:color w:val="000000"/>
        </w:rPr>
      </w:pPr>
    </w:p>
    <w:sectPr>
      <w:headerReference w:type="even" r:id="rId75"/>
      <w:footerReference w:type="even" r:id="rId76"/>
      <w:headerReference w:type="first" r:id="rId77"/>
      <w:footerReference w:type="first" r:id="rId78"/>
      <w:type w:val="nextPage"/>
      <w:pgSz w:w="11906" w:h="16838"/>
      <w:pgMar w:top="910" w:right="1080" w:bottom="1440" w:left="1080" w:header="152" w:footer="0" w:gutter="0"/>
      <w:pgNumType w:start="17"/>
      <w:cols w:num="1" w:space="720"/>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46A06E7"/>
    <w:rsid w:val="38274566"/>
    <w:rsid w:val="41A42F79"/>
    <w:rsid w:val="46716B8B"/>
    <w:rsid w:val="6CDB0FB3"/>
  </w:rsids>
  <w:docVars>
    <w:docVar w:name="commondata" w:val="eyJoZGlkIjoiOGJiMGQ3NmNiNDBlZjk3NmQzODViMjhiY2E3MTYwZGI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nhideWhenUsed="0" w:qFormat="1"/>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1"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qFormat="1"/>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uiPriority="0"/>
    <w:lsdException w:name="HTML Sample" w:semiHidden="0" w:uiPriority="0" w:unhideWhenUsed="0"/>
    <w:lsdException w:name="HTML Typewriter" w:semiHidden="0" w:uiPriority="0" w:unhideWhenUsed="0"/>
    <w:lsdException w:name="HTML Variable" w:semiHidden="0" w:uiPriority="0" w:unhideWhenUsed="0"/>
    <w:lsdException w:name="Normal Table" w:qFormat="1"/>
    <w:lsdException w:name="annotation subject" w:semiHidden="0" w:uiPriority="0" w:unhideWhenUsed="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semiHidden="0" w:uiPriority="0" w:unhideWhenUsed="0"/>
    <w:lsdException w:name="Table Grid" w:semiHidden="0" w:uiPriority="0" w:unhideWhenUsed="0"/>
    <w:lsdException w:name="Table Theme" w:uiPriority="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宋体"/>
      <w:kern w:val="2"/>
      <w:sz w:val="21"/>
      <w:szCs w:val="24"/>
      <w:lang w:val="en-US" w:eastAsia="zh-CN" w:bidi="ar-SA"/>
    </w:rPr>
  </w:style>
  <w:style w:type="character" w:default="1" w:styleId="DefaultParagraphFont">
    <w:name w:val="Default Paragraph Font"/>
    <w:uiPriority w:val="1"/>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 w:type="paragraph" w:styleId="Footer">
    <w:name w:val="footer"/>
    <w:basedOn w:val="Normal"/>
    <w:autoRedefine/>
    <w:qFormat/>
    <w:pPr>
      <w:tabs>
        <w:tab w:val="center" w:pos="4153"/>
        <w:tab w:val="right" w:pos="8306"/>
      </w:tabs>
      <w:snapToGrid w:val="0"/>
      <w:jc w:val="left"/>
    </w:pPr>
    <w:rPr>
      <w:sz w:val="18"/>
    </w:rPr>
  </w:style>
  <w:style w:type="paragraph" w:styleId="Header">
    <w:name w:val="header"/>
    <w:basedOn w:val="Normal"/>
    <w:link w:val="Char"/>
    <w:autoRedefine/>
    <w:uiPriority w:val="99"/>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Hyperlink">
    <w:name w:val="Hyperlink"/>
    <w:basedOn w:val="DefaultParagraphFont"/>
    <w:autoRedefine/>
    <w:uiPriority w:val="99"/>
    <w:unhideWhenUsed/>
    <w:qFormat/>
    <w:rPr>
      <w:color w:val="0000FF"/>
      <w:u w:val="single"/>
    </w:rPr>
  </w:style>
  <w:style w:type="character" w:customStyle="1" w:styleId="Char">
    <w:name w:val="页眉 Char"/>
    <w:basedOn w:val="DefaultParagraphFont"/>
    <w:link w:val="Header"/>
    <w:autoRedefine/>
    <w:uiPriority w:val="99"/>
    <w:qFormat/>
    <w:rPr>
      <w:kern w:val="2"/>
      <w:sz w:val="18"/>
      <w:szCs w:val="24"/>
    </w:rPr>
  </w:style>
  <w:style w:type="paragraph" w:styleId="NoSpacing">
    <w:name w:val="No Spacing"/>
    <w:autoRedefine/>
    <w:uiPriority w:val="1"/>
    <w:qFormat/>
    <w:rPr>
      <w:rFonts w:eastAsia="Microsoft YaHei UI" w:asciiTheme="minorHAnsi" w:hAnsiTheme="minorHAnsi" w:cstheme="minorBidi"/>
      <w:sz w:val="22"/>
      <w:szCs w:val="22"/>
      <w:lang w:val="en-US" w:eastAsia="zh-CN" w:bidi="ar-SA"/>
    </w:rPr>
  </w:style>
  <w:style w:type="paragraph" w:styleId="ListParagraph">
    <w:name w:val="List Paragraph"/>
    <w:basedOn w:val="Normal"/>
    <w:uiPriority w:val="99"/>
    <w:qFormat/>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header" Target="header5.xml" /><Relationship Id="rId15" Type="http://schemas.openxmlformats.org/officeDocument/2006/relationships/footer" Target="footer5.xml" /><Relationship Id="rId16" Type="http://schemas.openxmlformats.org/officeDocument/2006/relationships/header" Target="header6.xml" /><Relationship Id="rId17" Type="http://schemas.openxmlformats.org/officeDocument/2006/relationships/footer" Target="footer6.xml" /><Relationship Id="rId18" Type="http://schemas.openxmlformats.org/officeDocument/2006/relationships/image" Target="media/image2.wmf"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image" Target="media/image3.wmf" /><Relationship Id="rId48" Type="http://schemas.openxmlformats.org/officeDocument/2006/relationships/header" Target="header21.xml" /><Relationship Id="rId49" Type="http://schemas.openxmlformats.org/officeDocument/2006/relationships/footer" Target="footer21.xml" /><Relationship Id="rId5" Type="http://schemas.openxmlformats.org/officeDocument/2006/relationships/image" Target="media/image1.png" /><Relationship Id="rId50" Type="http://schemas.openxmlformats.org/officeDocument/2006/relationships/header" Target="header22.xml" /><Relationship Id="rId51" Type="http://schemas.openxmlformats.org/officeDocument/2006/relationships/footer" Target="footer22.xml" /><Relationship Id="rId52" Type="http://schemas.openxmlformats.org/officeDocument/2006/relationships/image" Target="media/image4.png" /><Relationship Id="rId53" Type="http://schemas.openxmlformats.org/officeDocument/2006/relationships/header" Target="header23.xml" /><Relationship Id="rId54" Type="http://schemas.openxmlformats.org/officeDocument/2006/relationships/footer" Target="footer23.xml" /><Relationship Id="rId55" Type="http://schemas.openxmlformats.org/officeDocument/2006/relationships/header" Target="header24.xml" /><Relationship Id="rId56" Type="http://schemas.openxmlformats.org/officeDocument/2006/relationships/footer" Target="footer24.xml" /><Relationship Id="rId57" Type="http://schemas.openxmlformats.org/officeDocument/2006/relationships/header" Target="header25.xml" /><Relationship Id="rId58" Type="http://schemas.openxmlformats.org/officeDocument/2006/relationships/footer" Target="footer25.xml" /><Relationship Id="rId59" Type="http://schemas.openxmlformats.org/officeDocument/2006/relationships/header" Target="header26.xml" /><Relationship Id="rId6" Type="http://schemas.openxmlformats.org/officeDocument/2006/relationships/header" Target="header1.xml" /><Relationship Id="rId60" Type="http://schemas.openxmlformats.org/officeDocument/2006/relationships/footer" Target="footer26.xml" /><Relationship Id="rId61" Type="http://schemas.openxmlformats.org/officeDocument/2006/relationships/header" Target="header27.xml" /><Relationship Id="rId62" Type="http://schemas.openxmlformats.org/officeDocument/2006/relationships/footer" Target="footer27.xml" /><Relationship Id="rId63" Type="http://schemas.openxmlformats.org/officeDocument/2006/relationships/header" Target="header28.xml" /><Relationship Id="rId64" Type="http://schemas.openxmlformats.org/officeDocument/2006/relationships/footer" Target="footer28.xml" /><Relationship Id="rId65" Type="http://schemas.openxmlformats.org/officeDocument/2006/relationships/header" Target="header29.xml" /><Relationship Id="rId66" Type="http://schemas.openxmlformats.org/officeDocument/2006/relationships/footer" Target="footer29.xml" /><Relationship Id="rId67" Type="http://schemas.openxmlformats.org/officeDocument/2006/relationships/header" Target="header30.xml" /><Relationship Id="rId68" Type="http://schemas.openxmlformats.org/officeDocument/2006/relationships/footer" Target="footer30.xml" /><Relationship Id="rId69" Type="http://schemas.openxmlformats.org/officeDocument/2006/relationships/header" Target="header31.xml" /><Relationship Id="rId7" Type="http://schemas.openxmlformats.org/officeDocument/2006/relationships/footer" Target="footer1.xml" /><Relationship Id="rId70" Type="http://schemas.openxmlformats.org/officeDocument/2006/relationships/footer" Target="footer31.xml" /><Relationship Id="rId71" Type="http://schemas.openxmlformats.org/officeDocument/2006/relationships/header" Target="header32.xml" /><Relationship Id="rId72" Type="http://schemas.openxmlformats.org/officeDocument/2006/relationships/footer" Target="footer32.xml" /><Relationship Id="rId73" Type="http://schemas.openxmlformats.org/officeDocument/2006/relationships/image" Target="media/image5.png" /><Relationship Id="rId74" Type="http://schemas.openxmlformats.org/officeDocument/2006/relationships/hyperlink" Target="https://d.book118.com/598033132053006042" TargetMode="External" /><Relationship Id="rId75" Type="http://schemas.openxmlformats.org/officeDocument/2006/relationships/header" Target="header33.xml" /><Relationship Id="rId76" Type="http://schemas.openxmlformats.org/officeDocument/2006/relationships/footer" Target="footer33.xml" /><Relationship Id="rId77" Type="http://schemas.openxmlformats.org/officeDocument/2006/relationships/header" Target="header34.xml" /><Relationship Id="rId78" Type="http://schemas.openxmlformats.org/officeDocument/2006/relationships/footer" Target="footer34.xml" /><Relationship Id="rId79" Type="http://schemas.openxmlformats.org/officeDocument/2006/relationships/theme" Target="theme/theme1.xml" /><Relationship Id="rId8" Type="http://schemas.openxmlformats.org/officeDocument/2006/relationships/header" Target="header2.xml" /><Relationship Id="rId80" Type="http://schemas.openxmlformats.org/officeDocument/2006/relationships/styles" Target="styles.xml" /><Relationship Id="rId9" Type="http://schemas.openxmlformats.org/officeDocument/2006/relationships/footer" Target="foot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17</Pages>
  <Words>0</Words>
  <Characters>0</Characters>
  <Application>Microsoft Office Word</Application>
  <DocSecurity>0</DocSecurity>
  <Lines>0</Lines>
  <Paragraphs>0</Paragraphs>
  <ScaleCrop>false</ScaleCrop>
  <Company>学科网 www.zxxk.com</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3097467663097856</dc:description>
  <cp:lastModifiedBy>马兵兵</cp:lastModifiedBy>
  <cp:revision>7</cp:revision>
  <dcterms:created xsi:type="dcterms:W3CDTF">2022-11-16T16:00:00Z</dcterms:created>
  <dcterms:modified xsi:type="dcterms:W3CDTF">2024-03-04T14:33:00Z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ICV">
    <vt:lpwstr>1A52E1D68F9C48C480D893D74AD5F840_13</vt:lpwstr>
  </property>
  <property fmtid="{D5CDD505-2E9C-101B-9397-08002B2CF9AE}" pid="7" name="KSOProductBuildVer">
    <vt:lpwstr>2052-12.1.0.16399</vt:lpwstr>
  </property>
</Properties>
</file>