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2018-2023年四川汽车职业技术学院高职单招（数学／语文／英语）历年常考试题库含答案解析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提出“文章合为时而著，歌诗合为事而作”创作主张的诗人是（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A.书信体记叙文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B.书信体议论文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C.书信体抒情文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D.奏章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巴金创作的最著名的长篇小说三部曲是（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A.《蚀》三部曲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B.《爱情三部曲》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C.《激流三部曲》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D.《抗战三部曲》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下列句子中属于呼告句的是（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A.三杯两盏淡酒，怎敌他、晚来风急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B.雁过也，正伤心，却是旧时相识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C.满地黄花堆积，憔悴损，如今有谁堪摘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D.这次第，怎一个愁字了得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下列选项中，画线部分翻译错误的一项是（）。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A.闻道百，以为莫己若者，我之谓也以为~~莫己若者：认为没有谁如同自己一样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B.今乃弃黔首以资敌国，却宾客以业诸侯~~却宾客以业诸侯：驱逐宾客使诸侯成就功业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C.填然鼓之，兵刃既接，弃甲曳兵而走~~弃甲曳兵而走：抛弃了铠甲、拖着士兵离开了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D.制，岩邑也，虢叔死焉，佗邑为命制~~岩邑也：制是险要的城邑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“多行不义必自毙”出自（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下列作品中，同属于人物传记的是（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A.《张中丞传后叙》《陈情表》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B.《五代史伶官传序》《马伶传》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C.《李将军列传》《冯谖客孟尝君》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D.《李将军列传》《马伶传》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曹操的《短歌行》（其一）是一首（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A.新乐府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C.乐府旧题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A.俄国诗人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B.俄国散文随笔作家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C.俄国政论家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D.俄国短篇小说之王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古语“多行不义必自毙”出自（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下列诗句中化用了《诗经》中诗句的是（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A.对酒当歌，人生几何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B.山不厌高，海不厌深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C.呦呦鹿鸣，食野之苹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D.周公吐哺，天下归心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12.</w:t>
      </w:r>
      <w:r>
        <w:rPr>
          <w:rFonts w:ascii="黑体" w:eastAsia="黑体" w:hAnsi="黑体" w:cs="Times New Roman"/>
          <w:sz w:val="24"/>
          <w:lang w:val="en-US" w:eastAsia="ja-JP" w:bidi="ar-SA"/>
        </w:rPr>
        <w:t>在《寡人之于国也》中，孟子认为达到“数口之家，可以无饥”这一目标的主要措施是（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A.五亩之宅，树之以桑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B.鸡豚狗彘之畜，无失其时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C.百亩之田，勿夺其时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D.谨庠序之教，申之以孝悌之义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1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2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13.</w:t>
      </w:r>
      <w:r>
        <w:rPr>
          <w:rFonts w:ascii="黑体" w:eastAsia="黑体" w:hAnsi="黑体" w:cs="Times New Roman"/>
          <w:sz w:val="24"/>
          <w:lang w:val="en-US" w:eastAsia="ja-JP" w:bidi="ar-SA"/>
        </w:rPr>
        <w:t>“忽如一夜春风来，千树万树梨花开”这两句诗所采用的修辞方法是（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A.比喻、夸张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C.借代、比喻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D.借代、夸张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2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  <w:r w:rsidRPr="00730BBD">
        <w:rPr>
          <w:rFonts w:ascii="黑体" w:eastAsia="黑体" w:hAnsi="黑体"/>
          <w:sz w:val="24"/>
          <w:lang w:val="en-US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https://d.book118.com/598050066132006040</w:t>
        </w:r>
      </w:hyperlink>
    </w:p>
    <w:p w:rsidR="00327933" w:rsidRPr="00730BBD" w:rsidP="00386F93">
      <w:pPr>
        <w:pStyle w:val="Normal12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598050066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