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3" w:line="240" w:lineRule="auto"/>
        <w:rPr>
          <w:sz w:val="22"/>
        </w:rPr>
      </w:pPr>
    </w:p>
    <w:p>
      <w:pPr>
        <w:pStyle w:val="Title"/>
      </w:pPr>
      <w:r>
        <w:t>上海建筑风环境设计气象参数标准</w:t>
      </w:r>
    </w:p>
    <w:p>
      <w:pPr>
        <w:spacing w:after="0"/>
        <w:sectPr>
          <w:footerReference w:type="default" r:id="rId4"/>
          <w:type w:val="continuous"/>
          <w:pgSz w:w="11910" w:h="16840"/>
          <w:pgMar w:top="1580" w:right="1080" w:bottom="1740" w:left="1340" w:header="708" w:footer="1545"/>
          <w:pgNumType w:start="1"/>
          <w:cols w:space="708"/>
        </w:sectPr>
      </w:pPr>
    </w:p>
    <w:p>
      <w:pPr>
        <w:pStyle w:val="BodyText"/>
        <w:spacing w:before="6"/>
        <w:rPr>
          <w:rFonts w:ascii="黑体"/>
          <w:b/>
          <w:sz w:val="10"/>
        </w:rPr>
      </w:pPr>
    </w:p>
    <w:p>
      <w:pPr>
        <w:spacing w:before="55"/>
        <w:ind w:left="461" w:right="719" w:firstLine="0"/>
        <w:jc w:val="center"/>
        <w:rPr>
          <w:rFonts w:ascii="宋体" w:eastAsia="宋体" w:hint="eastAsia"/>
          <w:sz w:val="32"/>
        </w:rPr>
      </w:pPr>
      <w:r>
        <w:rPr>
          <w:rFonts w:ascii="宋体" w:eastAsia="宋体" w:hint="eastAsia"/>
          <w:sz w:val="32"/>
        </w:rPr>
        <w:t>目 录</w:t>
      </w:r>
    </w:p>
    <w:sdt>
      <w:sdtPr>
        <w:id w:val="2017020822"/>
        <w:docPartObj>
          <w:docPartGallery w:val="Table of Contents"/>
          <w:docPartUnique/>
        </w:docPartObj>
      </w:sdtPr>
      <w:sdtContent>
        <w:p>
          <w:pPr>
            <w:pStyle w:val="TOC1"/>
            <w:numPr>
              <w:ilvl w:val="0"/>
              <w:numId w:val="14"/>
            </w:numPr>
            <w:tabs>
              <w:tab w:val="left" w:pos="731"/>
              <w:tab w:val="left" w:pos="732"/>
              <w:tab w:val="right" w:leader="dot" w:pos="9128"/>
            </w:tabs>
            <w:spacing w:before="753" w:after="0" w:line="240" w:lineRule="auto"/>
            <w:ind w:left="731" w:right="0" w:hanging="632"/>
            <w:jc w:val="left"/>
          </w:pPr>
          <w:hyperlink w:anchor="_bookmark0" w:history="1">
            <w:r>
              <w:t>总则</w:t>
            </w:r>
            <w:r>
              <w:rPr>
                <w:rFonts w:ascii="Times New Roman" w:eastAsia="Times New Roman"/>
              </w:rPr>
              <w:tab/>
            </w:r>
            <w:r>
              <w:t>2</w:t>
            </w:r>
          </w:hyperlink>
        </w:p>
        <w:p>
          <w:pPr>
            <w:pStyle w:val="TOC1"/>
            <w:numPr>
              <w:ilvl w:val="0"/>
              <w:numId w:val="14"/>
            </w:numPr>
            <w:tabs>
              <w:tab w:val="left" w:pos="731"/>
              <w:tab w:val="left" w:pos="732"/>
              <w:tab w:val="right" w:leader="dot" w:pos="9128"/>
            </w:tabs>
            <w:spacing w:before="276" w:after="0" w:line="240" w:lineRule="auto"/>
            <w:ind w:left="731" w:right="0" w:hanging="632"/>
            <w:jc w:val="left"/>
          </w:pPr>
          <w:hyperlink w:anchor="_bookmark1" w:history="1">
            <w:r>
              <w:t>术语</w:t>
            </w:r>
            <w:r>
              <w:rPr>
                <w:rFonts w:ascii="Times New Roman" w:eastAsia="Times New Roman"/>
              </w:rPr>
              <w:tab/>
            </w:r>
            <w:r>
              <w:t>3</w:t>
            </w:r>
          </w:hyperlink>
        </w:p>
        <w:p>
          <w:pPr>
            <w:pStyle w:val="TOC1"/>
            <w:numPr>
              <w:ilvl w:val="0"/>
              <w:numId w:val="14"/>
            </w:numPr>
            <w:tabs>
              <w:tab w:val="left" w:pos="731"/>
              <w:tab w:val="left" w:pos="732"/>
              <w:tab w:val="right" w:leader="dot" w:pos="9128"/>
            </w:tabs>
            <w:spacing w:before="276" w:after="0" w:line="240" w:lineRule="auto"/>
            <w:ind w:left="731" w:right="0" w:hanging="632"/>
            <w:jc w:val="left"/>
          </w:pPr>
          <w:hyperlink w:anchor="_bookmark2" w:history="1">
            <w:r>
              <w:t>一般</w:t>
            </w:r>
            <w:r>
              <w:rPr>
                <w:spacing w:val="-3"/>
              </w:rPr>
              <w:t>规</w:t>
            </w:r>
            <w:r>
              <w:t>定</w:t>
            </w:r>
            <w:r>
              <w:rPr>
                <w:rFonts w:ascii="Times New Roman" w:eastAsia="Times New Roman"/>
              </w:rPr>
              <w:tab/>
            </w:r>
            <w:r>
              <w:t>4</w:t>
            </w:r>
          </w:hyperlink>
        </w:p>
        <w:p>
          <w:pPr>
            <w:pStyle w:val="TOC1"/>
            <w:numPr>
              <w:ilvl w:val="0"/>
              <w:numId w:val="14"/>
            </w:numPr>
            <w:tabs>
              <w:tab w:val="left" w:pos="731"/>
              <w:tab w:val="left" w:pos="732"/>
              <w:tab w:val="right" w:leader="dot" w:pos="9128"/>
            </w:tabs>
            <w:spacing w:before="278" w:after="0" w:line="240" w:lineRule="auto"/>
            <w:ind w:left="731" w:right="0" w:hanging="632"/>
            <w:jc w:val="left"/>
          </w:pPr>
          <w:hyperlink w:anchor="_bookmark3" w:history="1">
            <w:r>
              <w:t>风参数</w:t>
            </w:r>
            <w:r>
              <w:rPr>
                <w:rFonts w:ascii="Times New Roman" w:eastAsia="Times New Roman"/>
              </w:rPr>
              <w:tab/>
            </w:r>
            <w:r>
              <w:t>5</w:t>
            </w:r>
          </w:hyperlink>
        </w:p>
        <w:p>
          <w:pPr>
            <w:pStyle w:val="TOC1"/>
            <w:tabs>
              <w:tab w:val="right" w:leader="dot" w:pos="9128"/>
            </w:tabs>
            <w:ind w:left="100" w:firstLine="0"/>
          </w:pPr>
          <w:hyperlink w:anchor="_bookmark4" w:history="1">
            <w:r>
              <w:t>附录</w:t>
            </w:r>
            <w:r>
              <w:rPr>
                <w:spacing w:val="-53"/>
              </w:rPr>
              <w:t xml:space="preserve"> </w:t>
            </w:r>
            <w:r>
              <w:t>A</w:t>
            </w:r>
            <w:r>
              <w:rPr>
                <w:spacing w:val="-2"/>
              </w:rPr>
              <w:t xml:space="preserve"> </w:t>
            </w:r>
            <w:r>
              <w:rPr>
                <w:spacing w:val="-3"/>
              </w:rPr>
              <w:t>上</w:t>
            </w:r>
            <w:r>
              <w:t>海</w:t>
            </w:r>
            <w:r>
              <w:rPr>
                <w:spacing w:val="-3"/>
              </w:rPr>
              <w:t>市</w:t>
            </w:r>
            <w:r>
              <w:t>各</w:t>
            </w:r>
            <w:r>
              <w:rPr>
                <w:spacing w:val="-3"/>
              </w:rPr>
              <w:t>气</w:t>
            </w:r>
            <w:r>
              <w:t>象</w:t>
            </w:r>
            <w:r>
              <w:rPr>
                <w:spacing w:val="-3"/>
              </w:rPr>
              <w:t>台站</w:t>
            </w:r>
            <w:r>
              <w:t>地理</w:t>
            </w:r>
            <w:r>
              <w:rPr>
                <w:spacing w:val="-3"/>
              </w:rPr>
              <w:t>位</w:t>
            </w:r>
            <w:r>
              <w:t>置</w:t>
            </w:r>
            <w:r>
              <w:rPr>
                <w:spacing w:val="-3"/>
              </w:rPr>
              <w:t>分</w:t>
            </w:r>
            <w:r>
              <w:t>布图</w:t>
            </w:r>
            <w:r>
              <w:rPr>
                <w:rFonts w:ascii="Times New Roman" w:eastAsia="Times New Roman"/>
              </w:rPr>
              <w:tab/>
            </w:r>
            <w:r>
              <w:t>12</w:t>
            </w:r>
          </w:hyperlink>
        </w:p>
        <w:p>
          <w:pPr>
            <w:pStyle w:val="TOC1"/>
            <w:tabs>
              <w:tab w:val="right" w:leader="dot" w:pos="9128"/>
            </w:tabs>
            <w:spacing w:before="278"/>
            <w:ind w:left="100" w:firstLine="0"/>
          </w:pPr>
          <w:hyperlink w:anchor="_bookmark5" w:history="1">
            <w:r>
              <w:t>附录</w:t>
            </w:r>
            <w:r>
              <w:rPr>
                <w:spacing w:val="-53"/>
              </w:rPr>
              <w:t xml:space="preserve"> </w:t>
            </w:r>
            <w:r>
              <w:t>B</w:t>
            </w:r>
            <w:r>
              <w:rPr>
                <w:spacing w:val="-2"/>
              </w:rPr>
              <w:t xml:space="preserve"> </w:t>
            </w:r>
            <w:r>
              <w:rPr>
                <w:spacing w:val="-3"/>
              </w:rPr>
              <w:t>上</w:t>
            </w:r>
            <w:r>
              <w:t>海</w:t>
            </w:r>
            <w:r>
              <w:rPr>
                <w:spacing w:val="-3"/>
              </w:rPr>
              <w:t>市</w:t>
            </w:r>
            <w:r>
              <w:t>各</w:t>
            </w:r>
            <w:r>
              <w:rPr>
                <w:spacing w:val="-3"/>
              </w:rPr>
              <w:t>风</w:t>
            </w:r>
            <w:r>
              <w:t>气</w:t>
            </w:r>
            <w:r>
              <w:rPr>
                <w:spacing w:val="-3"/>
              </w:rPr>
              <w:t>候分</w:t>
            </w:r>
            <w:r>
              <w:t>区风</w:t>
            </w:r>
            <w:r>
              <w:rPr>
                <w:spacing w:val="-3"/>
              </w:rPr>
              <w:t>参</w:t>
            </w:r>
            <w:r>
              <w:t>数</w:t>
            </w:r>
            <w:r>
              <w:rPr>
                <w:rFonts w:ascii="Times New Roman" w:eastAsia="Times New Roman"/>
              </w:rPr>
              <w:tab/>
            </w:r>
            <w:r>
              <w:t>13</w:t>
            </w:r>
          </w:hyperlink>
        </w:p>
      </w:sdtContent>
    </w:sdt>
    <w:p>
      <w:pPr>
        <w:spacing w:after="0"/>
        <w:sectPr>
          <w:footerReference w:type="default" r:id="rId5"/>
          <w:pgSz w:w="11910" w:h="16840"/>
          <w:pgMar w:top="1580" w:right="1080" w:bottom="1600" w:left="1340" w:header="0" w:footer="1403"/>
          <w:pgNumType w:start="1"/>
          <w:cols w:space="708"/>
        </w:sectPr>
      </w:pPr>
    </w:p>
    <w:p>
      <w:pPr>
        <w:pStyle w:val="Heading1"/>
        <w:numPr>
          <w:ilvl w:val="1"/>
          <w:numId w:val="14"/>
        </w:numPr>
        <w:tabs>
          <w:tab w:val="left" w:pos="4581"/>
          <w:tab w:val="left" w:pos="4582"/>
        </w:tabs>
        <w:spacing w:before="60" w:after="0" w:line="240" w:lineRule="auto"/>
        <w:ind w:left="4581" w:right="0" w:hanging="421"/>
        <w:jc w:val="left"/>
      </w:pPr>
      <w:bookmarkStart w:id="0" w:name="_bookmark0"/>
      <w:bookmarkEnd w:id="0"/>
      <w:r>
        <w:t>总则</w:t>
      </w:r>
    </w:p>
    <w:p>
      <w:pPr>
        <w:pStyle w:val="BodyText"/>
        <w:spacing w:before="6"/>
        <w:rPr>
          <w:rFonts w:ascii="宋体"/>
          <w:b/>
          <w:sz w:val="38"/>
        </w:rPr>
      </w:pPr>
    </w:p>
    <w:p>
      <w:pPr>
        <w:pStyle w:val="BodyText"/>
        <w:tabs>
          <w:tab w:val="left" w:pos="940"/>
        </w:tabs>
        <w:spacing w:line="364" w:lineRule="auto"/>
        <w:ind w:left="100" w:right="382"/>
        <w:rPr>
          <w:rFonts w:ascii="宋体" w:eastAsia="宋体" w:hint="eastAsia"/>
        </w:rPr>
      </w:pPr>
      <w:r>
        <w:rPr>
          <w:rFonts w:ascii="Times New Roman" w:eastAsia="Times New Roman"/>
        </w:rPr>
        <w:t>1.0.1</w:t>
        <w:tab/>
      </w:r>
      <w:r>
        <w:rPr>
          <w:rFonts w:ascii="宋体" w:eastAsia="宋体" w:hint="eastAsia"/>
          <w:spacing w:val="-1"/>
        </w:rPr>
        <w:t>为规范本市建筑风环境设计气象参数选取，基于本市地理特征和气候条件，制</w:t>
      </w:r>
      <w:r>
        <w:rPr>
          <w:rFonts w:ascii="宋体" w:eastAsia="宋体" w:hint="eastAsia"/>
        </w:rPr>
        <w:t>定本标准。</w:t>
      </w:r>
    </w:p>
    <w:p>
      <w:pPr>
        <w:pStyle w:val="BodyText"/>
        <w:spacing w:before="1"/>
        <w:ind w:left="100"/>
        <w:rPr>
          <w:rFonts w:ascii="宋体" w:eastAsia="宋体" w:hint="eastAsia"/>
        </w:rPr>
      </w:pPr>
      <w:r>
        <w:rPr>
          <w:rFonts w:ascii="宋体" w:eastAsia="宋体" w:hint="eastAsia"/>
        </w:rPr>
        <w:t>【条文说明】</w:t>
      </w:r>
    </w:p>
    <w:p>
      <w:pPr>
        <w:pStyle w:val="ListParagraph"/>
        <w:numPr>
          <w:ilvl w:val="2"/>
          <w:numId w:val="13"/>
        </w:numPr>
        <w:tabs>
          <w:tab w:val="left" w:pos="940"/>
          <w:tab w:val="left" w:pos="941"/>
        </w:tabs>
        <w:spacing w:before="160" w:after="0" w:line="364" w:lineRule="auto"/>
        <w:ind w:left="100" w:right="383" w:firstLine="0"/>
        <w:jc w:val="left"/>
        <w:rPr>
          <w:sz w:val="24"/>
        </w:rPr>
      </w:pPr>
      <w:r>
        <w:rPr>
          <w:spacing w:val="-1"/>
          <w:sz w:val="24"/>
        </w:rPr>
        <w:t>建筑风环境分析是提升绿色建筑规划设计、城市环境品质的重要手段，风环境</w:t>
      </w:r>
      <w:r>
        <w:rPr>
          <w:sz w:val="24"/>
        </w:rPr>
        <w:t>不仅影响着室外人员活动舒适性和污染物消散，对室内自然通风、冷风渗透等也具有较大影响。建筑设计需根据风环境分析确定总平面布局，并在建筑策划中正确的选用绿色建筑对策，而风环境分析中的主导风、季节划分等气象参数的选取关系到建筑风</w:t>
      </w:r>
      <w:r>
        <w:rPr>
          <w:spacing w:val="-4"/>
          <w:sz w:val="24"/>
        </w:rPr>
        <w:t xml:space="preserve">环境分析结果的准确性；上海具有 </w:t>
      </w:r>
      <w:r>
        <w:rPr>
          <w:rFonts w:ascii="Times New Roman" w:eastAsia="Times New Roman"/>
          <w:sz w:val="24"/>
        </w:rPr>
        <w:t xml:space="preserve">16 </w:t>
      </w:r>
      <w:r>
        <w:rPr>
          <w:spacing w:val="-1"/>
          <w:sz w:val="24"/>
        </w:rPr>
        <w:t>个行政区划，近年来随着经济和生活水品的不断</w:t>
      </w:r>
      <w:r>
        <w:rPr>
          <w:sz w:val="24"/>
        </w:rPr>
        <w:t>提高，上海的建筑发展日新月异，高层建筑、超高层建筑以及建筑密度也随之增多或加大，新建筑的诞生不但改变了城市面貌，同时也改变了自然环境，尤其带来了风环境气象参数的较大变化，中心城区的风环境更是与新城区差异很大。国内虽有相关建筑风环境的气象参数标准，但因其包含内容需顾及全国范围，且气象资料参数取值年代较早，难以较为准确地反映本市建筑所处风环境的状况，为了更科学、更精准的分析本市建筑项目所在位置风环境对建筑的影响，让建筑更好地适应自然环境，充分利用自然风环境改善并提升建筑室内外的舒适环境，节约资源，规范本市建筑风环境设计气象参数选取，制定本标准。</w:t>
      </w:r>
    </w:p>
    <w:p>
      <w:pPr>
        <w:pStyle w:val="ListParagraph"/>
        <w:numPr>
          <w:ilvl w:val="2"/>
          <w:numId w:val="13"/>
        </w:numPr>
        <w:tabs>
          <w:tab w:val="left" w:pos="940"/>
          <w:tab w:val="left" w:pos="941"/>
        </w:tabs>
        <w:spacing w:before="9" w:after="0" w:line="364" w:lineRule="auto"/>
        <w:ind w:left="100" w:right="383" w:firstLine="0"/>
        <w:jc w:val="left"/>
        <w:rPr>
          <w:rFonts w:ascii="宋体" w:eastAsia="宋体" w:hint="eastAsia"/>
          <w:sz w:val="24"/>
        </w:rPr>
      </w:pPr>
      <w:r>
        <w:rPr>
          <w:rFonts w:ascii="宋体" w:eastAsia="宋体" w:hint="eastAsia"/>
          <w:spacing w:val="-1"/>
          <w:sz w:val="24"/>
        </w:rPr>
        <w:t xml:space="preserve">本标准适用于上海行政区内新建、改建、扩建工程的建筑风环境设计与评估， </w:t>
      </w:r>
      <w:r>
        <w:rPr>
          <w:rFonts w:ascii="宋体" w:eastAsia="宋体" w:hint="eastAsia"/>
          <w:sz w:val="24"/>
        </w:rPr>
        <w:t>及其他需要进行建筑风环境分析的场所。</w:t>
      </w:r>
    </w:p>
    <w:p>
      <w:pPr>
        <w:pStyle w:val="BodyText"/>
        <w:spacing w:before="1"/>
        <w:ind w:left="100"/>
        <w:rPr>
          <w:rFonts w:ascii="宋体" w:eastAsia="宋体" w:hint="eastAsia"/>
        </w:rPr>
      </w:pPr>
      <w:r>
        <w:rPr>
          <w:rFonts w:ascii="宋体" w:eastAsia="宋体" w:hint="eastAsia"/>
        </w:rPr>
        <w:t>【条文说明】</w:t>
      </w:r>
    </w:p>
    <w:p>
      <w:pPr>
        <w:pStyle w:val="ListParagraph"/>
        <w:numPr>
          <w:ilvl w:val="2"/>
          <w:numId w:val="12"/>
        </w:numPr>
        <w:tabs>
          <w:tab w:val="left" w:pos="940"/>
          <w:tab w:val="left" w:pos="941"/>
        </w:tabs>
        <w:spacing w:before="161" w:after="0" w:line="364" w:lineRule="auto"/>
        <w:ind w:left="100" w:right="385" w:firstLine="0"/>
        <w:jc w:val="left"/>
        <w:rPr>
          <w:sz w:val="24"/>
        </w:rPr>
      </w:pPr>
      <w:r>
        <w:rPr>
          <w:spacing w:val="-1"/>
          <w:sz w:val="24"/>
        </w:rPr>
        <w:t>本标准既适用于新建建筑的风环境设计与分析，也适用于改建、扩建建筑通过</w:t>
      </w:r>
      <w:r>
        <w:rPr>
          <w:sz w:val="24"/>
        </w:rPr>
        <w:t>风环境分析确定改建、扩建的设计对策，还可适用于绿色建筑评价中的风环境评估。</w:t>
      </w:r>
    </w:p>
    <w:p>
      <w:pPr>
        <w:pStyle w:val="ListParagraph"/>
        <w:numPr>
          <w:ilvl w:val="2"/>
          <w:numId w:val="12"/>
        </w:numPr>
        <w:tabs>
          <w:tab w:val="left" w:pos="940"/>
          <w:tab w:val="left" w:pos="941"/>
        </w:tabs>
        <w:spacing w:before="1" w:after="0" w:line="364" w:lineRule="auto"/>
        <w:ind w:left="100" w:right="382" w:firstLine="0"/>
        <w:jc w:val="left"/>
        <w:rPr>
          <w:rFonts w:ascii="宋体" w:eastAsia="宋体" w:hint="eastAsia"/>
          <w:sz w:val="24"/>
        </w:rPr>
      </w:pPr>
      <w:r>
        <w:rPr>
          <w:rFonts w:ascii="宋体" w:eastAsia="宋体" w:hint="eastAsia"/>
          <w:spacing w:val="-1"/>
          <w:sz w:val="24"/>
        </w:rPr>
        <w:t>建筑风环境设计气象参数选取除应符合本标准的规定外，尚应符合国家、行业</w:t>
      </w:r>
      <w:r>
        <w:rPr>
          <w:rFonts w:ascii="宋体" w:eastAsia="宋体" w:hint="eastAsia"/>
          <w:sz w:val="24"/>
        </w:rPr>
        <w:t>和上海市相关标准的规定。</w:t>
      </w:r>
    </w:p>
    <w:p>
      <w:pPr>
        <w:spacing w:after="0" w:line="364" w:lineRule="auto"/>
        <w:jc w:val="left"/>
        <w:rPr>
          <w:rFonts w:ascii="宋体" w:eastAsia="宋体" w:hint="eastAsia"/>
          <w:sz w:val="24"/>
        </w:rPr>
        <w:sectPr>
          <w:footerReference w:type="default" r:id="rId6"/>
          <w:pgSz w:w="11910" w:h="16840"/>
          <w:pgMar w:top="1440" w:right="1080" w:bottom="1600" w:left="1340" w:header="0" w:footer="1403"/>
          <w:pgNumType w:start="2"/>
          <w:cols w:space="708"/>
        </w:sectPr>
      </w:pPr>
    </w:p>
    <w:p>
      <w:pPr>
        <w:pStyle w:val="Heading1"/>
        <w:numPr>
          <w:ilvl w:val="1"/>
          <w:numId w:val="14"/>
        </w:numPr>
        <w:tabs>
          <w:tab w:val="left" w:pos="4581"/>
          <w:tab w:val="left" w:pos="4582"/>
        </w:tabs>
        <w:spacing w:before="60" w:after="0" w:line="240" w:lineRule="auto"/>
        <w:ind w:left="4581" w:right="0" w:hanging="421"/>
        <w:jc w:val="left"/>
      </w:pPr>
      <w:bookmarkStart w:id="1" w:name="_bookmark1"/>
      <w:bookmarkEnd w:id="1"/>
      <w:r>
        <w:t>术语</w:t>
      </w:r>
    </w:p>
    <w:p>
      <w:pPr>
        <w:pStyle w:val="BodyText"/>
        <w:spacing w:before="6"/>
        <w:rPr>
          <w:rFonts w:ascii="宋体"/>
          <w:b/>
          <w:sz w:val="38"/>
        </w:rPr>
      </w:pPr>
    </w:p>
    <w:p>
      <w:pPr>
        <w:pStyle w:val="ListParagraph"/>
        <w:numPr>
          <w:ilvl w:val="2"/>
          <w:numId w:val="11"/>
        </w:numPr>
        <w:tabs>
          <w:tab w:val="left" w:pos="940"/>
          <w:tab w:val="left" w:pos="941"/>
        </w:tabs>
        <w:spacing w:before="0" w:after="0" w:line="240" w:lineRule="auto"/>
        <w:ind w:left="940" w:right="0" w:hanging="841"/>
        <w:jc w:val="left"/>
        <w:rPr>
          <w:rFonts w:ascii="Times New Roman" w:eastAsia="Times New Roman"/>
          <w:sz w:val="24"/>
        </w:rPr>
      </w:pPr>
      <w:r>
        <w:rPr>
          <w:rFonts w:ascii="宋体" w:eastAsia="宋体" w:hint="eastAsia"/>
          <w:spacing w:val="-1"/>
          <w:sz w:val="24"/>
        </w:rPr>
        <w:t xml:space="preserve">建筑风环境 </w:t>
      </w:r>
      <w:r>
        <w:rPr>
          <w:rFonts w:ascii="Times New Roman" w:eastAsia="Times New Roman"/>
          <w:sz w:val="24"/>
        </w:rPr>
        <w:t>wind</w:t>
      </w:r>
      <w:r>
        <w:rPr>
          <w:rFonts w:ascii="Times New Roman" w:eastAsia="Times New Roman"/>
          <w:spacing w:val="-1"/>
          <w:sz w:val="24"/>
        </w:rPr>
        <w:t xml:space="preserve"> </w:t>
      </w:r>
      <w:r>
        <w:rPr>
          <w:rFonts w:ascii="Times New Roman" w:eastAsia="Times New Roman"/>
          <w:sz w:val="24"/>
        </w:rPr>
        <w:t>environment around</w:t>
      </w:r>
      <w:r>
        <w:rPr>
          <w:rFonts w:ascii="Times New Roman" w:eastAsia="Times New Roman"/>
          <w:spacing w:val="-1"/>
          <w:sz w:val="24"/>
        </w:rPr>
        <w:t xml:space="preserve"> </w:t>
      </w:r>
      <w:r>
        <w:rPr>
          <w:rFonts w:ascii="Times New Roman" w:eastAsia="Times New Roman"/>
          <w:sz w:val="24"/>
        </w:rPr>
        <w:t>buildings</w:t>
      </w:r>
    </w:p>
    <w:p>
      <w:pPr>
        <w:pStyle w:val="BodyText"/>
        <w:spacing w:before="160" w:line="364" w:lineRule="auto"/>
        <w:ind w:left="100" w:right="503" w:firstLine="420"/>
        <w:jc w:val="both"/>
        <w:rPr>
          <w:rFonts w:ascii="宋体" w:eastAsia="宋体" w:hint="eastAsia"/>
        </w:rPr>
      </w:pPr>
      <w:r>
        <w:rPr>
          <w:rFonts w:ascii="宋体" w:eastAsia="宋体" w:hint="eastAsia"/>
        </w:rPr>
        <w:t>风环境是指室外自然风在城市地形地貌或自然地形地貌影响下形成的受到影响之后的风场。现阶段建筑风环境是指主要在建筑设计和城市规划的科学领域中被研究的建筑周围风场。</w:t>
      </w:r>
    </w:p>
    <w:p>
      <w:pPr>
        <w:pStyle w:val="ListParagraph"/>
        <w:numPr>
          <w:ilvl w:val="2"/>
          <w:numId w:val="11"/>
        </w:numPr>
        <w:tabs>
          <w:tab w:val="left" w:pos="940"/>
          <w:tab w:val="left" w:pos="941"/>
        </w:tabs>
        <w:spacing w:before="2" w:after="0" w:line="240" w:lineRule="auto"/>
        <w:ind w:left="940" w:right="0" w:hanging="841"/>
        <w:jc w:val="left"/>
        <w:rPr>
          <w:rFonts w:ascii="Times New Roman" w:eastAsia="Times New Roman"/>
          <w:sz w:val="24"/>
        </w:rPr>
      </w:pPr>
      <w:r>
        <w:rPr>
          <w:rFonts w:ascii="宋体" w:eastAsia="宋体" w:hint="eastAsia"/>
          <w:spacing w:val="-1"/>
          <w:sz w:val="24"/>
        </w:rPr>
        <w:t xml:space="preserve">风参数 </w:t>
      </w:r>
      <w:r>
        <w:rPr>
          <w:rFonts w:ascii="Times New Roman" w:eastAsia="Times New Roman"/>
          <w:sz w:val="24"/>
        </w:rPr>
        <w:t>wind</w:t>
      </w:r>
      <w:r>
        <w:rPr>
          <w:rFonts w:ascii="Times New Roman" w:eastAsia="Times New Roman"/>
          <w:spacing w:val="-1"/>
          <w:sz w:val="24"/>
        </w:rPr>
        <w:t xml:space="preserve"> </w:t>
      </w:r>
      <w:r>
        <w:rPr>
          <w:rFonts w:ascii="Times New Roman" w:eastAsia="Times New Roman"/>
          <w:sz w:val="24"/>
        </w:rPr>
        <w:t>parameter</w:t>
      </w:r>
    </w:p>
    <w:p>
      <w:pPr>
        <w:pStyle w:val="BodyText"/>
        <w:spacing w:before="161"/>
        <w:ind w:left="520"/>
        <w:rPr>
          <w:rFonts w:ascii="宋体" w:eastAsia="宋体" w:hint="eastAsia"/>
        </w:rPr>
      </w:pPr>
      <w:r>
        <w:rPr>
          <w:rFonts w:ascii="宋体" w:eastAsia="宋体" w:hint="eastAsia"/>
        </w:rPr>
        <w:t>在风环境设计中需要指定的来流风边界条件参数，主要包括风速和风向。</w:t>
      </w:r>
    </w:p>
    <w:p>
      <w:pPr>
        <w:pStyle w:val="ListParagraph"/>
        <w:numPr>
          <w:ilvl w:val="2"/>
          <w:numId w:val="11"/>
        </w:numPr>
        <w:tabs>
          <w:tab w:val="left" w:pos="940"/>
          <w:tab w:val="left" w:pos="941"/>
        </w:tabs>
        <w:spacing w:before="160" w:after="0" w:line="240" w:lineRule="auto"/>
        <w:ind w:left="940" w:right="0" w:hanging="841"/>
        <w:jc w:val="left"/>
        <w:rPr>
          <w:rFonts w:ascii="Times New Roman" w:eastAsia="Times New Roman"/>
          <w:sz w:val="24"/>
        </w:rPr>
      </w:pPr>
      <w:r>
        <w:rPr>
          <w:rFonts w:ascii="宋体" w:eastAsia="宋体" w:hint="eastAsia"/>
          <w:spacing w:val="-1"/>
          <w:sz w:val="24"/>
        </w:rPr>
        <w:t xml:space="preserve">主导风 </w:t>
      </w:r>
      <w:r>
        <w:rPr>
          <w:rFonts w:ascii="Times New Roman" w:eastAsia="Times New Roman"/>
          <w:sz w:val="24"/>
        </w:rPr>
        <w:t>prevailing wind</w:t>
      </w:r>
    </w:p>
    <w:p>
      <w:pPr>
        <w:pStyle w:val="BodyText"/>
        <w:spacing w:before="161"/>
        <w:ind w:left="520"/>
        <w:rPr>
          <w:rFonts w:ascii="宋体" w:eastAsia="宋体" w:hint="eastAsia"/>
        </w:rPr>
      </w:pPr>
      <w:r>
        <w:rPr>
          <w:rFonts w:ascii="宋体" w:eastAsia="宋体" w:hint="eastAsia"/>
        </w:rPr>
        <w:t>指某一时间段内（例如年、季、月等）代表当地风气候特征的风参数。</w:t>
      </w:r>
    </w:p>
    <w:p>
      <w:pPr>
        <w:pStyle w:val="BodyText"/>
        <w:spacing w:before="161"/>
        <w:ind w:left="100"/>
        <w:rPr>
          <w:rFonts w:ascii="宋体" w:eastAsia="宋体" w:hint="eastAsia"/>
        </w:rPr>
      </w:pPr>
      <w:r>
        <w:rPr>
          <w:rFonts w:ascii="宋体" w:eastAsia="宋体" w:hint="eastAsia"/>
        </w:rPr>
        <w:t>【条文说明】</w:t>
      </w:r>
    </w:p>
    <w:p>
      <w:pPr>
        <w:pStyle w:val="ListParagraph"/>
        <w:numPr>
          <w:ilvl w:val="2"/>
          <w:numId w:val="10"/>
        </w:numPr>
        <w:tabs>
          <w:tab w:val="left" w:pos="940"/>
          <w:tab w:val="left" w:pos="941"/>
        </w:tabs>
        <w:spacing w:before="160" w:after="0" w:line="364" w:lineRule="auto"/>
        <w:ind w:left="100" w:right="383" w:firstLine="0"/>
        <w:jc w:val="left"/>
        <w:rPr>
          <w:sz w:val="24"/>
        </w:rPr>
      </w:pPr>
      <w:r>
        <w:rPr>
          <w:sz w:val="24"/>
        </w:rPr>
        <w:t>主导风参数是基于某季节累年风气象数据（静风除外</w:t>
      </w:r>
      <w:r>
        <w:rPr>
          <w:spacing w:val="-120"/>
          <w:sz w:val="24"/>
        </w:rPr>
        <w:t>）</w:t>
      </w:r>
      <w:r>
        <w:rPr>
          <w:spacing w:val="-15"/>
          <w:sz w:val="24"/>
        </w:rPr>
        <w:t xml:space="preserve">，采用 </w:t>
      </w:r>
      <w:r>
        <w:rPr>
          <w:rFonts w:ascii="Times New Roman" w:eastAsia="Times New Roman"/>
          <w:sz w:val="24"/>
        </w:rPr>
        <w:t xml:space="preserve">16 </w:t>
      </w:r>
      <w:r>
        <w:rPr>
          <w:spacing w:val="-3"/>
          <w:sz w:val="24"/>
        </w:rPr>
        <w:t xml:space="preserve">方位角表示风向，根据每个方位角风向频率进行统计，将连续 </w:t>
      </w:r>
      <w:r>
        <w:rPr>
          <w:rFonts w:ascii="Times New Roman" w:eastAsia="Times New Roman"/>
          <w:sz w:val="24"/>
        </w:rPr>
        <w:t xml:space="preserve">3 </w:t>
      </w:r>
      <w:r>
        <w:rPr>
          <w:sz w:val="24"/>
        </w:rPr>
        <w:t>个风向角的风频相加，选取相加最</w:t>
      </w:r>
      <w:r>
        <w:rPr>
          <w:spacing w:val="-20"/>
          <w:sz w:val="24"/>
        </w:rPr>
        <w:t xml:space="preserve">大的 </w:t>
      </w:r>
      <w:r>
        <w:rPr>
          <w:rFonts w:ascii="Times New Roman" w:eastAsia="Times New Roman"/>
          <w:sz w:val="24"/>
        </w:rPr>
        <w:t>3</w:t>
      </w:r>
      <w:r>
        <w:rPr>
          <w:rFonts w:ascii="Times New Roman" w:eastAsia="Times New Roman"/>
          <w:spacing w:val="-1"/>
          <w:sz w:val="24"/>
        </w:rPr>
        <w:t xml:space="preserve"> </w:t>
      </w:r>
      <w:r>
        <w:rPr>
          <w:sz w:val="24"/>
        </w:rPr>
        <w:t>个风向角中的风频最大值对应的风向作为该季节的主导风向；主导风风速取值为主导风向下对应累年风速（静风除外）的平均值。</w:t>
      </w:r>
    </w:p>
    <w:p>
      <w:pPr>
        <w:pStyle w:val="ListParagraph"/>
        <w:numPr>
          <w:ilvl w:val="2"/>
          <w:numId w:val="10"/>
        </w:numPr>
        <w:tabs>
          <w:tab w:val="left" w:pos="940"/>
          <w:tab w:val="left" w:pos="941"/>
        </w:tabs>
        <w:spacing w:before="3" w:after="0" w:line="240" w:lineRule="auto"/>
        <w:ind w:left="940" w:right="0" w:hanging="841"/>
        <w:jc w:val="left"/>
        <w:rPr>
          <w:rFonts w:ascii="Times New Roman" w:eastAsia="Times New Roman"/>
          <w:sz w:val="24"/>
        </w:rPr>
      </w:pPr>
      <w:r>
        <w:rPr>
          <w:rFonts w:ascii="宋体" w:eastAsia="宋体" w:hint="eastAsia"/>
          <w:spacing w:val="-1"/>
          <w:sz w:val="24"/>
        </w:rPr>
        <w:t xml:space="preserve">风气候分区 </w:t>
      </w:r>
      <w:r>
        <w:rPr>
          <w:rFonts w:ascii="Times New Roman" w:eastAsia="Times New Roman"/>
          <w:sz w:val="24"/>
        </w:rPr>
        <w:t>wind climate</w:t>
      </w:r>
      <w:r>
        <w:rPr>
          <w:rFonts w:ascii="Times New Roman" w:eastAsia="Times New Roman"/>
          <w:spacing w:val="-1"/>
          <w:sz w:val="24"/>
        </w:rPr>
        <w:t xml:space="preserve"> </w:t>
      </w:r>
      <w:r>
        <w:rPr>
          <w:rFonts w:ascii="Times New Roman" w:eastAsia="Times New Roman"/>
          <w:sz w:val="24"/>
        </w:rPr>
        <w:t>zone</w:t>
      </w:r>
    </w:p>
    <w:p>
      <w:pPr>
        <w:pStyle w:val="BodyText"/>
        <w:spacing w:before="160"/>
        <w:ind w:left="520"/>
        <w:rPr>
          <w:rFonts w:ascii="宋体" w:eastAsia="宋体" w:hint="eastAsia"/>
        </w:rPr>
      </w:pPr>
      <w:r>
        <w:rPr>
          <w:rFonts w:ascii="宋体" w:eastAsia="宋体" w:hint="eastAsia"/>
        </w:rPr>
        <w:t>根据风参数分布特征，把一定区域分成若干特征相似的小区域。</w:t>
      </w:r>
    </w:p>
    <w:p>
      <w:pPr>
        <w:pStyle w:val="BodyText"/>
        <w:spacing w:before="161"/>
        <w:ind w:left="100"/>
        <w:rPr>
          <w:rFonts w:ascii="宋体" w:eastAsia="宋体" w:hint="eastAsia"/>
        </w:rPr>
      </w:pPr>
      <w:r>
        <w:rPr>
          <w:rFonts w:ascii="宋体" w:eastAsia="宋体" w:hint="eastAsia"/>
        </w:rPr>
        <w:t>【条文说明】</w:t>
      </w:r>
    </w:p>
    <w:p>
      <w:pPr>
        <w:pStyle w:val="BodyText"/>
        <w:tabs>
          <w:tab w:val="left" w:pos="940"/>
        </w:tabs>
        <w:spacing w:before="160" w:line="364" w:lineRule="auto"/>
        <w:ind w:left="100" w:right="385"/>
      </w:pPr>
      <w:r>
        <w:rPr>
          <w:rFonts w:ascii="Times New Roman" w:eastAsia="Times New Roman"/>
        </w:rPr>
        <w:t>2.0.4</w:t>
        <w:tab/>
      </w:r>
      <w:r>
        <w:rPr>
          <w:spacing w:val="-1"/>
        </w:rPr>
        <w:t>风气候分区是本标准根据上海市气象站台的分布情况，对上海市行政区域范围</w:t>
      </w:r>
      <w:r>
        <w:rPr>
          <w:spacing w:val="-5"/>
        </w:rPr>
        <w:t xml:space="preserve">内的风环境气候分区。上海有 </w:t>
      </w:r>
      <w:r>
        <w:rPr>
          <w:rFonts w:ascii="Times New Roman" w:eastAsia="Times New Roman"/>
        </w:rPr>
        <w:t xml:space="preserve">16 </w:t>
      </w:r>
      <w:r>
        <w:rPr>
          <w:spacing w:val="-7"/>
        </w:rPr>
        <w:t xml:space="preserve">个行政区，现有的 </w:t>
      </w:r>
      <w:r>
        <w:rPr>
          <w:rFonts w:ascii="Times New Roman" w:eastAsia="Times New Roman"/>
          <w:spacing w:val="-5"/>
        </w:rPr>
        <w:t>11</w:t>
      </w:r>
      <w:r>
        <w:rPr>
          <w:rFonts w:ascii="Times New Roman" w:eastAsia="Times New Roman"/>
        </w:rPr>
        <w:t xml:space="preserve"> </w:t>
      </w:r>
      <w:r>
        <w:t>个气象台站无法完全对应各</w:t>
      </w:r>
    </w:p>
    <w:p>
      <w:pPr>
        <w:pStyle w:val="BodyText"/>
        <w:spacing w:before="2" w:line="364" w:lineRule="auto"/>
        <w:ind w:left="100" w:right="322"/>
      </w:pPr>
      <w:r>
        <w:t xml:space="preserve">区，为此，结合上海现有 </w:t>
      </w:r>
      <w:r>
        <w:rPr>
          <w:rFonts w:ascii="Times New Roman" w:eastAsia="Times New Roman"/>
        </w:rPr>
        <w:t xml:space="preserve">11 </w:t>
      </w:r>
      <w:r>
        <w:t>个气象台站的设置位置及历年气象参数，综合考虑全市各区风气象参数的分布特征、区域发展及各气象台站的代表性，并兼顾建筑规划设计的可操作性，将本市划分成若干特征相似的区域作为风气候分区。</w:t>
      </w:r>
    </w:p>
    <w:p>
      <w:pPr>
        <w:spacing w:after="0" w:line="364" w:lineRule="auto"/>
        <w:sectPr>
          <w:footerReference w:type="default" r:id="rId7"/>
          <w:pgSz w:w="11910" w:h="16840"/>
          <w:pgMar w:top="1440" w:right="1080" w:bottom="1600" w:left="1340" w:header="0" w:footer="1403"/>
          <w:pgNumType w:start="3"/>
          <w:cols w:space="708"/>
        </w:sectPr>
      </w:pPr>
    </w:p>
    <w:p>
      <w:pPr>
        <w:pStyle w:val="Heading1"/>
        <w:numPr>
          <w:ilvl w:val="1"/>
          <w:numId w:val="14"/>
        </w:numPr>
        <w:tabs>
          <w:tab w:val="left" w:pos="4341"/>
          <w:tab w:val="left" w:pos="4342"/>
        </w:tabs>
        <w:spacing w:before="60" w:after="0" w:line="240" w:lineRule="auto"/>
        <w:ind w:left="4341" w:right="0" w:hanging="421"/>
        <w:jc w:val="left"/>
      </w:pPr>
      <w:bookmarkStart w:id="2" w:name="_bookmark2"/>
      <w:bookmarkEnd w:id="2"/>
      <w:r>
        <w:t>一般规定</w:t>
      </w:r>
    </w:p>
    <w:p>
      <w:pPr>
        <w:pStyle w:val="BodyText"/>
        <w:spacing w:before="6"/>
        <w:rPr>
          <w:rFonts w:ascii="宋体"/>
          <w:b/>
          <w:sz w:val="38"/>
        </w:rPr>
      </w:pPr>
    </w:p>
    <w:p>
      <w:pPr>
        <w:pStyle w:val="BodyText"/>
        <w:tabs>
          <w:tab w:val="left" w:pos="940"/>
        </w:tabs>
        <w:spacing w:line="364" w:lineRule="auto"/>
        <w:ind w:left="100" w:right="385"/>
        <w:rPr>
          <w:rFonts w:ascii="宋体" w:eastAsia="宋体" w:hint="eastAsia"/>
        </w:rPr>
      </w:pPr>
      <w:r>
        <w:rPr>
          <w:rFonts w:ascii="Times New Roman" w:eastAsia="Times New Roman"/>
        </w:rPr>
        <w:t>3.0.1</w:t>
        <w:tab/>
      </w:r>
      <w:r>
        <w:rPr>
          <w:rFonts w:ascii="宋体" w:eastAsia="宋体" w:hint="eastAsia"/>
          <w:spacing w:val="-1"/>
        </w:rPr>
        <w:t>建筑风环境设计应以城市规划批准的建设项目用地范围内的建筑为对象，并应</w:t>
      </w:r>
      <w:r>
        <w:rPr>
          <w:rFonts w:ascii="宋体" w:eastAsia="宋体" w:hint="eastAsia"/>
        </w:rPr>
        <w:t>考虑其与用地周边建筑环境的影响。</w:t>
      </w:r>
    </w:p>
    <w:p>
      <w:pPr>
        <w:pStyle w:val="BodyText"/>
        <w:spacing w:before="1"/>
        <w:ind w:left="100"/>
        <w:rPr>
          <w:rFonts w:ascii="宋体" w:eastAsia="宋体" w:hint="eastAsia"/>
        </w:rPr>
      </w:pPr>
      <w:r>
        <w:rPr>
          <w:rFonts w:ascii="宋体" w:eastAsia="宋体" w:hint="eastAsia"/>
        </w:rPr>
        <w:t>【条文说明】</w:t>
      </w:r>
    </w:p>
    <w:p>
      <w:pPr>
        <w:pStyle w:val="ListParagraph"/>
        <w:numPr>
          <w:ilvl w:val="2"/>
          <w:numId w:val="9"/>
        </w:numPr>
        <w:tabs>
          <w:tab w:val="left" w:pos="940"/>
          <w:tab w:val="left" w:pos="941"/>
        </w:tabs>
        <w:spacing w:before="160" w:after="0" w:line="364" w:lineRule="auto"/>
        <w:ind w:left="100" w:right="385" w:firstLine="0"/>
        <w:jc w:val="left"/>
        <w:rPr>
          <w:sz w:val="24"/>
        </w:rPr>
      </w:pPr>
      <w:r>
        <w:rPr>
          <w:spacing w:val="-1"/>
          <w:sz w:val="24"/>
        </w:rPr>
        <w:t>本规定要求风环境设计分析的对象以城市规划批准的建设项目为准。当工程项</w:t>
      </w:r>
      <w:r>
        <w:rPr>
          <w:sz w:val="24"/>
        </w:rPr>
        <w:t>目为单栋建筑时，应按照单栋建筑及周边环境进行风环境分析，当工程项目是由多个单栋建筑组成的建筑群或综合体建筑时，应根据批准的项目用地范围内的所有建筑及周边建筑环境进行风环境分析。改建或扩建项目应以被改建、扩建的建筑物为风环境设计分析对象。自然风会因为周边建筑物的影响导致风向的改变及风速的减弱或增  强，故风环境设计分析时必须结合周边环境综合考虑。</w:t>
      </w:r>
    </w:p>
    <w:p>
      <w:pPr>
        <w:pStyle w:val="ListParagraph"/>
        <w:numPr>
          <w:ilvl w:val="2"/>
          <w:numId w:val="9"/>
        </w:numPr>
        <w:tabs>
          <w:tab w:val="left" w:pos="940"/>
          <w:tab w:val="left" w:pos="941"/>
        </w:tabs>
        <w:spacing w:before="5" w:after="0" w:line="364" w:lineRule="auto"/>
        <w:ind w:left="100" w:right="383" w:firstLine="0"/>
        <w:jc w:val="left"/>
        <w:rPr>
          <w:rFonts w:ascii="宋体" w:eastAsia="宋体" w:hint="eastAsia"/>
          <w:sz w:val="24"/>
        </w:rPr>
      </w:pPr>
      <w:r>
        <w:rPr>
          <w:rFonts w:ascii="宋体" w:eastAsia="宋体" w:hint="eastAsia"/>
          <w:spacing w:val="-1"/>
          <w:sz w:val="24"/>
        </w:rPr>
        <w:t>建筑风环境设计分析应以项目所在地的风气候分区及其主导风向和主导风速作</w:t>
      </w:r>
      <w:r>
        <w:rPr>
          <w:rFonts w:ascii="宋体" w:eastAsia="宋体" w:hint="eastAsia"/>
          <w:sz w:val="24"/>
        </w:rPr>
        <w:t>为边界条件。</w:t>
      </w:r>
    </w:p>
    <w:p>
      <w:pPr>
        <w:pStyle w:val="BodyText"/>
        <w:spacing w:before="1"/>
        <w:ind w:left="100"/>
        <w:rPr>
          <w:rFonts w:ascii="宋体" w:eastAsia="宋体" w:hint="eastAsia"/>
        </w:rPr>
      </w:pPr>
      <w:r>
        <w:rPr>
          <w:rFonts w:ascii="宋体" w:eastAsia="宋体" w:hint="eastAsia"/>
        </w:rPr>
        <w:t>【条文说明】</w:t>
      </w:r>
    </w:p>
    <w:p>
      <w:pPr>
        <w:pStyle w:val="ListParagraph"/>
        <w:numPr>
          <w:ilvl w:val="2"/>
          <w:numId w:val="8"/>
        </w:numPr>
        <w:tabs>
          <w:tab w:val="left" w:pos="940"/>
          <w:tab w:val="left" w:pos="941"/>
        </w:tabs>
        <w:spacing w:before="160" w:after="0" w:line="364" w:lineRule="auto"/>
        <w:ind w:left="100" w:right="383" w:firstLine="0"/>
        <w:jc w:val="left"/>
        <w:rPr>
          <w:sz w:val="24"/>
        </w:rPr>
      </w:pPr>
      <w:r>
        <w:rPr>
          <w:spacing w:val="-1"/>
          <w:sz w:val="24"/>
        </w:rPr>
        <w:t>建筑风环境设计分析所需风参数主要包含风气候分区、主导风风向和主导风风</w:t>
      </w:r>
      <w:r>
        <w:rPr>
          <w:sz w:val="24"/>
        </w:rPr>
        <w:t>速。现行的相关建筑环境数值模拟技术规程未对本市建筑风环境设计风参数边界做出明确规定，导致边界条件设定取值不一，建筑风环境分析结果不够准确，从而影响建筑总体布局方案和技术对策。</w:t>
      </w:r>
    </w:p>
    <w:p>
      <w:pPr>
        <w:pStyle w:val="ListParagraph"/>
        <w:numPr>
          <w:ilvl w:val="2"/>
          <w:numId w:val="8"/>
        </w:numPr>
        <w:tabs>
          <w:tab w:val="left" w:pos="940"/>
          <w:tab w:val="left" w:pos="941"/>
        </w:tabs>
        <w:spacing w:before="3" w:after="0" w:line="240" w:lineRule="auto"/>
        <w:ind w:left="940" w:right="0" w:hanging="841"/>
        <w:jc w:val="left"/>
        <w:rPr>
          <w:rFonts w:ascii="宋体" w:eastAsia="宋体" w:hint="eastAsia"/>
          <w:sz w:val="24"/>
        </w:rPr>
      </w:pPr>
      <w:r>
        <w:rPr>
          <w:rFonts w:ascii="宋体" w:eastAsia="宋体" w:hint="eastAsia"/>
          <w:sz w:val="24"/>
        </w:rPr>
        <w:t>建筑风环境设计中主导风参数的取值应根据项目设计需求选择对应时间周期</w:t>
      </w:r>
    </w:p>
    <w:p>
      <w:pPr>
        <w:pStyle w:val="BodyText"/>
        <w:spacing w:before="161"/>
        <w:ind w:left="100"/>
        <w:rPr>
          <w:rFonts w:ascii="宋体" w:eastAsia="宋体" w:hint="eastAsia"/>
        </w:rPr>
      </w:pPr>
      <w:r>
        <w:rPr>
          <w:rFonts w:ascii="宋体" w:eastAsia="宋体" w:hint="eastAsia"/>
        </w:rPr>
        <w:t>（月、季、年）的风气象数据统计结果。</w:t>
      </w:r>
    </w:p>
    <w:p>
      <w:pPr>
        <w:pStyle w:val="BodyText"/>
        <w:spacing w:before="160"/>
        <w:ind w:left="100"/>
        <w:rPr>
          <w:rFonts w:ascii="宋体" w:eastAsia="宋体" w:hint="eastAsia"/>
        </w:rPr>
      </w:pPr>
      <w:r>
        <w:rPr>
          <w:rFonts w:ascii="宋体" w:eastAsia="宋体" w:hint="eastAsia"/>
        </w:rPr>
        <w:t>【条文说明】</w:t>
      </w:r>
    </w:p>
    <w:p>
      <w:pPr>
        <w:pStyle w:val="BodyText"/>
        <w:spacing w:before="161" w:line="364" w:lineRule="auto"/>
        <w:ind w:left="100" w:right="383"/>
        <w:jc w:val="both"/>
      </w:pPr>
      <w:r>
        <w:rPr>
          <w:rFonts w:ascii="Times New Roman" w:eastAsia="Times New Roman"/>
        </w:rPr>
        <w:t>3.0.3</w:t>
      </w:r>
      <w:r>
        <w:rPr>
          <w:rFonts w:ascii="Times New Roman" w:eastAsia="Times New Roman"/>
          <w:spacing w:val="29"/>
        </w:rPr>
        <w:t xml:space="preserve">  </w:t>
      </w:r>
      <w:r>
        <w:rPr>
          <w:spacing w:val="-1"/>
        </w:rPr>
        <w:t>气象数据选择及全年各季节划分对建筑风环境分析结果至关重要，本标准中给</w:t>
      </w:r>
      <w:r>
        <w:rPr>
          <w:spacing w:val="-13"/>
        </w:rPr>
        <w:t xml:space="preserve">出了全年 </w:t>
      </w:r>
      <w:r>
        <w:rPr>
          <w:rFonts w:ascii="Times New Roman" w:eastAsia="Times New Roman"/>
        </w:rPr>
        <w:t xml:space="preserve">12 </w:t>
      </w:r>
      <w:r>
        <w:rPr>
          <w:spacing w:val="-1"/>
        </w:rPr>
        <w:t>个月、四个气象季节及全年的主导风数据，以满足不同季节不同环境场合</w:t>
      </w:r>
      <w:r>
        <w:t>对风环境控制或利用的设计对策选择。</w:t>
      </w:r>
    </w:p>
    <w:p>
      <w:pPr>
        <w:spacing w:after="0" w:line="364" w:lineRule="auto"/>
        <w:jc w:val="both"/>
        <w:sectPr>
          <w:footerReference w:type="default" r:id="rId8"/>
          <w:pgSz w:w="11910" w:h="16840"/>
          <w:pgMar w:top="1440" w:right="1080" w:bottom="1600" w:left="1340" w:header="0" w:footer="1403"/>
          <w:pgNumType w:start="4"/>
          <w:cols w:space="708"/>
        </w:sectPr>
      </w:pPr>
    </w:p>
    <w:p>
      <w:pPr>
        <w:pStyle w:val="Heading1"/>
        <w:numPr>
          <w:ilvl w:val="1"/>
          <w:numId w:val="14"/>
        </w:numPr>
        <w:tabs>
          <w:tab w:val="left" w:pos="4461"/>
          <w:tab w:val="left" w:pos="4462"/>
        </w:tabs>
        <w:spacing w:before="60" w:after="0" w:line="240" w:lineRule="auto"/>
        <w:ind w:left="4461" w:right="0" w:hanging="421"/>
        <w:jc w:val="left"/>
      </w:pPr>
      <w:bookmarkStart w:id="3" w:name="_bookmark3"/>
      <w:bookmarkEnd w:id="3"/>
      <w:r>
        <w:t>风参数</w:t>
      </w:r>
    </w:p>
    <w:p>
      <w:pPr>
        <w:pStyle w:val="BodyText"/>
        <w:spacing w:before="6"/>
        <w:rPr>
          <w:rFonts w:ascii="宋体"/>
          <w:b/>
          <w:sz w:val="38"/>
        </w:rPr>
      </w:pPr>
    </w:p>
    <w:p>
      <w:pPr>
        <w:pStyle w:val="ListParagraph"/>
        <w:numPr>
          <w:ilvl w:val="1"/>
          <w:numId w:val="7"/>
        </w:numPr>
        <w:tabs>
          <w:tab w:val="left" w:pos="4209"/>
          <w:tab w:val="left" w:pos="4210"/>
        </w:tabs>
        <w:spacing w:before="0" w:after="0" w:line="240" w:lineRule="auto"/>
        <w:ind w:left="4209" w:right="0" w:hanging="548"/>
        <w:jc w:val="left"/>
        <w:rPr>
          <w:rFonts w:ascii="宋体" w:eastAsia="宋体" w:hint="eastAsia"/>
          <w:b/>
          <w:sz w:val="24"/>
        </w:rPr>
      </w:pPr>
      <w:r>
        <w:rPr>
          <w:rFonts w:ascii="宋体" w:eastAsia="宋体" w:hint="eastAsia"/>
          <w:b/>
          <w:sz w:val="24"/>
        </w:rPr>
        <w:t>风气候分区</w:t>
      </w:r>
    </w:p>
    <w:p>
      <w:pPr>
        <w:pStyle w:val="BodyText"/>
        <w:tabs>
          <w:tab w:val="left" w:pos="940"/>
        </w:tabs>
        <w:spacing w:before="160" w:line="364" w:lineRule="auto"/>
        <w:ind w:left="100" w:right="383"/>
        <w:rPr>
          <w:rFonts w:ascii="宋体" w:eastAsia="宋体" w:hint="eastAsia"/>
        </w:rPr>
      </w:pPr>
      <w:r>
        <w:rPr>
          <w:rFonts w:ascii="Times New Roman" w:eastAsia="Times New Roman"/>
        </w:rPr>
        <w:t>4.1.1</w:t>
        <w:tab/>
      </w:r>
      <w:r>
        <w:rPr>
          <w:rFonts w:ascii="宋体" w:eastAsia="宋体" w:hint="eastAsia"/>
          <w:spacing w:val="-8"/>
        </w:rPr>
        <w:t xml:space="preserve">风气候分区分为 </w:t>
      </w:r>
      <w:r>
        <w:rPr>
          <w:rFonts w:ascii="Times New Roman" w:eastAsia="Times New Roman"/>
        </w:rPr>
        <w:t xml:space="preserve">1 </w:t>
      </w:r>
      <w:r>
        <w:rPr>
          <w:rFonts w:ascii="宋体" w:eastAsia="宋体" w:hint="eastAsia"/>
          <w:spacing w:val="-9"/>
        </w:rPr>
        <w:t xml:space="preserve">个中心城区和 </w:t>
      </w:r>
      <w:r>
        <w:rPr>
          <w:rFonts w:ascii="Times New Roman" w:eastAsia="Times New Roman"/>
        </w:rPr>
        <w:t xml:space="preserve">10 </w:t>
      </w:r>
      <w:r>
        <w:rPr>
          <w:rFonts w:ascii="宋体" w:eastAsia="宋体" w:hint="eastAsia"/>
        </w:rPr>
        <w:t xml:space="preserve">个新城区，中心城区由徐汇区、黄浦区、长宁区、静安区、普陀区、虹口区、杨浦区等 </w:t>
      </w:r>
      <w:r>
        <w:rPr>
          <w:rFonts w:ascii="Times New Roman" w:eastAsia="Times New Roman"/>
        </w:rPr>
        <w:t>7</w:t>
      </w:r>
      <w:r>
        <w:rPr>
          <w:rFonts w:ascii="Times New Roman" w:eastAsia="Times New Roman"/>
          <w:spacing w:val="2"/>
        </w:rPr>
        <w:t xml:space="preserve">  </w:t>
      </w:r>
      <w:r>
        <w:rPr>
          <w:rFonts w:ascii="宋体" w:eastAsia="宋体" w:hint="eastAsia"/>
        </w:rPr>
        <w:t>个行政区组成，新城区分别为闵行区、宝山区、嘉定区、金山区、青浦区、松江区、奉贤区、浦东新区（北</w:t>
      </w:r>
      <w:r>
        <w:rPr>
          <w:rFonts w:ascii="宋体" w:eastAsia="宋体" w:hint="eastAsia"/>
          <w:spacing w:val="-120"/>
        </w:rPr>
        <w:t>）</w:t>
      </w:r>
      <w:r>
        <w:rPr>
          <w:rFonts w:ascii="宋体" w:eastAsia="宋体" w:hint="eastAsia"/>
          <w:spacing w:val="-4"/>
        </w:rPr>
        <w:t>、浦东新区</w:t>
      </w:r>
    </w:p>
    <w:p>
      <w:pPr>
        <w:pStyle w:val="BodyText"/>
        <w:spacing w:before="2"/>
        <w:ind w:left="100"/>
        <w:rPr>
          <w:rFonts w:ascii="宋体" w:eastAsia="宋体" w:hint="eastAsia"/>
        </w:rPr>
      </w:pPr>
      <w:r>
        <w:rPr>
          <w:rFonts w:ascii="宋体" w:eastAsia="宋体" w:hint="eastAsia"/>
        </w:rPr>
        <w:t>（南</w:t>
      </w:r>
      <w:r>
        <w:rPr>
          <w:rFonts w:ascii="宋体" w:eastAsia="宋体" w:hint="eastAsia"/>
          <w:spacing w:val="-120"/>
        </w:rPr>
        <w:t>）</w:t>
      </w:r>
      <w:r>
        <w:rPr>
          <w:rFonts w:ascii="宋体" w:eastAsia="宋体" w:hint="eastAsia"/>
        </w:rPr>
        <w:t>、崇明区。</w:t>
      </w:r>
    </w:p>
    <w:p>
      <w:pPr>
        <w:pStyle w:val="BodyText"/>
        <w:spacing w:before="9"/>
        <w:rPr>
          <w:rFonts w:ascii="宋体"/>
        </w:rPr>
      </w:pPr>
    </w:p>
    <w:p>
      <w:pPr>
        <w:pStyle w:val="BodyText"/>
        <w:ind w:left="100"/>
        <w:rPr>
          <w:rFonts w:ascii="宋体" w:eastAsia="宋体" w:hint="eastAsia"/>
        </w:rPr>
      </w:pPr>
      <w:r>
        <w:rPr>
          <w:rFonts w:ascii="宋体" w:eastAsia="宋体" w:hint="eastAsia"/>
        </w:rPr>
        <w:t>【条文说明】</w:t>
      </w:r>
    </w:p>
    <w:p>
      <w:pPr>
        <w:pStyle w:val="ListParagraph"/>
        <w:numPr>
          <w:ilvl w:val="2"/>
          <w:numId w:val="6"/>
        </w:numPr>
        <w:tabs>
          <w:tab w:val="left" w:pos="941"/>
        </w:tabs>
        <w:spacing w:before="161" w:after="0" w:line="364" w:lineRule="auto"/>
        <w:ind w:left="100" w:right="355" w:firstLine="0"/>
        <w:jc w:val="both"/>
        <w:rPr>
          <w:rFonts w:ascii="宋体" w:eastAsia="宋体" w:hint="eastAsia"/>
          <w:sz w:val="24"/>
        </w:rPr>
      </w:pPr>
      <w:r>
        <w:rPr>
          <w:spacing w:val="-9"/>
          <w:sz w:val="24"/>
        </w:rPr>
        <w:t xml:space="preserve">上海市共有 </w:t>
      </w:r>
      <w:r>
        <w:rPr>
          <w:rFonts w:ascii="Times New Roman" w:eastAsia="Times New Roman"/>
          <w:sz w:val="24"/>
        </w:rPr>
        <w:t>16</w:t>
      </w:r>
      <w:r>
        <w:rPr>
          <w:rFonts w:ascii="Times New Roman" w:eastAsia="Times New Roman"/>
          <w:spacing w:val="9"/>
          <w:sz w:val="24"/>
        </w:rPr>
        <w:t xml:space="preserve"> </w:t>
      </w:r>
      <w:r>
        <w:rPr>
          <w:spacing w:val="-6"/>
          <w:sz w:val="24"/>
        </w:rPr>
        <w:t xml:space="preserve">个行政管辖区，设有 </w:t>
      </w:r>
      <w:r>
        <w:rPr>
          <w:rFonts w:ascii="Times New Roman" w:eastAsia="Times New Roman"/>
          <w:spacing w:val="-5"/>
          <w:sz w:val="24"/>
        </w:rPr>
        <w:t>11</w:t>
      </w:r>
      <w:r>
        <w:rPr>
          <w:rFonts w:ascii="Times New Roman" w:eastAsia="Times New Roman"/>
          <w:spacing w:val="9"/>
          <w:sz w:val="24"/>
        </w:rPr>
        <w:t xml:space="preserve"> </w:t>
      </w:r>
      <w:r>
        <w:rPr>
          <w:spacing w:val="-1"/>
          <w:sz w:val="24"/>
        </w:rPr>
        <w:t>个气象台站，除徐家汇气象站位于中心</w:t>
      </w:r>
      <w:r>
        <w:rPr>
          <w:spacing w:val="-7"/>
          <w:sz w:val="24"/>
        </w:rPr>
        <w:t xml:space="preserve">城区外，其余 </w:t>
      </w:r>
      <w:r>
        <w:rPr>
          <w:rFonts w:ascii="Times New Roman" w:eastAsia="Times New Roman"/>
          <w:sz w:val="24"/>
        </w:rPr>
        <w:t>10</w:t>
      </w:r>
      <w:r>
        <w:rPr>
          <w:rFonts w:ascii="Times New Roman" w:eastAsia="Times New Roman"/>
          <w:spacing w:val="13"/>
          <w:sz w:val="24"/>
        </w:rPr>
        <w:t xml:space="preserve"> </w:t>
      </w:r>
      <w:r>
        <w:rPr>
          <w:spacing w:val="-1"/>
          <w:sz w:val="24"/>
        </w:rPr>
        <w:t>个气象台站分别设于各新城区的辖区内，为此根据各气象台站分布情</w:t>
      </w:r>
      <w:r>
        <w:rPr>
          <w:spacing w:val="-20"/>
          <w:sz w:val="24"/>
        </w:rPr>
        <w:t>况划分风气候分区。浦东新区地域较大，根据气象台站分布的位置划分为浦东新区</w:t>
      </w:r>
      <w:r>
        <w:rPr>
          <w:sz w:val="24"/>
        </w:rPr>
        <w:t>（北</w:t>
      </w:r>
      <w:r>
        <w:rPr>
          <w:spacing w:val="-16"/>
          <w:sz w:val="24"/>
        </w:rPr>
        <w:t xml:space="preserve">） </w:t>
      </w:r>
      <w:r>
        <w:rPr>
          <w:sz w:val="24"/>
        </w:rPr>
        <w:t>和浦东新区（南</w:t>
      </w:r>
      <w:r>
        <w:rPr>
          <w:spacing w:val="-120"/>
          <w:sz w:val="24"/>
        </w:rPr>
        <w:t>）</w:t>
      </w:r>
      <w:r>
        <w:rPr>
          <w:sz w:val="24"/>
        </w:rPr>
        <w:t>。</w:t>
      </w:r>
    </w:p>
    <w:p>
      <w:pPr>
        <w:pStyle w:val="ListParagraph"/>
        <w:numPr>
          <w:ilvl w:val="2"/>
          <w:numId w:val="6"/>
        </w:numPr>
        <w:tabs>
          <w:tab w:val="left" w:pos="940"/>
          <w:tab w:val="left" w:pos="941"/>
        </w:tabs>
        <w:spacing w:before="3" w:after="0" w:line="364" w:lineRule="auto"/>
        <w:ind w:left="100" w:right="402" w:firstLine="0"/>
        <w:jc w:val="left"/>
        <w:rPr>
          <w:rFonts w:ascii="Times New Roman" w:eastAsia="Times New Roman"/>
          <w:sz w:val="24"/>
        </w:rPr>
      </w:pPr>
      <w:r>
        <w:rPr>
          <w:rFonts w:ascii="宋体" w:eastAsia="宋体" w:hint="eastAsia"/>
          <w:spacing w:val="-15"/>
          <w:sz w:val="24"/>
        </w:rPr>
        <w:t xml:space="preserve">上海市 </w:t>
      </w:r>
      <w:r>
        <w:rPr>
          <w:rFonts w:ascii="Times New Roman" w:eastAsia="Times New Roman"/>
          <w:spacing w:val="-5"/>
          <w:sz w:val="24"/>
        </w:rPr>
        <w:t>11</w:t>
      </w:r>
      <w:r>
        <w:rPr>
          <w:rFonts w:ascii="Times New Roman" w:eastAsia="Times New Roman"/>
          <w:sz w:val="24"/>
        </w:rPr>
        <w:t xml:space="preserve"> </w:t>
      </w:r>
      <w:r>
        <w:rPr>
          <w:rFonts w:ascii="宋体" w:eastAsia="宋体" w:hint="eastAsia"/>
          <w:spacing w:val="-5"/>
          <w:sz w:val="24"/>
        </w:rPr>
        <w:t xml:space="preserve">个风气候分区对应于上海 </w:t>
      </w:r>
      <w:r>
        <w:rPr>
          <w:rFonts w:ascii="Times New Roman" w:eastAsia="Times New Roman"/>
          <w:spacing w:val="-5"/>
          <w:sz w:val="24"/>
        </w:rPr>
        <w:t>11</w:t>
      </w:r>
      <w:r>
        <w:rPr>
          <w:rFonts w:ascii="Times New Roman" w:eastAsia="Times New Roman"/>
          <w:sz w:val="24"/>
        </w:rPr>
        <w:t xml:space="preserve"> </w:t>
      </w:r>
      <w:r>
        <w:rPr>
          <w:rFonts w:ascii="宋体" w:eastAsia="宋体" w:hint="eastAsia"/>
          <w:spacing w:val="-1"/>
          <w:sz w:val="24"/>
        </w:rPr>
        <w:t>个气象台站，各风气候分区对应的气象</w:t>
      </w:r>
      <w:r>
        <w:rPr>
          <w:rFonts w:ascii="宋体" w:eastAsia="宋体" w:hint="eastAsia"/>
          <w:spacing w:val="-13"/>
          <w:sz w:val="24"/>
        </w:rPr>
        <w:t xml:space="preserve">台站见表 </w:t>
      </w:r>
      <w:r>
        <w:rPr>
          <w:rFonts w:ascii="Times New Roman" w:eastAsia="Times New Roman"/>
          <w:sz w:val="24"/>
        </w:rPr>
        <w:t>4.1.2</w:t>
      </w:r>
      <w:r>
        <w:rPr>
          <w:rFonts w:ascii="宋体" w:eastAsia="宋体" w:hint="eastAsia"/>
          <w:spacing w:val="-4"/>
          <w:sz w:val="24"/>
        </w:rPr>
        <w:t xml:space="preserve">。上海市气象台站分布图详见附录 </w:t>
      </w:r>
      <w:r>
        <w:rPr>
          <w:rFonts w:ascii="Times New Roman" w:eastAsia="Times New Roman"/>
          <w:sz w:val="24"/>
        </w:rPr>
        <w:t>A</w:t>
      </w:r>
      <w:r>
        <w:rPr>
          <w:rFonts w:ascii="宋体" w:eastAsia="宋体" w:hint="eastAsia"/>
          <w:sz w:val="24"/>
        </w:rPr>
        <w:t>。</w:t>
      </w:r>
    </w:p>
    <w:p>
      <w:pPr>
        <w:pStyle w:val="BodyText"/>
        <w:spacing w:before="157"/>
        <w:ind w:left="880" w:right="719"/>
        <w:jc w:val="center"/>
        <w:rPr>
          <w:rFonts w:ascii="黑体" w:eastAsia="黑体" w:hint="eastAsia"/>
        </w:rPr>
      </w:pPr>
      <w:r>
        <w:rPr>
          <w:rFonts w:ascii="黑体" w:eastAsia="黑体" w:hint="eastAsia"/>
        </w:rPr>
        <w:t>表 4.1.2 上海各行政区对应的风气候分区及相应气象台站</w:t>
      </w:r>
    </w:p>
    <w:p>
      <w:pPr>
        <w:pStyle w:val="BodyText"/>
        <w:spacing w:before="5" w:after="1"/>
        <w:rPr>
          <w:rFonts w:ascii="黑体"/>
          <w:sz w:val="25"/>
        </w:rPr>
      </w:pPr>
    </w:p>
    <w:tbl>
      <w:tblPr>
        <w:tblStyle w:val="TableNormal0"/>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0"/>
        <w:gridCol w:w="1268"/>
        <w:gridCol w:w="3261"/>
        <w:gridCol w:w="1914"/>
        <w:gridCol w:w="2142"/>
      </w:tblGrid>
      <w:tr>
        <w:tblPrEx>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624"/>
          <w:jc w:val="left"/>
        </w:trPr>
        <w:tc>
          <w:tcPr>
            <w:tcW w:w="430" w:type="dxa"/>
          </w:tcPr>
          <w:p>
            <w:pPr>
              <w:pStyle w:val="TableParagraph"/>
              <w:spacing w:before="22"/>
              <w:ind w:left="110"/>
              <w:jc w:val="left"/>
              <w:rPr>
                <w:rFonts w:ascii="宋体" w:eastAsia="宋体" w:hint="eastAsia"/>
                <w:sz w:val="21"/>
              </w:rPr>
            </w:pPr>
            <w:r>
              <w:rPr>
                <w:rFonts w:ascii="宋体" w:eastAsia="宋体" w:hint="eastAsia"/>
                <w:w w:val="100"/>
                <w:sz w:val="21"/>
              </w:rPr>
              <w:t>编</w:t>
            </w:r>
          </w:p>
          <w:p>
            <w:pPr>
              <w:pStyle w:val="TableParagraph"/>
              <w:spacing w:before="44"/>
              <w:ind w:left="110"/>
              <w:jc w:val="left"/>
              <w:rPr>
                <w:rFonts w:ascii="宋体" w:eastAsia="宋体" w:hint="eastAsia"/>
                <w:sz w:val="21"/>
              </w:rPr>
            </w:pPr>
            <w:r>
              <w:rPr>
                <w:rFonts w:ascii="宋体" w:eastAsia="宋体" w:hint="eastAsia"/>
                <w:w w:val="100"/>
                <w:sz w:val="21"/>
              </w:rPr>
              <w:t>号</w:t>
            </w:r>
          </w:p>
        </w:tc>
        <w:tc>
          <w:tcPr>
            <w:tcW w:w="1268" w:type="dxa"/>
          </w:tcPr>
          <w:p>
            <w:pPr>
              <w:pStyle w:val="TableParagraph"/>
              <w:spacing w:before="178"/>
              <w:ind w:right="200"/>
              <w:jc w:val="right"/>
              <w:rPr>
                <w:rFonts w:ascii="宋体" w:eastAsia="宋体" w:hint="eastAsia"/>
                <w:sz w:val="21"/>
              </w:rPr>
            </w:pPr>
            <w:r>
              <w:rPr>
                <w:rFonts w:ascii="宋体" w:eastAsia="宋体" w:hint="eastAsia"/>
                <w:sz w:val="21"/>
              </w:rPr>
              <w:t>城区性质</w:t>
            </w:r>
          </w:p>
        </w:tc>
        <w:tc>
          <w:tcPr>
            <w:tcW w:w="3261" w:type="dxa"/>
          </w:tcPr>
          <w:p>
            <w:pPr>
              <w:pStyle w:val="TableParagraph"/>
              <w:spacing w:before="178"/>
              <w:ind w:left="141" w:right="128"/>
              <w:rPr>
                <w:rFonts w:ascii="宋体" w:eastAsia="宋体" w:hint="eastAsia"/>
                <w:sz w:val="21"/>
              </w:rPr>
            </w:pPr>
            <w:r>
              <w:rPr>
                <w:rFonts w:ascii="宋体" w:eastAsia="宋体" w:hint="eastAsia"/>
                <w:sz w:val="21"/>
              </w:rPr>
              <w:t>行政区域</w:t>
            </w:r>
          </w:p>
        </w:tc>
        <w:tc>
          <w:tcPr>
            <w:tcW w:w="1914" w:type="dxa"/>
          </w:tcPr>
          <w:p>
            <w:pPr>
              <w:pStyle w:val="TableParagraph"/>
              <w:spacing w:before="178"/>
              <w:ind w:left="201" w:right="192"/>
              <w:rPr>
                <w:rFonts w:ascii="宋体" w:eastAsia="宋体" w:hint="eastAsia"/>
                <w:sz w:val="21"/>
              </w:rPr>
            </w:pPr>
            <w:r>
              <w:rPr>
                <w:rFonts w:ascii="宋体" w:eastAsia="宋体" w:hint="eastAsia"/>
                <w:sz w:val="21"/>
              </w:rPr>
              <w:t>风气候分区</w:t>
            </w:r>
          </w:p>
        </w:tc>
        <w:tc>
          <w:tcPr>
            <w:tcW w:w="2142" w:type="dxa"/>
          </w:tcPr>
          <w:p>
            <w:pPr>
              <w:pStyle w:val="TableParagraph"/>
              <w:spacing w:before="178"/>
              <w:ind w:left="103" w:right="99"/>
              <w:rPr>
                <w:rFonts w:ascii="宋体" w:eastAsia="宋体" w:hint="eastAsia"/>
                <w:sz w:val="21"/>
              </w:rPr>
            </w:pPr>
            <w:r>
              <w:rPr>
                <w:rFonts w:ascii="宋体" w:eastAsia="宋体" w:hint="eastAsia"/>
                <w:sz w:val="21"/>
              </w:rPr>
              <w:t>气象台站</w:t>
            </w:r>
          </w:p>
        </w:tc>
      </w:tr>
      <w:tr>
        <w:tblPrEx>
          <w:tblW w:w="0" w:type="auto"/>
          <w:jc w:val="left"/>
          <w:tblInd w:w="112" w:type="dxa"/>
          <w:tblLayout w:type="fixed"/>
          <w:tblCellMar>
            <w:top w:w="0" w:type="dxa"/>
            <w:left w:w="0" w:type="dxa"/>
            <w:bottom w:w="0" w:type="dxa"/>
            <w:right w:w="0" w:type="dxa"/>
          </w:tblCellMar>
          <w:tblLook w:val="01E0"/>
        </w:tblPrEx>
        <w:trPr>
          <w:trHeight w:val="623"/>
          <w:jc w:val="left"/>
        </w:trPr>
        <w:tc>
          <w:tcPr>
            <w:tcW w:w="430" w:type="dxa"/>
          </w:tcPr>
          <w:p>
            <w:pPr>
              <w:pStyle w:val="TableParagraph"/>
              <w:spacing w:before="192"/>
              <w:ind w:left="11"/>
              <w:rPr>
                <w:sz w:val="21"/>
              </w:rPr>
            </w:pPr>
            <w:r>
              <w:rPr>
                <w:w w:val="100"/>
                <w:sz w:val="21"/>
              </w:rPr>
              <w:t>1</w:t>
            </w:r>
          </w:p>
        </w:tc>
        <w:tc>
          <w:tcPr>
            <w:tcW w:w="1268" w:type="dxa"/>
          </w:tcPr>
          <w:p>
            <w:pPr>
              <w:pStyle w:val="TableParagraph"/>
              <w:spacing w:before="178"/>
              <w:ind w:right="200"/>
              <w:jc w:val="right"/>
              <w:rPr>
                <w:rFonts w:ascii="宋体" w:eastAsia="宋体" w:hint="eastAsia"/>
                <w:sz w:val="21"/>
              </w:rPr>
            </w:pPr>
            <w:r>
              <w:rPr>
                <w:rFonts w:ascii="宋体" w:eastAsia="宋体" w:hint="eastAsia"/>
                <w:sz w:val="21"/>
              </w:rPr>
              <w:t>中心城区</w:t>
            </w:r>
          </w:p>
        </w:tc>
        <w:tc>
          <w:tcPr>
            <w:tcW w:w="3261" w:type="dxa"/>
          </w:tcPr>
          <w:p>
            <w:pPr>
              <w:pStyle w:val="TableParagraph"/>
              <w:spacing w:before="22"/>
              <w:ind w:left="141" w:right="129"/>
              <w:rPr>
                <w:rFonts w:ascii="宋体" w:eastAsia="宋体" w:hint="eastAsia"/>
                <w:sz w:val="21"/>
              </w:rPr>
            </w:pPr>
            <w:r>
              <w:rPr>
                <w:rFonts w:ascii="宋体" w:eastAsia="宋体" w:hint="eastAsia"/>
                <w:sz w:val="21"/>
              </w:rPr>
              <w:t>徐汇区、黄浦区、长宁区、静安</w:t>
            </w:r>
          </w:p>
          <w:p>
            <w:pPr>
              <w:pStyle w:val="TableParagraph"/>
              <w:spacing w:before="43"/>
              <w:ind w:left="141" w:right="129"/>
              <w:rPr>
                <w:rFonts w:ascii="宋体" w:eastAsia="宋体" w:hint="eastAsia"/>
                <w:sz w:val="21"/>
              </w:rPr>
            </w:pPr>
            <w:r>
              <w:rPr>
                <w:rFonts w:ascii="宋体" w:eastAsia="宋体" w:hint="eastAsia"/>
                <w:sz w:val="21"/>
              </w:rPr>
              <w:t>区、普陀区、虹口区、杨浦区</w:t>
            </w:r>
          </w:p>
        </w:tc>
        <w:tc>
          <w:tcPr>
            <w:tcW w:w="1914" w:type="dxa"/>
          </w:tcPr>
          <w:p>
            <w:pPr>
              <w:pStyle w:val="TableParagraph"/>
              <w:spacing w:before="178"/>
              <w:ind w:left="201" w:right="192"/>
              <w:rPr>
                <w:rFonts w:ascii="宋体" w:eastAsia="宋体" w:hint="eastAsia"/>
                <w:sz w:val="21"/>
              </w:rPr>
            </w:pPr>
            <w:r>
              <w:rPr>
                <w:rFonts w:ascii="宋体" w:eastAsia="宋体" w:hint="eastAsia"/>
                <w:sz w:val="21"/>
              </w:rPr>
              <w:t>中心城区</w:t>
            </w:r>
          </w:p>
        </w:tc>
        <w:tc>
          <w:tcPr>
            <w:tcW w:w="2142" w:type="dxa"/>
          </w:tcPr>
          <w:p>
            <w:pPr>
              <w:pStyle w:val="TableParagraph"/>
              <w:spacing w:before="178"/>
              <w:ind w:left="100" w:right="99"/>
              <w:rPr>
                <w:rFonts w:ascii="宋体" w:eastAsia="宋体" w:hint="eastAsia"/>
                <w:sz w:val="21"/>
              </w:rPr>
            </w:pPr>
            <w:r>
              <w:rPr>
                <w:rFonts w:ascii="宋体" w:eastAsia="宋体" w:hint="eastAsia"/>
                <w:sz w:val="21"/>
              </w:rPr>
              <w:t>徐家汇气象站</w:t>
            </w:r>
          </w:p>
        </w:tc>
      </w:tr>
      <w:tr>
        <w:tblPrEx>
          <w:tblW w:w="0" w:type="auto"/>
          <w:jc w:val="left"/>
          <w:tblInd w:w="112" w:type="dxa"/>
          <w:tblLayout w:type="fixed"/>
          <w:tblCellMar>
            <w:top w:w="0" w:type="dxa"/>
            <w:left w:w="0" w:type="dxa"/>
            <w:bottom w:w="0" w:type="dxa"/>
            <w:right w:w="0" w:type="dxa"/>
          </w:tblCellMar>
          <w:tblLook w:val="01E0"/>
        </w:tblPrEx>
        <w:trPr>
          <w:trHeight w:val="311"/>
          <w:jc w:val="left"/>
        </w:trPr>
        <w:tc>
          <w:tcPr>
            <w:tcW w:w="430" w:type="dxa"/>
          </w:tcPr>
          <w:p>
            <w:pPr>
              <w:pStyle w:val="TableParagraph"/>
              <w:spacing w:before="36"/>
              <w:ind w:left="11"/>
              <w:rPr>
                <w:sz w:val="21"/>
              </w:rPr>
            </w:pPr>
            <w:r>
              <w:rPr>
                <w:w w:val="100"/>
                <w:sz w:val="21"/>
              </w:rPr>
              <w:t>2</w:t>
            </w:r>
          </w:p>
        </w:tc>
        <w:tc>
          <w:tcPr>
            <w:tcW w:w="1268" w:type="dxa"/>
            <w:vMerge w:val="restart"/>
          </w:tcPr>
          <w:p>
            <w:pPr>
              <w:pStyle w:val="TableParagraph"/>
              <w:spacing w:before="0"/>
              <w:jc w:val="left"/>
              <w:rPr>
                <w:rFonts w:ascii="黑体"/>
                <w:sz w:val="20"/>
              </w:rPr>
            </w:pPr>
          </w:p>
          <w:p>
            <w:pPr>
              <w:pStyle w:val="TableParagraph"/>
              <w:spacing w:before="0"/>
              <w:jc w:val="left"/>
              <w:rPr>
                <w:rFonts w:ascii="黑体"/>
                <w:sz w:val="20"/>
              </w:rPr>
            </w:pPr>
          </w:p>
          <w:p>
            <w:pPr>
              <w:pStyle w:val="TableParagraph"/>
              <w:spacing w:before="0"/>
              <w:jc w:val="left"/>
              <w:rPr>
                <w:rFonts w:ascii="黑体"/>
                <w:sz w:val="20"/>
              </w:rPr>
            </w:pPr>
          </w:p>
          <w:p>
            <w:pPr>
              <w:pStyle w:val="TableParagraph"/>
              <w:spacing w:before="0"/>
              <w:jc w:val="left"/>
              <w:rPr>
                <w:rFonts w:ascii="黑体"/>
                <w:sz w:val="20"/>
              </w:rPr>
            </w:pPr>
          </w:p>
          <w:p>
            <w:pPr>
              <w:pStyle w:val="TableParagraph"/>
              <w:spacing w:before="0"/>
              <w:jc w:val="left"/>
              <w:rPr>
                <w:rFonts w:ascii="黑体"/>
                <w:sz w:val="20"/>
              </w:rPr>
            </w:pPr>
          </w:p>
          <w:p>
            <w:pPr>
              <w:pStyle w:val="TableParagraph"/>
              <w:spacing w:before="1"/>
              <w:jc w:val="left"/>
              <w:rPr>
                <w:rFonts w:ascii="黑体"/>
                <w:sz w:val="27"/>
              </w:rPr>
            </w:pPr>
          </w:p>
          <w:p>
            <w:pPr>
              <w:pStyle w:val="TableParagraph"/>
              <w:spacing w:before="0"/>
              <w:ind w:left="316"/>
              <w:jc w:val="left"/>
              <w:rPr>
                <w:rFonts w:ascii="宋体" w:eastAsia="宋体" w:hint="eastAsia"/>
                <w:sz w:val="21"/>
              </w:rPr>
            </w:pPr>
            <w:r>
              <w:rPr>
                <w:rFonts w:ascii="宋体" w:eastAsia="宋体" w:hint="eastAsia"/>
                <w:sz w:val="21"/>
              </w:rPr>
              <w:t>新城区</w:t>
            </w:r>
          </w:p>
        </w:tc>
        <w:tc>
          <w:tcPr>
            <w:tcW w:w="3261" w:type="dxa"/>
          </w:tcPr>
          <w:p>
            <w:pPr>
              <w:pStyle w:val="TableParagraph"/>
              <w:spacing w:before="22"/>
              <w:ind w:left="140" w:right="129"/>
              <w:rPr>
                <w:rFonts w:ascii="宋体" w:eastAsia="宋体" w:hint="eastAsia"/>
                <w:sz w:val="21"/>
              </w:rPr>
            </w:pPr>
            <w:r>
              <w:rPr>
                <w:rFonts w:ascii="宋体" w:eastAsia="宋体" w:hint="eastAsia"/>
                <w:sz w:val="21"/>
              </w:rPr>
              <w:t>闵行区</w:t>
            </w:r>
          </w:p>
        </w:tc>
        <w:tc>
          <w:tcPr>
            <w:tcW w:w="1914" w:type="dxa"/>
          </w:tcPr>
          <w:p>
            <w:pPr>
              <w:pStyle w:val="TableParagraph"/>
              <w:spacing w:before="22"/>
              <w:ind w:left="202" w:right="191"/>
              <w:rPr>
                <w:rFonts w:ascii="宋体" w:eastAsia="宋体" w:hint="eastAsia"/>
                <w:sz w:val="21"/>
              </w:rPr>
            </w:pPr>
            <w:r>
              <w:rPr>
                <w:rFonts w:ascii="宋体" w:eastAsia="宋体" w:hint="eastAsia"/>
                <w:sz w:val="21"/>
              </w:rPr>
              <w:t>闵行区</w:t>
            </w:r>
          </w:p>
        </w:tc>
        <w:tc>
          <w:tcPr>
            <w:tcW w:w="2142" w:type="dxa"/>
          </w:tcPr>
          <w:p>
            <w:pPr>
              <w:pStyle w:val="TableParagraph"/>
              <w:spacing w:before="22"/>
              <w:ind w:left="100" w:right="99"/>
              <w:rPr>
                <w:rFonts w:ascii="宋体" w:eastAsia="宋体" w:hint="eastAsia"/>
                <w:sz w:val="21"/>
              </w:rPr>
            </w:pPr>
            <w:r>
              <w:rPr>
                <w:rFonts w:ascii="宋体" w:eastAsia="宋体" w:hint="eastAsia"/>
                <w:sz w:val="21"/>
              </w:rPr>
              <w:t>闵行区气象台</w:t>
            </w:r>
          </w:p>
        </w:tc>
      </w:tr>
      <w:tr>
        <w:tblPrEx>
          <w:tblW w:w="0" w:type="auto"/>
          <w:jc w:val="left"/>
          <w:tblInd w:w="112" w:type="dxa"/>
          <w:tblLayout w:type="fixed"/>
          <w:tblCellMar>
            <w:top w:w="0" w:type="dxa"/>
            <w:left w:w="0" w:type="dxa"/>
            <w:bottom w:w="0" w:type="dxa"/>
            <w:right w:w="0" w:type="dxa"/>
          </w:tblCellMar>
          <w:tblLook w:val="01E0"/>
        </w:tblPrEx>
        <w:trPr>
          <w:trHeight w:val="311"/>
          <w:jc w:val="left"/>
        </w:trPr>
        <w:tc>
          <w:tcPr>
            <w:tcW w:w="430" w:type="dxa"/>
          </w:tcPr>
          <w:p>
            <w:pPr>
              <w:pStyle w:val="TableParagraph"/>
              <w:spacing w:before="36"/>
              <w:ind w:left="11"/>
              <w:rPr>
                <w:sz w:val="21"/>
              </w:rPr>
            </w:pPr>
            <w:r>
              <w:rPr>
                <w:w w:val="100"/>
                <w:sz w:val="21"/>
              </w:rPr>
              <w:t>3</w:t>
            </w:r>
          </w:p>
        </w:tc>
        <w:tc>
          <w:tcPr>
            <w:tcW w:w="1268" w:type="dxa"/>
            <w:vMerge/>
            <w:tcBorders>
              <w:top w:val="nil"/>
            </w:tcBorders>
          </w:tcPr>
          <w:p>
            <w:pPr>
              <w:rPr>
                <w:sz w:val="2"/>
                <w:szCs w:val="2"/>
              </w:rPr>
            </w:pPr>
          </w:p>
        </w:tc>
        <w:tc>
          <w:tcPr>
            <w:tcW w:w="3261" w:type="dxa"/>
          </w:tcPr>
          <w:p>
            <w:pPr>
              <w:pStyle w:val="TableParagraph"/>
              <w:spacing w:before="22"/>
              <w:ind w:left="140" w:right="129"/>
              <w:rPr>
                <w:rFonts w:ascii="宋体" w:eastAsia="宋体" w:hint="eastAsia"/>
                <w:sz w:val="21"/>
              </w:rPr>
            </w:pPr>
            <w:r>
              <w:rPr>
                <w:rFonts w:ascii="宋体" w:eastAsia="宋体" w:hint="eastAsia"/>
                <w:sz w:val="21"/>
              </w:rPr>
              <w:t>宝山区</w:t>
            </w:r>
          </w:p>
        </w:tc>
        <w:tc>
          <w:tcPr>
            <w:tcW w:w="1914" w:type="dxa"/>
          </w:tcPr>
          <w:p>
            <w:pPr>
              <w:pStyle w:val="TableParagraph"/>
              <w:spacing w:before="22"/>
              <w:ind w:left="202" w:right="191"/>
              <w:rPr>
                <w:rFonts w:ascii="宋体" w:eastAsia="宋体" w:hint="eastAsia"/>
                <w:sz w:val="21"/>
              </w:rPr>
            </w:pPr>
            <w:r>
              <w:rPr>
                <w:rFonts w:ascii="宋体" w:eastAsia="宋体" w:hint="eastAsia"/>
                <w:sz w:val="21"/>
              </w:rPr>
              <w:t>宝山区</w:t>
            </w:r>
          </w:p>
        </w:tc>
        <w:tc>
          <w:tcPr>
            <w:tcW w:w="2142" w:type="dxa"/>
          </w:tcPr>
          <w:p>
            <w:pPr>
              <w:pStyle w:val="TableParagraph"/>
              <w:spacing w:before="22"/>
              <w:ind w:left="103" w:right="99"/>
              <w:rPr>
                <w:rFonts w:ascii="宋体" w:eastAsia="宋体" w:hint="eastAsia"/>
                <w:sz w:val="21"/>
              </w:rPr>
            </w:pPr>
            <w:r>
              <w:rPr>
                <w:rFonts w:ascii="宋体" w:eastAsia="宋体" w:hint="eastAsia"/>
                <w:sz w:val="21"/>
              </w:rPr>
              <w:t>宝山国家气候观象台</w:t>
            </w:r>
          </w:p>
        </w:tc>
      </w:tr>
      <w:tr>
        <w:tblPrEx>
          <w:tblW w:w="0" w:type="auto"/>
          <w:jc w:val="left"/>
          <w:tblInd w:w="112" w:type="dxa"/>
          <w:tblLayout w:type="fixed"/>
          <w:tblCellMar>
            <w:top w:w="0" w:type="dxa"/>
            <w:left w:w="0" w:type="dxa"/>
            <w:bottom w:w="0" w:type="dxa"/>
            <w:right w:w="0" w:type="dxa"/>
          </w:tblCellMar>
          <w:tblLook w:val="01E0"/>
        </w:tblPrEx>
        <w:trPr>
          <w:trHeight w:val="311"/>
          <w:jc w:val="left"/>
        </w:trPr>
        <w:tc>
          <w:tcPr>
            <w:tcW w:w="430" w:type="dxa"/>
          </w:tcPr>
          <w:p>
            <w:pPr>
              <w:pStyle w:val="TableParagraph"/>
              <w:spacing w:before="36"/>
              <w:ind w:left="11"/>
              <w:rPr>
                <w:sz w:val="21"/>
              </w:rPr>
            </w:pPr>
            <w:r>
              <w:rPr>
                <w:w w:val="100"/>
                <w:sz w:val="21"/>
              </w:rPr>
              <w:t>4</w:t>
            </w:r>
          </w:p>
        </w:tc>
        <w:tc>
          <w:tcPr>
            <w:tcW w:w="1268" w:type="dxa"/>
            <w:vMerge/>
            <w:tcBorders>
              <w:top w:val="nil"/>
            </w:tcBorders>
          </w:tcPr>
          <w:p>
            <w:pPr>
              <w:rPr>
                <w:sz w:val="2"/>
                <w:szCs w:val="2"/>
              </w:rPr>
            </w:pPr>
          </w:p>
        </w:tc>
        <w:tc>
          <w:tcPr>
            <w:tcW w:w="3261" w:type="dxa"/>
          </w:tcPr>
          <w:p>
            <w:pPr>
              <w:pStyle w:val="TableParagraph"/>
              <w:spacing w:before="22"/>
              <w:ind w:left="140" w:right="129"/>
              <w:rPr>
                <w:rFonts w:ascii="宋体" w:eastAsia="宋体" w:hint="eastAsia"/>
                <w:sz w:val="21"/>
              </w:rPr>
            </w:pPr>
            <w:r>
              <w:rPr>
                <w:rFonts w:ascii="宋体" w:eastAsia="宋体" w:hint="eastAsia"/>
                <w:sz w:val="21"/>
              </w:rPr>
              <w:t>嘉定区</w:t>
            </w:r>
          </w:p>
        </w:tc>
        <w:tc>
          <w:tcPr>
            <w:tcW w:w="1914" w:type="dxa"/>
          </w:tcPr>
          <w:p>
            <w:pPr>
              <w:pStyle w:val="TableParagraph"/>
              <w:spacing w:before="22"/>
              <w:ind w:left="202" w:right="191"/>
              <w:rPr>
                <w:rFonts w:ascii="宋体" w:eastAsia="宋体" w:hint="eastAsia"/>
                <w:sz w:val="21"/>
              </w:rPr>
            </w:pPr>
            <w:r>
              <w:rPr>
                <w:rFonts w:ascii="宋体" w:eastAsia="宋体" w:hint="eastAsia"/>
                <w:sz w:val="21"/>
              </w:rPr>
              <w:t>嘉定区</w:t>
            </w:r>
          </w:p>
        </w:tc>
        <w:tc>
          <w:tcPr>
            <w:tcW w:w="2142" w:type="dxa"/>
          </w:tcPr>
          <w:p>
            <w:pPr>
              <w:pStyle w:val="TableParagraph"/>
              <w:spacing w:before="22"/>
              <w:ind w:left="103" w:right="99"/>
              <w:rPr>
                <w:rFonts w:ascii="宋体" w:eastAsia="宋体" w:hint="eastAsia"/>
                <w:sz w:val="21"/>
              </w:rPr>
            </w:pPr>
            <w:r>
              <w:rPr>
                <w:rFonts w:ascii="宋体" w:eastAsia="宋体" w:hint="eastAsia"/>
                <w:sz w:val="21"/>
              </w:rPr>
              <w:t>嘉定国家一般气象站</w:t>
            </w:r>
          </w:p>
        </w:tc>
      </w:tr>
      <w:tr>
        <w:tblPrEx>
          <w:tblW w:w="0" w:type="auto"/>
          <w:jc w:val="left"/>
          <w:tblInd w:w="112" w:type="dxa"/>
          <w:tblLayout w:type="fixed"/>
          <w:tblCellMar>
            <w:top w:w="0" w:type="dxa"/>
            <w:left w:w="0" w:type="dxa"/>
            <w:bottom w:w="0" w:type="dxa"/>
            <w:right w:w="0" w:type="dxa"/>
          </w:tblCellMar>
          <w:tblLook w:val="01E0"/>
        </w:tblPrEx>
        <w:trPr>
          <w:trHeight w:val="314"/>
          <w:jc w:val="left"/>
        </w:trPr>
        <w:tc>
          <w:tcPr>
            <w:tcW w:w="430" w:type="dxa"/>
          </w:tcPr>
          <w:p>
            <w:pPr>
              <w:pStyle w:val="TableParagraph"/>
              <w:spacing w:before="39"/>
              <w:ind w:left="11"/>
              <w:rPr>
                <w:sz w:val="21"/>
              </w:rPr>
            </w:pPr>
            <w:r>
              <w:rPr>
                <w:w w:val="100"/>
                <w:sz w:val="21"/>
              </w:rPr>
              <w:t>5</w:t>
            </w:r>
          </w:p>
        </w:tc>
        <w:tc>
          <w:tcPr>
            <w:tcW w:w="1268" w:type="dxa"/>
            <w:vMerge/>
            <w:tcBorders>
              <w:top w:val="nil"/>
            </w:tcBorders>
          </w:tcPr>
          <w:p>
            <w:pPr>
              <w:rPr>
                <w:sz w:val="2"/>
                <w:szCs w:val="2"/>
              </w:rPr>
            </w:pPr>
          </w:p>
        </w:tc>
        <w:tc>
          <w:tcPr>
            <w:tcW w:w="3261" w:type="dxa"/>
          </w:tcPr>
          <w:p>
            <w:pPr>
              <w:pStyle w:val="TableParagraph"/>
              <w:spacing w:before="25"/>
              <w:ind w:left="140" w:right="129"/>
              <w:rPr>
                <w:rFonts w:ascii="宋体" w:eastAsia="宋体" w:hint="eastAsia"/>
                <w:sz w:val="21"/>
              </w:rPr>
            </w:pPr>
            <w:r>
              <w:rPr>
                <w:rFonts w:ascii="宋体" w:eastAsia="宋体" w:hint="eastAsia"/>
                <w:sz w:val="21"/>
              </w:rPr>
              <w:t>金山区</w:t>
            </w:r>
          </w:p>
        </w:tc>
        <w:tc>
          <w:tcPr>
            <w:tcW w:w="1914" w:type="dxa"/>
          </w:tcPr>
          <w:p>
            <w:pPr>
              <w:pStyle w:val="TableParagraph"/>
              <w:spacing w:before="25"/>
              <w:ind w:left="202" w:right="191"/>
              <w:rPr>
                <w:rFonts w:ascii="宋体" w:eastAsia="宋体" w:hint="eastAsia"/>
                <w:sz w:val="21"/>
              </w:rPr>
            </w:pPr>
            <w:r>
              <w:rPr>
                <w:rFonts w:ascii="宋体" w:eastAsia="宋体" w:hint="eastAsia"/>
                <w:sz w:val="21"/>
              </w:rPr>
              <w:t>金山区</w:t>
            </w:r>
          </w:p>
        </w:tc>
        <w:tc>
          <w:tcPr>
            <w:tcW w:w="2142" w:type="dxa"/>
          </w:tcPr>
          <w:p>
            <w:pPr>
              <w:pStyle w:val="TableParagraph"/>
              <w:spacing w:before="25"/>
              <w:ind w:left="100" w:right="99"/>
              <w:rPr>
                <w:rFonts w:ascii="宋体" w:eastAsia="宋体" w:hint="eastAsia"/>
                <w:sz w:val="21"/>
              </w:rPr>
            </w:pPr>
            <w:r>
              <w:rPr>
                <w:rFonts w:ascii="宋体" w:eastAsia="宋体" w:hint="eastAsia"/>
                <w:sz w:val="21"/>
              </w:rPr>
              <w:t>金山区气象台</w:t>
            </w:r>
          </w:p>
        </w:tc>
      </w:tr>
      <w:tr>
        <w:tblPrEx>
          <w:tblW w:w="0" w:type="auto"/>
          <w:jc w:val="left"/>
          <w:tblInd w:w="112" w:type="dxa"/>
          <w:tblLayout w:type="fixed"/>
          <w:tblCellMar>
            <w:top w:w="0" w:type="dxa"/>
            <w:left w:w="0" w:type="dxa"/>
            <w:bottom w:w="0" w:type="dxa"/>
            <w:right w:w="0" w:type="dxa"/>
          </w:tblCellMar>
          <w:tblLook w:val="01E0"/>
        </w:tblPrEx>
        <w:trPr>
          <w:trHeight w:val="311"/>
          <w:jc w:val="left"/>
        </w:trPr>
        <w:tc>
          <w:tcPr>
            <w:tcW w:w="430" w:type="dxa"/>
          </w:tcPr>
          <w:p>
            <w:pPr>
              <w:pStyle w:val="TableParagraph"/>
              <w:spacing w:before="36"/>
              <w:ind w:left="11"/>
              <w:rPr>
                <w:sz w:val="21"/>
              </w:rPr>
            </w:pPr>
            <w:r>
              <w:rPr>
                <w:w w:val="100"/>
                <w:sz w:val="21"/>
              </w:rPr>
              <w:t>6</w:t>
            </w:r>
          </w:p>
        </w:tc>
        <w:tc>
          <w:tcPr>
            <w:tcW w:w="1268" w:type="dxa"/>
            <w:vMerge/>
            <w:tcBorders>
              <w:top w:val="nil"/>
            </w:tcBorders>
          </w:tcPr>
          <w:p>
            <w:pPr>
              <w:rPr>
                <w:sz w:val="2"/>
                <w:szCs w:val="2"/>
              </w:rPr>
            </w:pPr>
          </w:p>
        </w:tc>
        <w:tc>
          <w:tcPr>
            <w:tcW w:w="3261" w:type="dxa"/>
          </w:tcPr>
          <w:p>
            <w:pPr>
              <w:pStyle w:val="TableParagraph"/>
              <w:spacing w:before="22"/>
              <w:ind w:left="140" w:right="129"/>
              <w:rPr>
                <w:rFonts w:ascii="宋体" w:eastAsia="宋体" w:hint="eastAsia"/>
                <w:sz w:val="21"/>
              </w:rPr>
            </w:pPr>
            <w:r>
              <w:rPr>
                <w:rFonts w:ascii="宋体" w:eastAsia="宋体" w:hint="eastAsia"/>
                <w:sz w:val="21"/>
              </w:rPr>
              <w:t>青浦区</w:t>
            </w:r>
          </w:p>
        </w:tc>
        <w:tc>
          <w:tcPr>
            <w:tcW w:w="1914" w:type="dxa"/>
          </w:tcPr>
          <w:p>
            <w:pPr>
              <w:pStyle w:val="TableParagraph"/>
              <w:spacing w:before="22"/>
              <w:ind w:left="202" w:right="191"/>
              <w:rPr>
                <w:rFonts w:ascii="宋体" w:eastAsia="宋体" w:hint="eastAsia"/>
                <w:sz w:val="21"/>
              </w:rPr>
            </w:pPr>
            <w:r>
              <w:rPr>
                <w:rFonts w:ascii="宋体" w:eastAsia="宋体" w:hint="eastAsia"/>
                <w:sz w:val="21"/>
              </w:rPr>
              <w:t>青浦区</w:t>
            </w:r>
          </w:p>
        </w:tc>
        <w:tc>
          <w:tcPr>
            <w:tcW w:w="2142" w:type="dxa"/>
          </w:tcPr>
          <w:p>
            <w:pPr>
              <w:pStyle w:val="TableParagraph"/>
              <w:spacing w:before="22"/>
              <w:ind w:left="100" w:right="99"/>
              <w:rPr>
                <w:rFonts w:ascii="宋体" w:eastAsia="宋体" w:hint="eastAsia"/>
                <w:sz w:val="21"/>
              </w:rPr>
            </w:pPr>
            <w:r>
              <w:rPr>
                <w:rFonts w:ascii="宋体" w:eastAsia="宋体" w:hint="eastAsia"/>
                <w:sz w:val="21"/>
              </w:rPr>
              <w:t>青浦区气象台</w:t>
            </w:r>
          </w:p>
        </w:tc>
      </w:tr>
      <w:tr>
        <w:tblPrEx>
          <w:tblW w:w="0" w:type="auto"/>
          <w:jc w:val="left"/>
          <w:tblInd w:w="112" w:type="dxa"/>
          <w:tblLayout w:type="fixed"/>
          <w:tblCellMar>
            <w:top w:w="0" w:type="dxa"/>
            <w:left w:w="0" w:type="dxa"/>
            <w:bottom w:w="0" w:type="dxa"/>
            <w:right w:w="0" w:type="dxa"/>
          </w:tblCellMar>
          <w:tblLook w:val="01E0"/>
        </w:tblPrEx>
        <w:trPr>
          <w:trHeight w:val="311"/>
          <w:jc w:val="left"/>
        </w:trPr>
        <w:tc>
          <w:tcPr>
            <w:tcW w:w="430" w:type="dxa"/>
          </w:tcPr>
          <w:p>
            <w:pPr>
              <w:pStyle w:val="TableParagraph"/>
              <w:spacing w:before="36"/>
              <w:ind w:left="11"/>
              <w:rPr>
                <w:sz w:val="21"/>
              </w:rPr>
            </w:pPr>
            <w:r>
              <w:rPr>
                <w:w w:val="100"/>
                <w:sz w:val="21"/>
              </w:rPr>
              <w:t>7</w:t>
            </w:r>
          </w:p>
        </w:tc>
        <w:tc>
          <w:tcPr>
            <w:tcW w:w="1268" w:type="dxa"/>
            <w:vMerge/>
            <w:tcBorders>
              <w:top w:val="nil"/>
            </w:tcBorders>
          </w:tcPr>
          <w:p>
            <w:pPr>
              <w:rPr>
                <w:sz w:val="2"/>
                <w:szCs w:val="2"/>
              </w:rPr>
            </w:pPr>
          </w:p>
        </w:tc>
        <w:tc>
          <w:tcPr>
            <w:tcW w:w="3261" w:type="dxa"/>
          </w:tcPr>
          <w:p>
            <w:pPr>
              <w:pStyle w:val="TableParagraph"/>
              <w:spacing w:before="22"/>
              <w:ind w:left="140" w:right="129"/>
              <w:rPr>
                <w:rFonts w:ascii="宋体" w:eastAsia="宋体" w:hint="eastAsia"/>
                <w:sz w:val="21"/>
              </w:rPr>
            </w:pPr>
            <w:r>
              <w:rPr>
                <w:rFonts w:ascii="宋体" w:eastAsia="宋体" w:hint="eastAsia"/>
                <w:sz w:val="21"/>
              </w:rPr>
              <w:t>松江区</w:t>
            </w:r>
          </w:p>
        </w:tc>
        <w:tc>
          <w:tcPr>
            <w:tcW w:w="1914" w:type="dxa"/>
          </w:tcPr>
          <w:p>
            <w:pPr>
              <w:pStyle w:val="TableParagraph"/>
              <w:spacing w:before="22"/>
              <w:ind w:left="202" w:right="191"/>
              <w:rPr>
                <w:rFonts w:ascii="宋体" w:eastAsia="宋体" w:hint="eastAsia"/>
                <w:sz w:val="21"/>
              </w:rPr>
            </w:pPr>
            <w:r>
              <w:rPr>
                <w:rFonts w:ascii="宋体" w:eastAsia="宋体" w:hint="eastAsia"/>
                <w:sz w:val="21"/>
              </w:rPr>
              <w:t>松江区</w:t>
            </w:r>
          </w:p>
        </w:tc>
        <w:tc>
          <w:tcPr>
            <w:tcW w:w="2142" w:type="dxa"/>
          </w:tcPr>
          <w:p>
            <w:pPr>
              <w:pStyle w:val="TableParagraph"/>
              <w:spacing w:before="22"/>
              <w:ind w:left="103" w:right="99"/>
              <w:rPr>
                <w:rFonts w:ascii="宋体" w:eastAsia="宋体" w:hint="eastAsia"/>
                <w:sz w:val="21"/>
              </w:rPr>
            </w:pPr>
            <w:r>
              <w:rPr>
                <w:rFonts w:ascii="宋体" w:eastAsia="宋体" w:hint="eastAsia"/>
                <w:sz w:val="21"/>
              </w:rPr>
              <w:t>松江国家一般气象站</w:t>
            </w:r>
          </w:p>
        </w:tc>
      </w:tr>
      <w:tr>
        <w:tblPrEx>
          <w:tblW w:w="0" w:type="auto"/>
          <w:jc w:val="left"/>
          <w:tblInd w:w="112" w:type="dxa"/>
          <w:tblLayout w:type="fixed"/>
          <w:tblCellMar>
            <w:top w:w="0" w:type="dxa"/>
            <w:left w:w="0" w:type="dxa"/>
            <w:bottom w:w="0" w:type="dxa"/>
            <w:right w:w="0" w:type="dxa"/>
          </w:tblCellMar>
          <w:tblLook w:val="01E0"/>
        </w:tblPrEx>
        <w:trPr>
          <w:trHeight w:val="311"/>
          <w:jc w:val="left"/>
        </w:trPr>
        <w:tc>
          <w:tcPr>
            <w:tcW w:w="430" w:type="dxa"/>
          </w:tcPr>
          <w:p>
            <w:pPr>
              <w:pStyle w:val="TableParagraph"/>
              <w:spacing w:before="36"/>
              <w:ind w:left="11"/>
              <w:rPr>
                <w:sz w:val="21"/>
              </w:rPr>
            </w:pPr>
            <w:r>
              <w:rPr>
                <w:w w:val="100"/>
                <w:sz w:val="21"/>
              </w:rPr>
              <w:t>8</w:t>
            </w:r>
          </w:p>
        </w:tc>
        <w:tc>
          <w:tcPr>
            <w:tcW w:w="1268" w:type="dxa"/>
            <w:vMerge/>
            <w:tcBorders>
              <w:top w:val="nil"/>
            </w:tcBorders>
          </w:tcPr>
          <w:p>
            <w:pPr>
              <w:rPr>
                <w:sz w:val="2"/>
                <w:szCs w:val="2"/>
              </w:rPr>
            </w:pPr>
          </w:p>
        </w:tc>
        <w:tc>
          <w:tcPr>
            <w:tcW w:w="3261" w:type="dxa"/>
          </w:tcPr>
          <w:p>
            <w:pPr>
              <w:pStyle w:val="TableParagraph"/>
              <w:spacing w:before="22"/>
              <w:ind w:left="140" w:right="129"/>
              <w:rPr>
                <w:rFonts w:ascii="宋体" w:eastAsia="宋体" w:hint="eastAsia"/>
                <w:sz w:val="21"/>
              </w:rPr>
            </w:pPr>
            <w:r>
              <w:rPr>
                <w:rFonts w:ascii="宋体" w:eastAsia="宋体" w:hint="eastAsia"/>
                <w:sz w:val="21"/>
              </w:rPr>
              <w:t>奉贤区</w:t>
            </w:r>
          </w:p>
        </w:tc>
        <w:tc>
          <w:tcPr>
            <w:tcW w:w="1914" w:type="dxa"/>
          </w:tcPr>
          <w:p>
            <w:pPr>
              <w:pStyle w:val="TableParagraph"/>
              <w:spacing w:before="22"/>
              <w:ind w:left="202" w:right="191"/>
              <w:rPr>
                <w:rFonts w:ascii="宋体" w:eastAsia="宋体" w:hint="eastAsia"/>
                <w:sz w:val="21"/>
              </w:rPr>
            </w:pPr>
            <w:r>
              <w:rPr>
                <w:rFonts w:ascii="宋体" w:eastAsia="宋体" w:hint="eastAsia"/>
                <w:sz w:val="21"/>
              </w:rPr>
              <w:t>奉贤区</w:t>
            </w:r>
          </w:p>
        </w:tc>
        <w:tc>
          <w:tcPr>
            <w:tcW w:w="2142" w:type="dxa"/>
          </w:tcPr>
          <w:p>
            <w:pPr>
              <w:pStyle w:val="TableParagraph"/>
              <w:spacing w:before="22"/>
              <w:ind w:left="103" w:right="99"/>
              <w:rPr>
                <w:rFonts w:ascii="宋体" w:eastAsia="宋体" w:hint="eastAsia"/>
                <w:sz w:val="21"/>
              </w:rPr>
            </w:pPr>
            <w:r>
              <w:rPr>
                <w:rFonts w:ascii="宋体" w:eastAsia="宋体" w:hint="eastAsia"/>
                <w:sz w:val="21"/>
              </w:rPr>
              <w:t>奉贤气象台</w:t>
            </w:r>
          </w:p>
        </w:tc>
      </w:tr>
      <w:tr>
        <w:tblPrEx>
          <w:tblW w:w="0" w:type="auto"/>
          <w:jc w:val="left"/>
          <w:tblInd w:w="112" w:type="dxa"/>
          <w:tblLayout w:type="fixed"/>
          <w:tblCellMar>
            <w:top w:w="0" w:type="dxa"/>
            <w:left w:w="0" w:type="dxa"/>
            <w:bottom w:w="0" w:type="dxa"/>
            <w:right w:w="0" w:type="dxa"/>
          </w:tblCellMar>
          <w:tblLook w:val="01E0"/>
        </w:tblPrEx>
        <w:trPr>
          <w:trHeight w:val="623"/>
          <w:jc w:val="left"/>
        </w:trPr>
        <w:tc>
          <w:tcPr>
            <w:tcW w:w="430" w:type="dxa"/>
          </w:tcPr>
          <w:p>
            <w:pPr>
              <w:pStyle w:val="TableParagraph"/>
              <w:spacing w:before="192"/>
              <w:ind w:left="11"/>
              <w:rPr>
                <w:sz w:val="21"/>
              </w:rPr>
            </w:pPr>
            <w:r>
              <w:rPr>
                <w:w w:val="100"/>
                <w:sz w:val="21"/>
              </w:rPr>
              <w:t>9</w:t>
            </w:r>
          </w:p>
        </w:tc>
        <w:tc>
          <w:tcPr>
            <w:tcW w:w="1268" w:type="dxa"/>
            <w:vMerge/>
            <w:tcBorders>
              <w:top w:val="nil"/>
            </w:tcBorders>
          </w:tcPr>
          <w:p>
            <w:pPr>
              <w:rPr>
                <w:sz w:val="2"/>
                <w:szCs w:val="2"/>
              </w:rPr>
            </w:pPr>
          </w:p>
        </w:tc>
        <w:tc>
          <w:tcPr>
            <w:tcW w:w="3261" w:type="dxa"/>
            <w:vMerge w:val="restart"/>
          </w:tcPr>
          <w:p>
            <w:pPr>
              <w:pStyle w:val="TableParagraph"/>
              <w:spacing w:before="6"/>
              <w:jc w:val="left"/>
              <w:rPr>
                <w:rFonts w:ascii="黑体"/>
                <w:sz w:val="26"/>
              </w:rPr>
            </w:pPr>
          </w:p>
          <w:p>
            <w:pPr>
              <w:pStyle w:val="TableParagraph"/>
              <w:spacing w:before="0"/>
              <w:ind w:left="141" w:right="128"/>
              <w:rPr>
                <w:rFonts w:ascii="宋体" w:eastAsia="宋体" w:hint="eastAsia"/>
                <w:sz w:val="21"/>
              </w:rPr>
            </w:pPr>
            <w:r>
              <w:rPr>
                <w:rFonts w:ascii="宋体" w:eastAsia="宋体" w:hint="eastAsia"/>
                <w:sz w:val="21"/>
              </w:rPr>
              <w:t>浦东新区</w:t>
            </w:r>
          </w:p>
        </w:tc>
        <w:tc>
          <w:tcPr>
            <w:tcW w:w="1914" w:type="dxa"/>
          </w:tcPr>
          <w:p>
            <w:pPr>
              <w:pStyle w:val="TableParagraph"/>
              <w:spacing w:before="178"/>
              <w:ind w:left="202" w:right="192"/>
              <w:rPr>
                <w:rFonts w:ascii="宋体" w:eastAsia="宋体" w:hint="eastAsia"/>
                <w:sz w:val="21"/>
              </w:rPr>
            </w:pPr>
            <w:r>
              <w:rPr>
                <w:rFonts w:ascii="宋体" w:eastAsia="宋体" w:hint="eastAsia"/>
                <w:sz w:val="21"/>
              </w:rPr>
              <w:t>浦东新区（北）</w:t>
            </w:r>
          </w:p>
        </w:tc>
        <w:tc>
          <w:tcPr>
            <w:tcW w:w="2142" w:type="dxa"/>
          </w:tcPr>
          <w:p>
            <w:pPr>
              <w:pStyle w:val="TableParagraph"/>
              <w:spacing w:before="22"/>
              <w:ind w:left="103" w:right="99"/>
              <w:rPr>
                <w:rFonts w:ascii="宋体" w:eastAsia="宋体" w:hint="eastAsia"/>
                <w:sz w:val="21"/>
              </w:rPr>
            </w:pPr>
            <w:r>
              <w:rPr>
                <w:rFonts w:ascii="宋体" w:eastAsia="宋体" w:hint="eastAsia"/>
                <w:sz w:val="21"/>
              </w:rPr>
              <w:t>浦东新区</w:t>
            </w:r>
          </w:p>
          <w:p>
            <w:pPr>
              <w:pStyle w:val="TableParagraph"/>
              <w:spacing w:before="43"/>
              <w:ind w:left="100" w:right="99"/>
              <w:rPr>
                <w:rFonts w:ascii="宋体" w:eastAsia="宋体" w:hint="eastAsia"/>
                <w:sz w:val="21"/>
              </w:rPr>
            </w:pPr>
            <w:r>
              <w:rPr>
                <w:rFonts w:ascii="宋体" w:eastAsia="宋体" w:hint="eastAsia"/>
                <w:sz w:val="21"/>
              </w:rPr>
              <w:t>国家一般气象站</w:t>
            </w:r>
          </w:p>
        </w:tc>
      </w:tr>
      <w:tr>
        <w:tblPrEx>
          <w:tblW w:w="0" w:type="auto"/>
          <w:jc w:val="left"/>
          <w:tblInd w:w="112" w:type="dxa"/>
          <w:tblLayout w:type="fixed"/>
          <w:tblCellMar>
            <w:top w:w="0" w:type="dxa"/>
            <w:left w:w="0" w:type="dxa"/>
            <w:bottom w:w="0" w:type="dxa"/>
            <w:right w:w="0" w:type="dxa"/>
          </w:tblCellMar>
          <w:tblLook w:val="01E0"/>
        </w:tblPrEx>
        <w:trPr>
          <w:trHeight w:val="312"/>
          <w:jc w:val="left"/>
        </w:trPr>
        <w:tc>
          <w:tcPr>
            <w:tcW w:w="430" w:type="dxa"/>
          </w:tcPr>
          <w:p>
            <w:pPr>
              <w:pStyle w:val="TableParagraph"/>
              <w:spacing w:before="37"/>
              <w:ind w:left="90" w:right="79"/>
              <w:rPr>
                <w:sz w:val="21"/>
              </w:rPr>
            </w:pPr>
            <w:r>
              <w:rPr>
                <w:sz w:val="21"/>
              </w:rPr>
              <w:t>10</w:t>
            </w:r>
          </w:p>
        </w:tc>
        <w:tc>
          <w:tcPr>
            <w:tcW w:w="1268" w:type="dxa"/>
            <w:vMerge/>
            <w:tcBorders>
              <w:top w:val="nil"/>
            </w:tcBorders>
          </w:tcPr>
          <w:p>
            <w:pPr>
              <w:rPr>
                <w:sz w:val="2"/>
                <w:szCs w:val="2"/>
              </w:rPr>
            </w:pPr>
          </w:p>
        </w:tc>
        <w:tc>
          <w:tcPr>
            <w:tcW w:w="3261" w:type="dxa"/>
            <w:vMerge/>
            <w:tcBorders>
              <w:top w:val="nil"/>
            </w:tcBorders>
          </w:tcPr>
          <w:p>
            <w:pPr>
              <w:rPr>
                <w:sz w:val="2"/>
                <w:szCs w:val="2"/>
              </w:rPr>
            </w:pPr>
          </w:p>
        </w:tc>
        <w:tc>
          <w:tcPr>
            <w:tcW w:w="1914" w:type="dxa"/>
          </w:tcPr>
          <w:p>
            <w:pPr>
              <w:pStyle w:val="TableParagraph"/>
              <w:spacing w:before="23"/>
              <w:ind w:left="202" w:right="192"/>
              <w:rPr>
                <w:rFonts w:ascii="宋体" w:eastAsia="宋体" w:hint="eastAsia"/>
                <w:sz w:val="21"/>
              </w:rPr>
            </w:pPr>
            <w:r>
              <w:rPr>
                <w:rFonts w:ascii="宋体" w:eastAsia="宋体" w:hint="eastAsia"/>
                <w:sz w:val="21"/>
              </w:rPr>
              <w:t>浦东新区（南）</w:t>
            </w:r>
          </w:p>
        </w:tc>
        <w:tc>
          <w:tcPr>
            <w:tcW w:w="2142" w:type="dxa"/>
          </w:tcPr>
          <w:p>
            <w:pPr>
              <w:pStyle w:val="TableParagraph"/>
              <w:spacing w:before="23"/>
              <w:ind w:left="103" w:right="99"/>
              <w:rPr>
                <w:rFonts w:ascii="宋体" w:eastAsia="宋体" w:hint="eastAsia"/>
                <w:sz w:val="21"/>
              </w:rPr>
            </w:pPr>
            <w:r>
              <w:rPr>
                <w:rFonts w:ascii="宋体" w:eastAsia="宋体" w:hint="eastAsia"/>
                <w:sz w:val="21"/>
              </w:rPr>
              <w:t>南汇国家一般气象站</w:t>
            </w:r>
          </w:p>
        </w:tc>
      </w:tr>
      <w:tr>
        <w:tblPrEx>
          <w:tblW w:w="0" w:type="auto"/>
          <w:jc w:val="left"/>
          <w:tblInd w:w="112" w:type="dxa"/>
          <w:tblLayout w:type="fixed"/>
          <w:tblCellMar>
            <w:top w:w="0" w:type="dxa"/>
            <w:left w:w="0" w:type="dxa"/>
            <w:bottom w:w="0" w:type="dxa"/>
            <w:right w:w="0" w:type="dxa"/>
          </w:tblCellMar>
          <w:tblLook w:val="01E0"/>
        </w:tblPrEx>
        <w:trPr>
          <w:trHeight w:val="313"/>
          <w:jc w:val="left"/>
        </w:trPr>
        <w:tc>
          <w:tcPr>
            <w:tcW w:w="430" w:type="dxa"/>
          </w:tcPr>
          <w:p>
            <w:pPr>
              <w:pStyle w:val="TableParagraph"/>
              <w:spacing w:before="39"/>
              <w:ind w:left="90" w:right="79"/>
              <w:rPr>
                <w:sz w:val="21"/>
              </w:rPr>
            </w:pPr>
            <w:r>
              <w:rPr>
                <w:sz w:val="21"/>
              </w:rPr>
              <w:t>11</w:t>
            </w:r>
          </w:p>
        </w:tc>
        <w:tc>
          <w:tcPr>
            <w:tcW w:w="1268" w:type="dxa"/>
            <w:vMerge/>
            <w:tcBorders>
              <w:top w:val="nil"/>
            </w:tcBorders>
          </w:tcPr>
          <w:p>
            <w:pPr>
              <w:rPr>
                <w:sz w:val="2"/>
                <w:szCs w:val="2"/>
              </w:rPr>
            </w:pPr>
          </w:p>
        </w:tc>
        <w:tc>
          <w:tcPr>
            <w:tcW w:w="3261" w:type="dxa"/>
          </w:tcPr>
          <w:p>
            <w:pPr>
              <w:pStyle w:val="TableParagraph"/>
              <w:spacing w:before="25"/>
              <w:ind w:left="140" w:right="129"/>
              <w:rPr>
                <w:rFonts w:ascii="宋体" w:eastAsia="宋体" w:hint="eastAsia"/>
                <w:sz w:val="21"/>
              </w:rPr>
            </w:pPr>
            <w:r>
              <w:rPr>
                <w:rFonts w:ascii="宋体" w:eastAsia="宋体" w:hint="eastAsia"/>
                <w:sz w:val="21"/>
              </w:rPr>
              <w:t>崇明区</w:t>
            </w:r>
          </w:p>
        </w:tc>
        <w:tc>
          <w:tcPr>
            <w:tcW w:w="1914" w:type="dxa"/>
          </w:tcPr>
          <w:p>
            <w:pPr>
              <w:pStyle w:val="TableParagraph"/>
              <w:spacing w:before="25"/>
              <w:ind w:left="202" w:right="191"/>
              <w:rPr>
                <w:rFonts w:ascii="宋体" w:eastAsia="宋体" w:hint="eastAsia"/>
                <w:sz w:val="21"/>
              </w:rPr>
            </w:pPr>
            <w:r>
              <w:rPr>
                <w:rFonts w:ascii="宋体" w:eastAsia="宋体" w:hint="eastAsia"/>
                <w:sz w:val="21"/>
              </w:rPr>
              <w:t>崇明区</w:t>
            </w:r>
          </w:p>
        </w:tc>
        <w:tc>
          <w:tcPr>
            <w:tcW w:w="2142" w:type="dxa"/>
          </w:tcPr>
          <w:p>
            <w:pPr>
              <w:pStyle w:val="TableParagraph"/>
              <w:spacing w:before="25"/>
              <w:ind w:left="103" w:right="99"/>
              <w:rPr>
                <w:rFonts w:ascii="宋体" w:eastAsia="宋体" w:hint="eastAsia"/>
                <w:sz w:val="21"/>
              </w:rPr>
            </w:pPr>
            <w:r>
              <w:rPr>
                <w:rFonts w:ascii="宋体" w:eastAsia="宋体" w:hint="eastAsia"/>
                <w:sz w:val="21"/>
              </w:rPr>
              <w:t>崇明国家一般气象站</w:t>
            </w:r>
          </w:p>
        </w:tc>
      </w:tr>
    </w:tbl>
    <w:p>
      <w:pPr>
        <w:pStyle w:val="BodyText"/>
        <w:rPr>
          <w:rFonts w:ascii="黑体"/>
        </w:rPr>
      </w:pPr>
    </w:p>
    <w:p>
      <w:pPr>
        <w:pStyle w:val="BodyText"/>
        <w:spacing w:before="11"/>
        <w:rPr>
          <w:rFonts w:ascii="黑体"/>
          <w:sz w:val="18"/>
        </w:rPr>
      </w:pPr>
    </w:p>
    <w:p>
      <w:pPr>
        <w:pStyle w:val="BodyText"/>
        <w:ind w:left="100"/>
        <w:rPr>
          <w:rFonts w:ascii="宋体" w:eastAsia="宋体" w:hint="eastAsia"/>
        </w:rPr>
      </w:pPr>
      <w:r>
        <w:rPr>
          <w:rFonts w:ascii="宋体" w:eastAsia="宋体" w:hint="eastAsia"/>
        </w:rPr>
        <w:t>【条文说明】</w:t>
      </w:r>
    </w:p>
    <w:p>
      <w:pPr>
        <w:pStyle w:val="BodyText"/>
        <w:spacing w:before="161"/>
        <w:ind w:left="100"/>
        <w:jc w:val="both"/>
      </w:pPr>
      <w:r>
        <w:rPr>
          <w:rFonts w:ascii="宋体" w:eastAsia="宋体" w:hint="eastAsia"/>
        </w:rPr>
        <w:t>4.1.2</w:t>
      </w:r>
      <w:r>
        <w:rPr>
          <w:rFonts w:ascii="宋体" w:eastAsia="宋体" w:hint="eastAsia"/>
          <w:spacing w:val="119"/>
        </w:rPr>
        <w:t xml:space="preserve"> </w:t>
      </w:r>
      <w:r>
        <w:rPr>
          <w:spacing w:val="-3"/>
        </w:rPr>
        <w:t xml:space="preserve">上海市的风气候分区与上海市 </w:t>
      </w:r>
      <w:r>
        <w:rPr>
          <w:rFonts w:ascii="Times New Roman" w:eastAsia="Times New Roman"/>
          <w:spacing w:val="-5"/>
        </w:rPr>
        <w:t xml:space="preserve">11 </w:t>
      </w:r>
      <w:r>
        <w:t>个气象台站分布在各行政辖区的位置相对应，</w:t>
      </w:r>
    </w:p>
    <w:p>
      <w:pPr>
        <w:spacing w:after="0"/>
        <w:jc w:val="both"/>
        <w:sectPr>
          <w:footerReference w:type="default" r:id="rId9"/>
          <w:pgSz w:w="11910" w:h="16840"/>
          <w:pgMar w:top="1440" w:right="1080" w:bottom="1600" w:left="1340" w:header="0" w:footer="1403"/>
          <w:pgNumType w:start="5"/>
          <w:cols w:space="708"/>
        </w:sectPr>
      </w:pPr>
    </w:p>
    <w:p>
      <w:pPr>
        <w:pStyle w:val="BodyText"/>
        <w:spacing w:before="43" w:line="364" w:lineRule="auto"/>
        <w:ind w:left="100" w:right="357"/>
      </w:pPr>
      <w:r>
        <w:rPr>
          <w:spacing w:val="-2"/>
        </w:rPr>
        <w:t>其中浦东新区原南汇区域和临港新城为浦东新区</w:t>
      </w:r>
      <w:r>
        <w:t>（南</w:t>
      </w:r>
      <w:r>
        <w:rPr>
          <w:spacing w:val="-32"/>
        </w:rPr>
        <w:t>）</w:t>
      </w:r>
      <w:r>
        <w:rPr>
          <w:spacing w:val="-7"/>
        </w:rPr>
        <w:t>区，浦东新区的其他区域为浦东</w:t>
      </w:r>
      <w:r>
        <w:t>新区（北）区。</w:t>
      </w:r>
    </w:p>
    <w:p>
      <w:pPr>
        <w:pStyle w:val="BodyText"/>
        <w:spacing w:before="1" w:line="364" w:lineRule="auto"/>
        <w:ind w:left="100" w:right="238" w:firstLine="480"/>
      </w:pPr>
      <w:r>
        <w:rPr>
          <w:spacing w:val="-7"/>
        </w:rPr>
        <w:t>中心城区土地供应紧张，建筑密度较大，且高层建筑、超高层建筑林立密集，中心</w:t>
      </w:r>
      <w:r>
        <w:rPr>
          <w:spacing w:val="-16"/>
        </w:rPr>
        <w:t xml:space="preserve">城区与新城区的风参数有很大的区别，其风速要明显低于新城区。课题研究从上海市 </w:t>
      </w:r>
      <w:r>
        <w:rPr>
          <w:rFonts w:ascii="Times New Roman" w:eastAsia="Times New Roman"/>
          <w:spacing w:val="-10"/>
        </w:rPr>
        <w:t xml:space="preserve">11 </w:t>
      </w:r>
      <w:r>
        <w:rPr>
          <w:spacing w:val="-5"/>
        </w:rPr>
        <w:t>个气象台站获得的风参数可以看到：春季，中心城区与新城区风向不同，且中心城区风</w:t>
      </w:r>
      <w:r>
        <w:rPr>
          <w:spacing w:val="-10"/>
        </w:rPr>
        <w:t>速较低、而新城区风速较大；夏季，除宝山区风向较春季风向略有转向外，中心城区及</w:t>
      </w:r>
      <w:r>
        <w:rPr>
          <w:spacing w:val="-11"/>
        </w:rPr>
        <w:t xml:space="preserve">各新城区主导风的风向及风速分布与春季基本相似，风速上依然是中心城区风速较低， </w:t>
      </w:r>
      <w:r>
        <w:rPr>
          <w:spacing w:val="-8"/>
        </w:rPr>
        <w:t>新城区风速较大；秋季，中心城区和新城区主导风的风向基本一致，崇明区的风向有较</w:t>
      </w:r>
      <w:r>
        <w:rPr>
          <w:spacing w:val="-11"/>
        </w:rPr>
        <w:t>大的转向，浦东新区风向也有一定的转向，中心城区风速较低、而新城区风速较大。冬</w:t>
      </w:r>
      <w:r>
        <w:rPr>
          <w:spacing w:val="-9"/>
        </w:rPr>
        <w:t>季，上海各区主导风的风向变化差异很大，其中中心城区、浦东新区、崇明区主导风的</w:t>
      </w:r>
      <w:r>
        <w:rPr>
          <w:spacing w:val="-12"/>
        </w:rPr>
        <w:t>风向相似，风速上依然是中心城区风速较低、而新城区风速较大。由于所处地理位置的</w:t>
      </w:r>
      <w:r>
        <w:rPr>
          <w:spacing w:val="-16"/>
        </w:rPr>
        <w:t>不同导致风向和风速的不同，以往风环境分析中全上海都只用相同的风参数显然是不科</w:t>
      </w:r>
      <w:r>
        <w:rPr>
          <w:spacing w:val="-13"/>
        </w:rPr>
        <w:t>学的，甚至会导致设计决策的错误，只有采用与风气候分区相适应的风参数才能科学合理的分析风环境对建筑室内外环境的影响。</w:t>
      </w:r>
    </w:p>
    <w:p>
      <w:pPr>
        <w:pStyle w:val="BodyText"/>
        <w:spacing w:before="8" w:line="364" w:lineRule="auto"/>
        <w:ind w:left="100" w:right="349" w:firstLine="480"/>
        <w:jc w:val="both"/>
      </w:pPr>
      <w:r>
        <w:pict>
          <v:shapetype id="_x0000_t202" coordsize="21600,21600" o:spt="202" path="m,l,21600r21600,l21600,xe">
            <v:stroke joinstyle="miter"/>
            <v:path gradientshapeok="t" o:connecttype="rect"/>
          </v:shapetype>
          <v:shape id="_x0000_s1025" type="#_x0000_t202" style="width:460.2pt;height:120pt;margin-top:113.34pt;margin-left:72.02pt;mso-position-horizontal-relative:page;position:absolute;z-index:251658240" filled="f" stroked="f">
            <v:textbox inset="0,0,0,0">
              <w:txbxContent>
                <w:tbl>
                  <w:tblPr>
                    <w:tblStyle w:val="TableNormal1"/>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91"/>
                    <w:gridCol w:w="1416"/>
                    <w:gridCol w:w="2127"/>
                    <w:gridCol w:w="2955"/>
                  </w:tblGrid>
                  <w:tr>
                    <w:tblPrEx>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467"/>
                      <w:jc w:val="left"/>
                    </w:trPr>
                    <w:tc>
                      <w:tcPr>
                        <w:tcW w:w="2691" w:type="dxa"/>
                      </w:tcPr>
                      <w:p>
                        <w:pPr>
                          <w:pStyle w:val="TableParagraph"/>
                          <w:spacing w:before="81"/>
                          <w:ind w:left="503"/>
                          <w:jc w:val="left"/>
                          <w:rPr>
                            <w:rFonts w:ascii="仿宋" w:eastAsia="仿宋" w:hint="eastAsia"/>
                            <w:sz w:val="24"/>
                          </w:rPr>
                        </w:pPr>
                        <w:r>
                          <w:rPr>
                            <w:rFonts w:ascii="仿宋" w:eastAsia="仿宋" w:hint="eastAsia"/>
                            <w:sz w:val="24"/>
                          </w:rPr>
                          <w:t>风环境参数来源</w:t>
                        </w:r>
                      </w:p>
                    </w:tc>
                    <w:tc>
                      <w:tcPr>
                        <w:tcW w:w="1416" w:type="dxa"/>
                      </w:tcPr>
                      <w:p>
                        <w:pPr>
                          <w:pStyle w:val="TableParagraph"/>
                          <w:spacing w:before="81"/>
                          <w:ind w:right="458"/>
                          <w:jc w:val="right"/>
                          <w:rPr>
                            <w:rFonts w:ascii="仿宋" w:eastAsia="仿宋" w:hint="eastAsia"/>
                            <w:sz w:val="24"/>
                          </w:rPr>
                        </w:pPr>
                        <w:r>
                          <w:rPr>
                            <w:rFonts w:ascii="仿宋" w:eastAsia="仿宋" w:hint="eastAsia"/>
                            <w:sz w:val="24"/>
                          </w:rPr>
                          <w:t>季节</w:t>
                        </w:r>
                      </w:p>
                    </w:tc>
                    <w:tc>
                      <w:tcPr>
                        <w:tcW w:w="2127" w:type="dxa"/>
                      </w:tcPr>
                      <w:p>
                        <w:pPr>
                          <w:pStyle w:val="TableParagraph"/>
                          <w:spacing w:before="81"/>
                          <w:ind w:left="203" w:right="194"/>
                          <w:rPr>
                            <w:rFonts w:ascii="仿宋" w:eastAsia="仿宋" w:hint="eastAsia"/>
                            <w:sz w:val="24"/>
                          </w:rPr>
                        </w:pPr>
                        <w:r>
                          <w:rPr>
                            <w:rFonts w:ascii="仿宋" w:eastAsia="仿宋" w:hint="eastAsia"/>
                            <w:sz w:val="24"/>
                          </w:rPr>
                          <w:t>主导风向、风速</w:t>
                        </w:r>
                      </w:p>
                    </w:tc>
                    <w:tc>
                      <w:tcPr>
                        <w:tcW w:w="2955" w:type="dxa"/>
                      </w:tcPr>
                      <w:p>
                        <w:pPr>
                          <w:pStyle w:val="TableParagraph"/>
                          <w:spacing w:before="81"/>
                          <w:ind w:left="255" w:right="249"/>
                          <w:rPr>
                            <w:rFonts w:ascii="仿宋" w:eastAsia="仿宋" w:hint="eastAsia"/>
                            <w:sz w:val="24"/>
                          </w:rPr>
                        </w:pPr>
                        <w:r>
                          <w:rPr>
                            <w:rFonts w:ascii="仿宋" w:eastAsia="仿宋" w:hint="eastAsia"/>
                            <w:sz w:val="24"/>
                          </w:rPr>
                          <w:t>计算结果（平均风速）</w:t>
                        </w:r>
                      </w:p>
                    </w:tc>
                  </w:tr>
                  <w:tr>
                    <w:tblPrEx>
                      <w:tblW w:w="0" w:type="auto"/>
                      <w:jc w:val="left"/>
                      <w:tblInd w:w="5" w:type="dxa"/>
                      <w:tblLayout w:type="fixed"/>
                      <w:tblCellMar>
                        <w:top w:w="0" w:type="dxa"/>
                        <w:left w:w="0" w:type="dxa"/>
                        <w:bottom w:w="0" w:type="dxa"/>
                        <w:right w:w="0" w:type="dxa"/>
                      </w:tblCellMar>
                      <w:tblLook w:val="01E0"/>
                    </w:tblPrEx>
                    <w:trPr>
                      <w:trHeight w:val="467"/>
                      <w:jc w:val="left"/>
                    </w:trPr>
                    <w:tc>
                      <w:tcPr>
                        <w:tcW w:w="2691" w:type="dxa"/>
                        <w:vMerge w:val="restart"/>
                      </w:tcPr>
                      <w:p>
                        <w:pPr>
                          <w:pStyle w:val="TableParagraph"/>
                          <w:spacing w:before="86"/>
                          <w:ind w:left="123" w:right="117"/>
                          <w:rPr>
                            <w:rFonts w:ascii="仿宋" w:eastAsia="仿宋" w:hint="eastAsia"/>
                            <w:sz w:val="24"/>
                          </w:rPr>
                        </w:pPr>
                        <w:r>
                          <w:rPr>
                            <w:rFonts w:ascii="仿宋" w:eastAsia="仿宋" w:hint="eastAsia"/>
                            <w:sz w:val="24"/>
                          </w:rPr>
                          <w:t>现行相关建筑环境数值</w:t>
                        </w:r>
                      </w:p>
                      <w:p>
                        <w:pPr>
                          <w:pStyle w:val="TableParagraph"/>
                          <w:spacing w:before="160"/>
                          <w:ind w:left="123" w:right="117"/>
                          <w:rPr>
                            <w:rFonts w:ascii="仿宋" w:eastAsia="仿宋" w:hint="eastAsia"/>
                            <w:sz w:val="24"/>
                          </w:rPr>
                        </w:pPr>
                        <w:r>
                          <w:rPr>
                            <w:rFonts w:ascii="仿宋" w:eastAsia="仿宋" w:hint="eastAsia"/>
                            <w:sz w:val="24"/>
                          </w:rPr>
                          <w:t>模拟技术规程</w:t>
                        </w:r>
                      </w:p>
                    </w:tc>
                    <w:tc>
                      <w:tcPr>
                        <w:tcW w:w="1416" w:type="dxa"/>
                      </w:tcPr>
                      <w:p>
                        <w:pPr>
                          <w:pStyle w:val="TableParagraph"/>
                          <w:spacing w:before="81"/>
                          <w:ind w:right="458"/>
                          <w:jc w:val="right"/>
                          <w:rPr>
                            <w:rFonts w:ascii="仿宋" w:eastAsia="仿宋" w:hint="eastAsia"/>
                            <w:sz w:val="24"/>
                          </w:rPr>
                        </w:pPr>
                        <w:r>
                          <w:rPr>
                            <w:rFonts w:ascii="仿宋" w:eastAsia="仿宋" w:hint="eastAsia"/>
                            <w:sz w:val="24"/>
                          </w:rPr>
                          <w:t>春季</w:t>
                        </w:r>
                      </w:p>
                    </w:tc>
                    <w:tc>
                      <w:tcPr>
                        <w:tcW w:w="2127" w:type="dxa"/>
                      </w:tcPr>
                      <w:p>
                        <w:pPr>
                          <w:pStyle w:val="TableParagraph"/>
                          <w:spacing w:before="81"/>
                          <w:ind w:left="203" w:right="194"/>
                          <w:rPr>
                            <w:rFonts w:ascii="仿宋" w:eastAsia="仿宋" w:hint="eastAsia"/>
                            <w:sz w:val="24"/>
                          </w:rPr>
                        </w:pPr>
                        <w:r>
                          <w:rPr>
                            <w:rFonts w:ascii="仿宋" w:eastAsia="仿宋" w:hint="eastAsia"/>
                            <w:sz w:val="24"/>
                          </w:rPr>
                          <w:t>ESE、3.8m/s</w:t>
                        </w:r>
                      </w:p>
                    </w:tc>
                    <w:tc>
                      <w:tcPr>
                        <w:tcW w:w="2955" w:type="dxa"/>
                      </w:tcPr>
                      <w:p>
                        <w:pPr>
                          <w:pStyle w:val="TableParagraph"/>
                          <w:spacing w:before="81"/>
                          <w:ind w:left="255" w:right="249"/>
                          <w:rPr>
                            <w:rFonts w:ascii="仿宋"/>
                            <w:sz w:val="24"/>
                          </w:rPr>
                        </w:pPr>
                        <w:r>
                          <w:rPr>
                            <w:rFonts w:ascii="仿宋"/>
                            <w:sz w:val="24"/>
                          </w:rPr>
                          <w:t>3.5m/s</w:t>
                        </w:r>
                      </w:p>
                    </w:tc>
                  </w:tr>
                  <w:tr>
                    <w:tblPrEx>
                      <w:tblW w:w="0" w:type="auto"/>
                      <w:jc w:val="left"/>
                      <w:tblInd w:w="5" w:type="dxa"/>
                      <w:tblLayout w:type="fixed"/>
                      <w:tblCellMar>
                        <w:top w:w="0" w:type="dxa"/>
                        <w:left w:w="0" w:type="dxa"/>
                        <w:bottom w:w="0" w:type="dxa"/>
                        <w:right w:w="0" w:type="dxa"/>
                      </w:tblCellMar>
                      <w:tblLook w:val="01E0"/>
                    </w:tblPrEx>
                    <w:trPr>
                      <w:trHeight w:val="467"/>
                      <w:jc w:val="left"/>
                    </w:trPr>
                    <w:tc>
                      <w:tcPr>
                        <w:tcW w:w="2691" w:type="dxa"/>
                        <w:vMerge/>
                        <w:tcBorders>
                          <w:top w:val="nil"/>
                        </w:tcBorders>
                      </w:tcPr>
                      <w:p>
                        <w:pPr>
                          <w:rPr>
                            <w:sz w:val="2"/>
                            <w:szCs w:val="2"/>
                          </w:rPr>
                        </w:pPr>
                      </w:p>
                    </w:tc>
                    <w:tc>
                      <w:tcPr>
                        <w:tcW w:w="1416" w:type="dxa"/>
                      </w:tcPr>
                      <w:p>
                        <w:pPr>
                          <w:pStyle w:val="TableParagraph"/>
                          <w:spacing w:before="81"/>
                          <w:ind w:right="458"/>
                          <w:jc w:val="right"/>
                          <w:rPr>
                            <w:rFonts w:ascii="仿宋" w:eastAsia="仿宋" w:hint="eastAsia"/>
                            <w:sz w:val="24"/>
                          </w:rPr>
                        </w:pPr>
                        <w:r>
                          <w:rPr>
                            <w:rFonts w:ascii="仿宋" w:eastAsia="仿宋" w:hint="eastAsia"/>
                            <w:sz w:val="24"/>
                          </w:rPr>
                          <w:t>秋季</w:t>
                        </w:r>
                      </w:p>
                    </w:tc>
                    <w:tc>
                      <w:tcPr>
                        <w:tcW w:w="2127" w:type="dxa"/>
                      </w:tcPr>
                      <w:p>
                        <w:pPr>
                          <w:pStyle w:val="TableParagraph"/>
                          <w:spacing w:before="81"/>
                          <w:ind w:left="203" w:right="194"/>
                          <w:rPr>
                            <w:rFonts w:ascii="仿宋" w:eastAsia="仿宋" w:hint="eastAsia"/>
                            <w:sz w:val="24"/>
                          </w:rPr>
                        </w:pPr>
                        <w:r>
                          <w:rPr>
                            <w:rFonts w:ascii="仿宋" w:eastAsia="仿宋" w:hint="eastAsia"/>
                            <w:sz w:val="24"/>
                          </w:rPr>
                          <w:t>NNE、3.9m/s</w:t>
                        </w:r>
                      </w:p>
                    </w:tc>
                    <w:tc>
                      <w:tcPr>
                        <w:tcW w:w="2955" w:type="dxa"/>
                      </w:tcPr>
                      <w:p>
                        <w:pPr>
                          <w:pStyle w:val="TableParagraph"/>
                          <w:spacing w:before="81"/>
                          <w:ind w:left="255" w:right="249"/>
                          <w:rPr>
                            <w:rFonts w:ascii="仿宋"/>
                            <w:sz w:val="24"/>
                          </w:rPr>
                        </w:pPr>
                        <w:r>
                          <w:rPr>
                            <w:rFonts w:ascii="仿宋"/>
                            <w:sz w:val="24"/>
                          </w:rPr>
                          <w:t>3.0m/s</w:t>
                        </w:r>
                      </w:p>
                    </w:tc>
                  </w:tr>
                  <w:tr>
                    <w:tblPrEx>
                      <w:tblW w:w="0" w:type="auto"/>
                      <w:jc w:val="left"/>
                      <w:tblInd w:w="5" w:type="dxa"/>
                      <w:tblLayout w:type="fixed"/>
                      <w:tblCellMar>
                        <w:top w:w="0" w:type="dxa"/>
                        <w:left w:w="0" w:type="dxa"/>
                        <w:bottom w:w="0" w:type="dxa"/>
                        <w:right w:w="0" w:type="dxa"/>
                      </w:tblCellMar>
                      <w:tblLook w:val="01E0"/>
                    </w:tblPrEx>
                    <w:trPr>
                      <w:trHeight w:val="470"/>
                      <w:jc w:val="left"/>
                    </w:trPr>
                    <w:tc>
                      <w:tcPr>
                        <w:tcW w:w="2691" w:type="dxa"/>
                        <w:vMerge w:val="restart"/>
                      </w:tcPr>
                      <w:p>
                        <w:pPr>
                          <w:pStyle w:val="TableParagraph"/>
                          <w:spacing w:before="1"/>
                          <w:jc w:val="left"/>
                          <w:rPr>
                            <w:rFonts w:ascii="仿宋"/>
                            <w:sz w:val="25"/>
                          </w:rPr>
                        </w:pPr>
                      </w:p>
                      <w:p>
                        <w:pPr>
                          <w:pStyle w:val="TableParagraph"/>
                          <w:spacing w:before="0"/>
                          <w:ind w:left="123" w:right="117"/>
                          <w:rPr>
                            <w:rFonts w:ascii="仿宋" w:eastAsia="仿宋" w:hint="eastAsia"/>
                            <w:sz w:val="24"/>
                          </w:rPr>
                        </w:pPr>
                        <w:r>
                          <w:rPr>
                            <w:rFonts w:ascii="仿宋" w:eastAsia="仿宋" w:hint="eastAsia"/>
                            <w:sz w:val="24"/>
                          </w:rPr>
                          <w:t>本标准</w:t>
                        </w:r>
                      </w:p>
                    </w:tc>
                    <w:tc>
                      <w:tcPr>
                        <w:tcW w:w="1416" w:type="dxa"/>
                      </w:tcPr>
                      <w:p>
                        <w:pPr>
                          <w:pStyle w:val="TableParagraph"/>
                          <w:spacing w:before="83"/>
                          <w:ind w:right="458"/>
                          <w:jc w:val="right"/>
                          <w:rPr>
                            <w:rFonts w:ascii="仿宋" w:eastAsia="仿宋" w:hint="eastAsia"/>
                            <w:sz w:val="24"/>
                          </w:rPr>
                        </w:pPr>
                        <w:r>
                          <w:rPr>
                            <w:rFonts w:ascii="仿宋" w:eastAsia="仿宋" w:hint="eastAsia"/>
                            <w:sz w:val="24"/>
                          </w:rPr>
                          <w:t>春季</w:t>
                        </w:r>
                      </w:p>
                    </w:tc>
                    <w:tc>
                      <w:tcPr>
                        <w:tcW w:w="2127" w:type="dxa"/>
                      </w:tcPr>
                      <w:p>
                        <w:pPr>
                          <w:pStyle w:val="TableParagraph"/>
                          <w:spacing w:before="83"/>
                          <w:ind w:left="203" w:right="194"/>
                          <w:rPr>
                            <w:rFonts w:ascii="仿宋" w:eastAsia="仿宋" w:hint="eastAsia"/>
                            <w:sz w:val="24"/>
                          </w:rPr>
                        </w:pPr>
                        <w:r>
                          <w:rPr>
                            <w:rFonts w:ascii="仿宋" w:eastAsia="仿宋" w:hint="eastAsia"/>
                            <w:sz w:val="24"/>
                          </w:rPr>
                          <w:t>E、1.8m/s</w:t>
                        </w:r>
                      </w:p>
                    </w:tc>
                    <w:tc>
                      <w:tcPr>
                        <w:tcW w:w="2955" w:type="dxa"/>
                      </w:tcPr>
                      <w:p>
                        <w:pPr>
                          <w:pStyle w:val="TableParagraph"/>
                          <w:spacing w:before="83"/>
                          <w:ind w:left="255" w:right="249"/>
                          <w:rPr>
                            <w:rFonts w:ascii="仿宋"/>
                            <w:sz w:val="24"/>
                          </w:rPr>
                        </w:pPr>
                        <w:r>
                          <w:rPr>
                            <w:rFonts w:ascii="仿宋"/>
                            <w:sz w:val="24"/>
                          </w:rPr>
                          <w:t>1.0m/s</w:t>
                        </w:r>
                      </w:p>
                    </w:tc>
                  </w:tr>
                  <w:tr>
                    <w:tblPrEx>
                      <w:tblW w:w="0" w:type="auto"/>
                      <w:jc w:val="left"/>
                      <w:tblInd w:w="5" w:type="dxa"/>
                      <w:tblLayout w:type="fixed"/>
                      <w:tblCellMar>
                        <w:top w:w="0" w:type="dxa"/>
                        <w:left w:w="0" w:type="dxa"/>
                        <w:bottom w:w="0" w:type="dxa"/>
                        <w:right w:w="0" w:type="dxa"/>
                      </w:tblCellMar>
                      <w:tblLook w:val="01E0"/>
                    </w:tblPrEx>
                    <w:trPr>
                      <w:trHeight w:val="467"/>
                      <w:jc w:val="left"/>
                    </w:trPr>
                    <w:tc>
                      <w:tcPr>
                        <w:tcW w:w="2691" w:type="dxa"/>
                        <w:vMerge/>
                        <w:tcBorders>
                          <w:top w:val="nil"/>
                        </w:tcBorders>
                      </w:tcPr>
                      <w:p>
                        <w:pPr>
                          <w:rPr>
                            <w:sz w:val="2"/>
                            <w:szCs w:val="2"/>
                          </w:rPr>
                        </w:pPr>
                      </w:p>
                    </w:tc>
                    <w:tc>
                      <w:tcPr>
                        <w:tcW w:w="1416" w:type="dxa"/>
                      </w:tcPr>
                      <w:p>
                        <w:pPr>
                          <w:pStyle w:val="TableParagraph"/>
                          <w:spacing w:before="81"/>
                          <w:ind w:right="458"/>
                          <w:jc w:val="right"/>
                          <w:rPr>
                            <w:rFonts w:ascii="仿宋" w:eastAsia="仿宋" w:hint="eastAsia"/>
                            <w:sz w:val="24"/>
                          </w:rPr>
                        </w:pPr>
                        <w:r>
                          <w:rPr>
                            <w:rFonts w:ascii="仿宋" w:eastAsia="仿宋" w:hint="eastAsia"/>
                            <w:sz w:val="24"/>
                          </w:rPr>
                          <w:t>秋季</w:t>
                        </w:r>
                      </w:p>
                    </w:tc>
                    <w:tc>
                      <w:tcPr>
                        <w:tcW w:w="2127" w:type="dxa"/>
                      </w:tcPr>
                      <w:p>
                        <w:pPr>
                          <w:pStyle w:val="TableParagraph"/>
                          <w:spacing w:before="81"/>
                          <w:ind w:left="203" w:right="194"/>
                          <w:rPr>
                            <w:rFonts w:ascii="仿宋" w:eastAsia="仿宋" w:hint="eastAsia"/>
                            <w:sz w:val="24"/>
                          </w:rPr>
                        </w:pPr>
                        <w:r>
                          <w:rPr>
                            <w:rFonts w:ascii="仿宋" w:eastAsia="仿宋" w:hint="eastAsia"/>
                            <w:sz w:val="24"/>
                          </w:rPr>
                          <w:t>ENE、1.5m/s</w:t>
                        </w:r>
                      </w:p>
                    </w:tc>
                    <w:tc>
                      <w:tcPr>
                        <w:tcW w:w="2955" w:type="dxa"/>
                      </w:tcPr>
                      <w:p>
                        <w:pPr>
                          <w:pStyle w:val="TableParagraph"/>
                          <w:spacing w:before="81"/>
                          <w:ind w:left="255" w:right="249"/>
                          <w:rPr>
                            <w:rFonts w:ascii="仿宋"/>
                            <w:sz w:val="24"/>
                          </w:rPr>
                        </w:pPr>
                        <w:r>
                          <w:rPr>
                            <w:rFonts w:ascii="仿宋"/>
                            <w:sz w:val="24"/>
                          </w:rPr>
                          <w:t>0.9m/s</w:t>
                        </w:r>
                      </w:p>
                    </w:tc>
                  </w:tr>
                </w:tbl>
                <w:p>
                  <w:pPr>
                    <w:pStyle w:val="BodyText"/>
                  </w:pPr>
                </w:p>
              </w:txbxContent>
            </v:textbox>
          </v:shape>
        </w:pict>
      </w:r>
      <w:r>
        <w:t>利用绿色建筑性能设计软件分析对比各风气候分区内典型项目在相应风参数边界条件下与现行相关建筑环境数值模拟技术规程中的单一风参数边界条件下的建筑周边</w:t>
      </w:r>
      <w:r>
        <w:rPr>
          <w:spacing w:val="-11"/>
        </w:rPr>
        <w:t>风速、风压等分布情况。结果显示，采用本标准规定的风气候分区的主导风向和主导风</w:t>
      </w:r>
      <w:r>
        <w:rPr>
          <w:spacing w:val="-13"/>
        </w:rPr>
        <w:t>速的模拟分析结果，更能反映真实情况。例如，某浦东新区</w:t>
      </w:r>
      <w:r>
        <w:t>（北</w:t>
      </w:r>
      <w:r>
        <w:rPr>
          <w:spacing w:val="-17"/>
        </w:rPr>
        <w:t>）</w:t>
      </w:r>
      <w:r>
        <w:rPr>
          <w:spacing w:val="-5"/>
        </w:rPr>
        <w:t>大型公共建筑群，其</w:t>
      </w:r>
      <w:r>
        <w:t>春秋季的风环境结果分别如下所示：</w:t>
      </w:r>
    </w:p>
    <w:p>
      <w:pPr>
        <w:spacing w:after="0" w:line="364" w:lineRule="auto"/>
        <w:jc w:val="both"/>
        <w:sectPr>
          <w:footerReference w:type="default" r:id="rId10"/>
          <w:pgSz w:w="11910" w:h="16840"/>
          <w:pgMar w:top="1460" w:right="1080" w:bottom="1600" w:left="1340" w:header="0" w:footer="1403"/>
          <w:pgNumType w:start="6"/>
          <w:cols w:space="708"/>
        </w:sectPr>
      </w:pPr>
    </w:p>
    <w:p>
      <w:pPr>
        <w:pStyle w:val="BodyText"/>
        <w:rPr>
          <w:sz w:val="20"/>
        </w:rPr>
      </w:pPr>
    </w:p>
    <w:p>
      <w:pPr>
        <w:pStyle w:val="BodyText"/>
        <w:rPr>
          <w:sz w:val="13"/>
        </w:rPr>
      </w:pPr>
    </w:p>
    <w:p>
      <w:pPr>
        <w:pStyle w:val="BodyText"/>
        <w:ind w:left="1819"/>
        <w:rPr>
          <w:sz w:val="20"/>
        </w:rPr>
      </w:pPr>
      <w:r>
        <w:rPr>
          <w:sz w:val="20"/>
        </w:rPr>
        <w:drawing>
          <wp:inline distT="0" distB="0" distL="0" distR="0">
            <wp:extent cx="3843477" cy="1596771"/>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11" cstate="print"/>
                    <a:stretch>
                      <a:fillRect/>
                    </a:stretch>
                  </pic:blipFill>
                  <pic:spPr>
                    <a:xfrm>
                      <a:off x="0" y="0"/>
                      <a:ext cx="3843477" cy="1596771"/>
                    </a:xfrm>
                    <a:prstGeom prst="rect">
                      <a:avLst/>
                    </a:prstGeom>
                  </pic:spPr>
                </pic:pic>
              </a:graphicData>
            </a:graphic>
          </wp:inline>
        </w:drawing>
      </w:r>
    </w:p>
    <w:p>
      <w:pPr>
        <w:pStyle w:val="BodyText"/>
        <w:spacing w:before="5"/>
        <w:rPr>
          <w:sz w:val="27"/>
        </w:rPr>
      </w:pPr>
    </w:p>
    <w:p>
      <w:pPr>
        <w:pStyle w:val="BodyText"/>
        <w:spacing w:before="66"/>
        <w:ind w:left="938" w:right="719"/>
        <w:jc w:val="center"/>
      </w:pPr>
      <w:r>
        <w:t>计算模型</w:t>
      </w:r>
    </w:p>
    <w:p>
      <w:pPr>
        <w:pStyle w:val="BodyText"/>
        <w:spacing w:before="162"/>
        <w:ind w:left="580"/>
      </w:pPr>
      <w:r>
        <w:t>春季工况场地内风速分布：</w:t>
      </w:r>
    </w:p>
    <w:p>
      <w:pPr>
        <w:pStyle w:val="BodyText"/>
        <w:rPr>
          <w:sz w:val="10"/>
        </w:rPr>
      </w:pPr>
      <w:r>
        <w:drawing>
          <wp:anchor distT="0" distB="0" distL="0" distR="0" simplePos="0" relativeHeight="251659264" behindDoc="0" locked="0" layoutInCell="1" allowOverlap="1">
            <wp:simplePos x="0" y="0"/>
            <wp:positionH relativeFrom="page">
              <wp:posOffset>1219200</wp:posOffset>
            </wp:positionH>
            <wp:positionV relativeFrom="paragraph">
              <wp:posOffset>106491</wp:posOffset>
            </wp:positionV>
            <wp:extent cx="2605558" cy="1844039"/>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pic:nvPicPr>
                  <pic:blipFill>
                    <a:blip xmlns:r="http://schemas.openxmlformats.org/officeDocument/2006/relationships" r:embed="rId12" cstate="print"/>
                    <a:stretch>
                      <a:fillRect/>
                    </a:stretch>
                  </pic:blipFill>
                  <pic:spPr>
                    <a:xfrm>
                      <a:off x="0" y="0"/>
                      <a:ext cx="2605558" cy="1844039"/>
                    </a:xfrm>
                    <a:prstGeom prst="rect">
                      <a:avLst/>
                    </a:prstGeom>
                  </pic:spPr>
                </pic:pic>
              </a:graphicData>
            </a:graphic>
          </wp:anchor>
        </w:drawing>
      </w:r>
      <w:r>
        <w:drawing>
          <wp:anchor distT="0" distB="0" distL="0" distR="0" simplePos="0" relativeHeight="251660288" behindDoc="0" locked="0" layoutInCell="1" allowOverlap="1">
            <wp:simplePos x="0" y="0"/>
            <wp:positionH relativeFrom="page">
              <wp:posOffset>3924300</wp:posOffset>
            </wp:positionH>
            <wp:positionV relativeFrom="paragraph">
              <wp:posOffset>106491</wp:posOffset>
            </wp:positionV>
            <wp:extent cx="2482584" cy="1865376"/>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pic:nvPicPr>
                  <pic:blipFill>
                    <a:blip xmlns:r="http://schemas.openxmlformats.org/officeDocument/2006/relationships" r:embed="rId13" cstate="print"/>
                    <a:stretch>
                      <a:fillRect/>
                    </a:stretch>
                  </pic:blipFill>
                  <pic:spPr>
                    <a:xfrm>
                      <a:off x="0" y="0"/>
                      <a:ext cx="2482584" cy="1865376"/>
                    </a:xfrm>
                    <a:prstGeom prst="rect">
                      <a:avLst/>
                    </a:prstGeom>
                  </pic:spPr>
                </pic:pic>
              </a:graphicData>
            </a:graphic>
          </wp:anchor>
        </w:drawing>
      </w:r>
    </w:p>
    <w:p>
      <w:pPr>
        <w:pStyle w:val="BodyText"/>
        <w:spacing w:before="2"/>
        <w:rPr>
          <w:sz w:val="6"/>
        </w:rPr>
      </w:pPr>
    </w:p>
    <w:p>
      <w:pPr>
        <w:pStyle w:val="BodyText"/>
        <w:tabs>
          <w:tab w:val="left" w:pos="6401"/>
        </w:tabs>
        <w:spacing w:before="67"/>
        <w:ind w:left="1840"/>
        <w:jc w:val="both"/>
      </w:pPr>
      <w:r>
        <w:t>现行技术规程</w:t>
        <w:tab/>
        <w:t>本标准</w:t>
      </w:r>
    </w:p>
    <w:p>
      <w:pPr>
        <w:pStyle w:val="BodyText"/>
        <w:spacing w:before="161"/>
        <w:ind w:left="580"/>
      </w:pPr>
      <w:r>
        <w:t>秋季工况场地内风速分布：</w:t>
      </w:r>
    </w:p>
    <w:p>
      <w:pPr>
        <w:pStyle w:val="BodyText"/>
        <w:spacing w:before="10"/>
        <w:rPr>
          <w:sz w:val="8"/>
        </w:rPr>
      </w:pPr>
      <w:r>
        <w:drawing>
          <wp:anchor distT="0" distB="0" distL="0" distR="0" simplePos="0" relativeHeight="251661312" behindDoc="0" locked="0" layoutInCell="1" allowOverlap="1">
            <wp:simplePos x="0" y="0"/>
            <wp:positionH relativeFrom="page">
              <wp:posOffset>1219200</wp:posOffset>
            </wp:positionH>
            <wp:positionV relativeFrom="paragraph">
              <wp:posOffset>96726</wp:posOffset>
            </wp:positionV>
            <wp:extent cx="2653242" cy="1901952"/>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pic:nvPicPr>
                  <pic:blipFill>
                    <a:blip xmlns:r="http://schemas.openxmlformats.org/officeDocument/2006/relationships" r:embed="rId14" cstate="print"/>
                    <a:stretch>
                      <a:fillRect/>
                    </a:stretch>
                  </pic:blipFill>
                  <pic:spPr>
                    <a:xfrm>
                      <a:off x="0" y="0"/>
                      <a:ext cx="2653242" cy="1901952"/>
                    </a:xfrm>
                    <a:prstGeom prst="rect">
                      <a:avLst/>
                    </a:prstGeom>
                  </pic:spPr>
                </pic:pic>
              </a:graphicData>
            </a:graphic>
          </wp:anchor>
        </w:drawing>
      </w:r>
      <w:r>
        <w:drawing>
          <wp:anchor distT="0" distB="0" distL="0" distR="0" simplePos="0" relativeHeight="251662336" behindDoc="0" locked="0" layoutInCell="1" allowOverlap="1">
            <wp:simplePos x="0" y="0"/>
            <wp:positionH relativeFrom="page">
              <wp:posOffset>3924300</wp:posOffset>
            </wp:positionH>
            <wp:positionV relativeFrom="paragraph">
              <wp:posOffset>96726</wp:posOffset>
            </wp:positionV>
            <wp:extent cx="2472456" cy="1879092"/>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jpeg"/>
                    <pic:cNvPicPr/>
                  </pic:nvPicPr>
                  <pic:blipFill>
                    <a:blip xmlns:r="http://schemas.openxmlformats.org/officeDocument/2006/relationships" r:embed="rId15" cstate="print"/>
                    <a:stretch>
                      <a:fillRect/>
                    </a:stretch>
                  </pic:blipFill>
                  <pic:spPr>
                    <a:xfrm>
                      <a:off x="0" y="0"/>
                      <a:ext cx="2472456" cy="1879092"/>
                    </a:xfrm>
                    <a:prstGeom prst="rect">
                      <a:avLst/>
                    </a:prstGeom>
                  </pic:spPr>
                </pic:pic>
              </a:graphicData>
            </a:graphic>
          </wp:anchor>
        </w:drawing>
      </w:r>
    </w:p>
    <w:p>
      <w:pPr>
        <w:pStyle w:val="BodyText"/>
        <w:tabs>
          <w:tab w:val="left" w:pos="6401"/>
        </w:tabs>
        <w:spacing w:before="104"/>
        <w:ind w:left="1840"/>
        <w:jc w:val="both"/>
      </w:pPr>
      <w:r>
        <w:t>现行技术规程</w:t>
        <w:tab/>
        <w:t>本标准</w:t>
      </w:r>
    </w:p>
    <w:p>
      <w:pPr>
        <w:pStyle w:val="BodyText"/>
        <w:spacing w:before="161" w:line="364" w:lineRule="auto"/>
        <w:ind w:left="100" w:right="356" w:firstLine="480"/>
        <w:jc w:val="both"/>
      </w:pPr>
      <w:r>
        <w:rPr>
          <w:spacing w:val="-7"/>
        </w:rPr>
        <w:t>由上图对比可知，按照现行的模拟技术规程推荐的风参数模拟计算后，春季、秋季</w:t>
      </w:r>
      <w:r>
        <w:rPr>
          <w:spacing w:val="-10"/>
        </w:rPr>
        <w:t xml:space="preserve">分别来自 </w:t>
      </w:r>
      <w:r>
        <w:t>ESE、NNE</w:t>
      </w:r>
      <w:r>
        <w:rPr>
          <w:spacing w:val="-8"/>
        </w:rPr>
        <w:t xml:space="preserve"> 的气流碰撞到建筑物后，由于边界层分离、风速叠加等效应，且主</w:t>
      </w:r>
      <w:r>
        <w:t>导风速较大，致使场地内局部形成大风速区域（＞5m/s）,场地内整体通风效果较好。</w:t>
      </w:r>
    </w:p>
    <w:p>
      <w:pPr>
        <w:spacing w:after="0" w:line="364" w:lineRule="auto"/>
        <w:jc w:val="both"/>
        <w:sectPr>
          <w:footerReference w:type="default" r:id="rId16"/>
          <w:pgSz w:w="11910" w:h="16840"/>
          <w:pgMar w:top="1580" w:right="1080" w:bottom="1600" w:left="1340" w:header="0" w:footer="1403"/>
          <w:pgNumType w:start="7"/>
          <w:cols w:space="708"/>
        </w:sectPr>
      </w:pPr>
    </w:p>
    <w:p>
      <w:pPr>
        <w:pStyle w:val="BodyText"/>
        <w:spacing w:before="43" w:line="364" w:lineRule="auto"/>
        <w:ind w:left="100" w:right="238"/>
      </w:pPr>
      <w:r>
        <w:rPr>
          <w:spacing w:val="-2"/>
        </w:rPr>
        <w:t xml:space="preserve">而采用本标准规定的风参数模拟计算后，春季、秋季分别来自 </w:t>
      </w:r>
      <w:r>
        <w:t>E、ENE</w:t>
      </w:r>
      <w:r>
        <w:rPr>
          <w:spacing w:val="-7"/>
        </w:rPr>
        <w:t xml:space="preserve"> 的气流由于主导</w:t>
      </w:r>
      <w:r>
        <w:rPr>
          <w:spacing w:val="-25"/>
        </w:rPr>
        <w:t>风速较低，遭到建筑群阻挡后，场地内出现大面积静风区，场地整体风速均较低</w:t>
      </w:r>
      <w:r>
        <w:rPr>
          <w:spacing w:val="-2"/>
        </w:rPr>
        <w:t>（＜1m/s</w:t>
      </w:r>
      <w:r>
        <w:rPr>
          <w:spacing w:val="-118"/>
        </w:rPr>
        <w:t>）</w:t>
      </w:r>
      <w:r>
        <w:rPr>
          <w:spacing w:val="-2"/>
        </w:rPr>
        <w:t>,</w:t>
      </w:r>
      <w:r>
        <w:rPr>
          <w:spacing w:val="-9"/>
        </w:rPr>
        <w:t>通风效果不如人意，与民众在工作、生活中普遍感受到的夏季和过渡季的自然通风的实际状况基本一致。因此，根据实际风气候区选择不同的风参数十分必要。</w:t>
      </w:r>
    </w:p>
    <w:p>
      <w:pPr>
        <w:pStyle w:val="BodyText"/>
      </w:pPr>
    </w:p>
    <w:p>
      <w:pPr>
        <w:pStyle w:val="Heading1"/>
        <w:numPr>
          <w:ilvl w:val="1"/>
          <w:numId w:val="15"/>
        </w:numPr>
        <w:tabs>
          <w:tab w:val="left" w:pos="4449"/>
          <w:tab w:val="left" w:pos="4450"/>
        </w:tabs>
        <w:spacing w:before="163" w:after="0" w:line="240" w:lineRule="auto"/>
        <w:ind w:left="4449" w:right="0" w:hanging="548"/>
        <w:jc w:val="left"/>
      </w:pPr>
      <w:r>
        <w:t>风参数</w:t>
      </w:r>
    </w:p>
    <w:p>
      <w:pPr>
        <w:pStyle w:val="ListParagraph"/>
        <w:numPr>
          <w:ilvl w:val="2"/>
          <w:numId w:val="5"/>
        </w:numPr>
        <w:tabs>
          <w:tab w:val="left" w:pos="940"/>
          <w:tab w:val="left" w:pos="941"/>
        </w:tabs>
        <w:spacing w:before="161" w:after="0" w:line="364" w:lineRule="auto"/>
        <w:ind w:left="100" w:right="625" w:firstLine="0"/>
        <w:jc w:val="left"/>
        <w:rPr>
          <w:rFonts w:ascii="宋体" w:eastAsia="宋体" w:hint="eastAsia"/>
          <w:sz w:val="24"/>
        </w:rPr>
      </w:pPr>
      <w:r>
        <w:rPr>
          <w:rFonts w:ascii="宋体" w:eastAsia="宋体" w:hint="eastAsia"/>
          <w:spacing w:val="-1"/>
          <w:sz w:val="24"/>
        </w:rPr>
        <w:t>建筑风环境设计分析应结合不同季节的要求，各季节起止时间按照天文划分</w:t>
      </w:r>
      <w:r>
        <w:rPr>
          <w:rFonts w:ascii="宋体" w:eastAsia="宋体" w:hint="eastAsia"/>
          <w:sz w:val="24"/>
        </w:rPr>
        <w:t>法：</w:t>
      </w:r>
    </w:p>
    <w:p>
      <w:pPr>
        <w:pStyle w:val="ListParagraph"/>
        <w:numPr>
          <w:ilvl w:val="3"/>
          <w:numId w:val="5"/>
        </w:numPr>
        <w:tabs>
          <w:tab w:val="left" w:pos="940"/>
          <w:tab w:val="left" w:pos="941"/>
        </w:tabs>
        <w:spacing w:before="1" w:after="0" w:line="240" w:lineRule="auto"/>
        <w:ind w:left="940" w:right="0" w:hanging="421"/>
        <w:jc w:val="left"/>
        <w:rPr>
          <w:rFonts w:ascii="宋体" w:eastAsia="宋体" w:hint="eastAsia"/>
          <w:sz w:val="24"/>
        </w:rPr>
      </w:pPr>
      <w:r>
        <w:rPr>
          <w:rFonts w:ascii="宋体" w:eastAsia="宋体" w:hint="eastAsia"/>
          <w:sz w:val="24"/>
        </w:rPr>
        <w:t xml:space="preserve">春季：自 </w:t>
      </w:r>
      <w:r>
        <w:rPr>
          <w:rFonts w:ascii="Times New Roman" w:eastAsia="Times New Roman"/>
          <w:sz w:val="24"/>
        </w:rPr>
        <w:t xml:space="preserve">3 </w:t>
      </w:r>
      <w:r>
        <w:rPr>
          <w:rFonts w:ascii="宋体" w:eastAsia="宋体" w:hint="eastAsia"/>
          <w:spacing w:val="-30"/>
          <w:sz w:val="24"/>
        </w:rPr>
        <w:t xml:space="preserve">月 </w:t>
      </w:r>
      <w:r>
        <w:rPr>
          <w:rFonts w:ascii="Times New Roman" w:eastAsia="Times New Roman"/>
          <w:sz w:val="24"/>
        </w:rPr>
        <w:t xml:space="preserve">21 </w:t>
      </w:r>
      <w:r>
        <w:rPr>
          <w:rFonts w:ascii="宋体" w:eastAsia="宋体" w:hint="eastAsia"/>
          <w:spacing w:val="-20"/>
          <w:sz w:val="24"/>
        </w:rPr>
        <w:t xml:space="preserve">日至 </w:t>
      </w:r>
      <w:r>
        <w:rPr>
          <w:rFonts w:ascii="Times New Roman" w:eastAsia="Times New Roman"/>
          <w:sz w:val="24"/>
        </w:rPr>
        <w:t xml:space="preserve">6 </w:t>
      </w:r>
      <w:r>
        <w:rPr>
          <w:rFonts w:ascii="宋体" w:eastAsia="宋体" w:hint="eastAsia"/>
          <w:spacing w:val="-30"/>
          <w:sz w:val="24"/>
        </w:rPr>
        <w:t xml:space="preserve">月 </w:t>
      </w:r>
      <w:r>
        <w:rPr>
          <w:rFonts w:ascii="Times New Roman" w:eastAsia="Times New Roman"/>
          <w:sz w:val="24"/>
        </w:rPr>
        <w:t xml:space="preserve">20 </w:t>
      </w:r>
      <w:r>
        <w:rPr>
          <w:rFonts w:ascii="宋体" w:eastAsia="宋体" w:hint="eastAsia"/>
          <w:sz w:val="24"/>
        </w:rPr>
        <w:t>日；</w:t>
      </w:r>
    </w:p>
    <w:p>
      <w:pPr>
        <w:pStyle w:val="ListParagraph"/>
        <w:numPr>
          <w:ilvl w:val="3"/>
          <w:numId w:val="5"/>
        </w:numPr>
        <w:tabs>
          <w:tab w:val="left" w:pos="940"/>
          <w:tab w:val="left" w:pos="941"/>
        </w:tabs>
        <w:spacing w:before="161" w:after="0" w:line="240" w:lineRule="auto"/>
        <w:ind w:left="940" w:right="0" w:hanging="421"/>
        <w:jc w:val="left"/>
        <w:rPr>
          <w:rFonts w:ascii="宋体" w:eastAsia="宋体" w:hint="eastAsia"/>
          <w:sz w:val="24"/>
        </w:rPr>
      </w:pPr>
      <w:r>
        <w:rPr>
          <w:rFonts w:ascii="宋体" w:eastAsia="宋体" w:hint="eastAsia"/>
          <w:sz w:val="24"/>
        </w:rPr>
        <w:t xml:space="preserve">夏季：自 </w:t>
      </w:r>
      <w:r>
        <w:rPr>
          <w:rFonts w:ascii="Times New Roman" w:eastAsia="Times New Roman"/>
          <w:sz w:val="24"/>
        </w:rPr>
        <w:t xml:space="preserve">6 </w:t>
      </w:r>
      <w:r>
        <w:rPr>
          <w:rFonts w:ascii="宋体" w:eastAsia="宋体" w:hint="eastAsia"/>
          <w:spacing w:val="-30"/>
          <w:sz w:val="24"/>
        </w:rPr>
        <w:t xml:space="preserve">月 </w:t>
      </w:r>
      <w:r>
        <w:rPr>
          <w:rFonts w:ascii="Times New Roman" w:eastAsia="Times New Roman"/>
          <w:sz w:val="24"/>
        </w:rPr>
        <w:t xml:space="preserve">21 </w:t>
      </w:r>
      <w:r>
        <w:rPr>
          <w:rFonts w:ascii="宋体" w:eastAsia="宋体" w:hint="eastAsia"/>
          <w:spacing w:val="-20"/>
          <w:sz w:val="24"/>
        </w:rPr>
        <w:t xml:space="preserve">日至 </w:t>
      </w:r>
      <w:r>
        <w:rPr>
          <w:rFonts w:ascii="Times New Roman" w:eastAsia="Times New Roman"/>
          <w:sz w:val="24"/>
        </w:rPr>
        <w:t xml:space="preserve">9 </w:t>
      </w:r>
      <w:r>
        <w:rPr>
          <w:rFonts w:ascii="宋体" w:eastAsia="宋体" w:hint="eastAsia"/>
          <w:spacing w:val="-30"/>
          <w:sz w:val="24"/>
        </w:rPr>
        <w:t xml:space="preserve">月 </w:t>
      </w:r>
      <w:r>
        <w:rPr>
          <w:rFonts w:ascii="Times New Roman" w:eastAsia="Times New Roman"/>
          <w:sz w:val="24"/>
        </w:rPr>
        <w:t xml:space="preserve">20 </w:t>
      </w:r>
      <w:r>
        <w:rPr>
          <w:rFonts w:ascii="宋体" w:eastAsia="宋体" w:hint="eastAsia"/>
          <w:sz w:val="24"/>
        </w:rPr>
        <w:t>日；</w:t>
      </w:r>
    </w:p>
    <w:p>
      <w:pPr>
        <w:pStyle w:val="BodyText"/>
        <w:tabs>
          <w:tab w:val="left" w:pos="940"/>
        </w:tabs>
        <w:spacing w:before="161"/>
        <w:ind w:left="520"/>
        <w:rPr>
          <w:rFonts w:ascii="宋体" w:eastAsia="宋体" w:hint="eastAsia"/>
        </w:rPr>
      </w:pPr>
      <w:r>
        <w:rPr>
          <w:rFonts w:ascii="Times New Roman" w:eastAsia="Times New Roman"/>
        </w:rPr>
        <w:t>3.</w:t>
        <w:tab/>
      </w:r>
      <w:r>
        <w:rPr>
          <w:rFonts w:ascii="宋体" w:eastAsia="宋体" w:hint="eastAsia"/>
        </w:rPr>
        <w:t xml:space="preserve">秋季：自 </w:t>
      </w:r>
      <w:r>
        <w:rPr>
          <w:rFonts w:ascii="Times New Roman" w:eastAsia="Times New Roman"/>
        </w:rPr>
        <w:t xml:space="preserve">9 </w:t>
      </w:r>
      <w:r>
        <w:rPr>
          <w:rFonts w:ascii="宋体" w:eastAsia="宋体" w:hint="eastAsia"/>
          <w:spacing w:val="-30"/>
        </w:rPr>
        <w:t xml:space="preserve">月 </w:t>
      </w:r>
      <w:r>
        <w:rPr>
          <w:rFonts w:ascii="Times New Roman" w:eastAsia="Times New Roman"/>
        </w:rPr>
        <w:t xml:space="preserve">21 </w:t>
      </w:r>
      <w:r>
        <w:rPr>
          <w:rFonts w:ascii="宋体" w:eastAsia="宋体" w:hint="eastAsia"/>
          <w:spacing w:val="-20"/>
        </w:rPr>
        <w:t xml:space="preserve">日至 </w:t>
      </w:r>
      <w:r>
        <w:rPr>
          <w:rFonts w:ascii="Times New Roman" w:eastAsia="Times New Roman"/>
        </w:rPr>
        <w:t xml:space="preserve">12 </w:t>
      </w:r>
      <w:r>
        <w:rPr>
          <w:rFonts w:ascii="宋体" w:eastAsia="宋体" w:hint="eastAsia"/>
          <w:spacing w:val="-30"/>
        </w:rPr>
        <w:t xml:space="preserve">月 </w:t>
      </w:r>
      <w:r>
        <w:rPr>
          <w:rFonts w:ascii="Times New Roman" w:eastAsia="Times New Roman"/>
        </w:rPr>
        <w:t xml:space="preserve">20 </w:t>
      </w:r>
      <w:r>
        <w:rPr>
          <w:rFonts w:ascii="宋体" w:eastAsia="宋体" w:hint="eastAsia"/>
        </w:rPr>
        <w:t>日；</w:t>
      </w:r>
    </w:p>
    <w:p>
      <w:pPr>
        <w:pStyle w:val="BodyText"/>
        <w:tabs>
          <w:tab w:val="left" w:pos="940"/>
        </w:tabs>
        <w:spacing w:before="160"/>
        <w:ind w:left="520"/>
        <w:rPr>
          <w:rFonts w:ascii="宋体" w:eastAsia="宋体" w:hint="eastAsia"/>
        </w:rPr>
      </w:pPr>
      <w:r>
        <w:rPr>
          <w:rFonts w:ascii="Times New Roman" w:eastAsia="Times New Roman"/>
        </w:rPr>
        <w:t>4.</w:t>
        <w:tab/>
      </w:r>
      <w:r>
        <w:rPr>
          <w:rFonts w:ascii="宋体" w:eastAsia="宋体" w:hint="eastAsia"/>
        </w:rPr>
        <w:t xml:space="preserve">冬季：自 </w:t>
      </w:r>
      <w:r>
        <w:rPr>
          <w:rFonts w:ascii="Times New Roman" w:eastAsia="Times New Roman"/>
        </w:rPr>
        <w:t xml:space="preserve">12 </w:t>
      </w:r>
      <w:r>
        <w:rPr>
          <w:rFonts w:ascii="宋体" w:eastAsia="宋体" w:hint="eastAsia"/>
          <w:spacing w:val="-30"/>
        </w:rPr>
        <w:t xml:space="preserve">月 </w:t>
      </w:r>
      <w:r>
        <w:rPr>
          <w:rFonts w:ascii="Times New Roman" w:eastAsia="Times New Roman"/>
        </w:rPr>
        <w:t xml:space="preserve">21 </w:t>
      </w:r>
      <w:r>
        <w:rPr>
          <w:rFonts w:ascii="宋体" w:eastAsia="宋体" w:hint="eastAsia"/>
          <w:spacing w:val="-20"/>
        </w:rPr>
        <w:t xml:space="preserve">日至 </w:t>
      </w:r>
      <w:r>
        <w:rPr>
          <w:rFonts w:ascii="Times New Roman" w:eastAsia="Times New Roman"/>
        </w:rPr>
        <w:t xml:space="preserve">3 </w:t>
      </w:r>
      <w:r>
        <w:rPr>
          <w:rFonts w:ascii="宋体" w:eastAsia="宋体" w:hint="eastAsia"/>
          <w:spacing w:val="-30"/>
        </w:rPr>
        <w:t xml:space="preserve">月 </w:t>
      </w:r>
      <w:r>
        <w:rPr>
          <w:rFonts w:ascii="Times New Roman" w:eastAsia="Times New Roman"/>
        </w:rPr>
        <w:t xml:space="preserve">20 </w:t>
      </w:r>
      <w:r>
        <w:rPr>
          <w:rFonts w:ascii="宋体" w:eastAsia="宋体" w:hint="eastAsia"/>
        </w:rPr>
        <w:t>日。</w:t>
      </w:r>
    </w:p>
    <w:p>
      <w:pPr>
        <w:pStyle w:val="BodyText"/>
        <w:spacing w:before="161"/>
        <w:ind w:left="100"/>
        <w:rPr>
          <w:rFonts w:ascii="宋体" w:eastAsia="宋体" w:hint="eastAsia"/>
        </w:rPr>
      </w:pPr>
      <w:r>
        <w:rPr>
          <w:rFonts w:ascii="宋体" w:eastAsia="宋体" w:hint="eastAsia"/>
        </w:rPr>
        <w:t>【条文说明】</w:t>
      </w:r>
    </w:p>
    <w:p>
      <w:pPr>
        <w:pStyle w:val="ListParagraph"/>
        <w:numPr>
          <w:ilvl w:val="2"/>
          <w:numId w:val="4"/>
        </w:numPr>
        <w:tabs>
          <w:tab w:val="left" w:pos="941"/>
        </w:tabs>
        <w:spacing w:before="160" w:after="0" w:line="364" w:lineRule="auto"/>
        <w:ind w:left="100" w:right="238" w:firstLine="0"/>
        <w:jc w:val="both"/>
        <w:rPr>
          <w:sz w:val="24"/>
        </w:rPr>
      </w:pPr>
      <w:r>
        <w:rPr>
          <w:sz w:val="24"/>
        </w:rPr>
        <w:t>自然界一年四季的气候变化导致风环境的差异，建筑室内外环境对一年四季的</w:t>
      </w:r>
      <w:r>
        <w:rPr>
          <w:spacing w:val="-8"/>
          <w:sz w:val="24"/>
        </w:rPr>
        <w:t>风环境要求不同，风环境设计分析需根据不同季节进行风环境工况模拟。常用的季节划</w:t>
      </w:r>
      <w:r>
        <w:rPr>
          <w:spacing w:val="-12"/>
          <w:sz w:val="24"/>
        </w:rPr>
        <w:t>分方法有：天文划分法、气象划分法和候温法。其中气象划分法和候温法是以气候要素</w:t>
      </w:r>
      <w:r>
        <w:rPr>
          <w:spacing w:val="-16"/>
          <w:sz w:val="24"/>
        </w:rPr>
        <w:t>的分布状况为依据划分季节，每年季节起止的日期是根据温度变化而定，天文划分法是</w:t>
      </w:r>
      <w:r>
        <w:rPr>
          <w:spacing w:val="-17"/>
          <w:sz w:val="24"/>
        </w:rPr>
        <w:t>以天文因子为依据划分季节，每年四季的日期不变。课题研究分析发现，虽然不同的季</w:t>
      </w:r>
      <w:r>
        <w:rPr>
          <w:spacing w:val="-19"/>
          <w:sz w:val="24"/>
        </w:rPr>
        <w:t>节划分法而导致季节起止的日期变化，但从各气象台站得到的数据中，风频分布趋势基</w:t>
      </w:r>
      <w:r>
        <w:rPr>
          <w:spacing w:val="-22"/>
          <w:sz w:val="24"/>
        </w:rPr>
        <w:t xml:space="preserve">本相似，且近 </w:t>
      </w:r>
      <w:r>
        <w:rPr>
          <w:rFonts w:ascii="Times New Roman" w:eastAsia="Times New Roman"/>
          <w:sz w:val="24"/>
        </w:rPr>
        <w:t xml:space="preserve">10 </w:t>
      </w:r>
      <w:r>
        <w:rPr>
          <w:spacing w:val="-12"/>
          <w:sz w:val="24"/>
        </w:rPr>
        <w:t>年、</w:t>
      </w:r>
      <w:r>
        <w:rPr>
          <w:rFonts w:ascii="Times New Roman" w:eastAsia="Times New Roman"/>
          <w:sz w:val="24"/>
        </w:rPr>
        <w:t xml:space="preserve">20 </w:t>
      </w:r>
      <w:r>
        <w:rPr>
          <w:spacing w:val="-12"/>
          <w:sz w:val="24"/>
        </w:rPr>
        <w:t>年、</w:t>
      </w:r>
      <w:r>
        <w:rPr>
          <w:rFonts w:ascii="Times New Roman" w:eastAsia="Times New Roman"/>
          <w:sz w:val="24"/>
        </w:rPr>
        <w:t xml:space="preserve">30 </w:t>
      </w:r>
      <w:r>
        <w:rPr>
          <w:spacing w:val="-2"/>
          <w:sz w:val="24"/>
        </w:rPr>
        <w:t>年的风玫瑰图均具有较好的吻合性。候温法虽然考虑了</w:t>
      </w:r>
      <w:r>
        <w:rPr>
          <w:spacing w:val="-5"/>
          <w:sz w:val="24"/>
        </w:rPr>
        <w:t xml:space="preserve">室外气温的影响具有气候的特点，但通过对近 </w:t>
      </w:r>
      <w:r>
        <w:rPr>
          <w:rFonts w:ascii="Times New Roman" w:eastAsia="Times New Roman"/>
          <w:sz w:val="24"/>
        </w:rPr>
        <w:t>10</w:t>
      </w:r>
      <w:r>
        <w:rPr>
          <w:rFonts w:ascii="Times New Roman" w:eastAsia="Times New Roman"/>
          <w:spacing w:val="13"/>
          <w:sz w:val="24"/>
        </w:rPr>
        <w:t xml:space="preserve"> </w:t>
      </w:r>
      <w:r>
        <w:rPr>
          <w:sz w:val="24"/>
        </w:rPr>
        <w:t>年的不同季节划分法的气象数据统计</w:t>
      </w:r>
      <w:r>
        <w:rPr>
          <w:spacing w:val="-10"/>
          <w:sz w:val="24"/>
        </w:rPr>
        <w:t>结果发现差异较小；现行的建筑设计资料集和建筑行业相关规范标准中涉及季节划分都</w:t>
      </w:r>
      <w:r>
        <w:rPr>
          <w:spacing w:val="-19"/>
          <w:sz w:val="24"/>
        </w:rPr>
        <w:t>是天文划分法，为了方便建筑设计和风环境分析，本标准规定季节划分采用天文划分法。</w:t>
      </w:r>
    </w:p>
    <w:p>
      <w:pPr>
        <w:pStyle w:val="ListParagraph"/>
        <w:numPr>
          <w:ilvl w:val="2"/>
          <w:numId w:val="4"/>
        </w:numPr>
        <w:tabs>
          <w:tab w:val="left" w:pos="941"/>
        </w:tabs>
        <w:spacing w:before="6" w:after="0" w:line="240" w:lineRule="auto"/>
        <w:ind w:left="940" w:right="0" w:hanging="841"/>
        <w:jc w:val="both"/>
        <w:rPr>
          <w:rFonts w:ascii="宋体" w:eastAsia="宋体" w:hint="eastAsia"/>
          <w:sz w:val="24"/>
        </w:rPr>
      </w:pPr>
      <w:r>
        <w:rPr>
          <w:rFonts w:ascii="宋体" w:eastAsia="宋体" w:hint="eastAsia"/>
          <w:spacing w:val="-3"/>
          <w:sz w:val="24"/>
        </w:rPr>
        <w:t xml:space="preserve">不同风气候分区不同季节的主导风参数应按表 </w:t>
      </w:r>
      <w:r>
        <w:rPr>
          <w:rFonts w:ascii="Times New Roman" w:eastAsia="Times New Roman"/>
          <w:sz w:val="24"/>
        </w:rPr>
        <w:t xml:space="preserve">4.2.2 </w:t>
      </w:r>
      <w:r>
        <w:rPr>
          <w:rFonts w:ascii="宋体" w:eastAsia="宋体" w:hint="eastAsia"/>
          <w:sz w:val="24"/>
        </w:rPr>
        <w:t>取值。</w:t>
      </w:r>
    </w:p>
    <w:p>
      <w:pPr>
        <w:pStyle w:val="BodyText"/>
        <w:spacing w:before="161"/>
        <w:ind w:left="880" w:right="719"/>
        <w:jc w:val="center"/>
        <w:rPr>
          <w:rFonts w:ascii="黑体" w:eastAsia="黑体" w:hint="eastAsia"/>
        </w:rPr>
      </w:pPr>
      <w:r>
        <w:rPr>
          <w:rFonts w:ascii="黑体" w:eastAsia="黑体" w:hint="eastAsia"/>
        </w:rPr>
        <w:t>表 4.2.2 不同风气候分区不同季节的主导风参数</w:t>
      </w:r>
    </w:p>
    <w:p>
      <w:pPr>
        <w:pStyle w:val="BodyText"/>
        <w:spacing w:before="2"/>
        <w:rPr>
          <w:rFonts w:ascii="黑体"/>
          <w:sz w:val="6"/>
        </w:rPr>
      </w:pPr>
    </w:p>
    <w:tbl>
      <w:tblPr>
        <w:tblStyle w:val="TableNormal2"/>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6"/>
        <w:gridCol w:w="1039"/>
        <w:gridCol w:w="701"/>
        <w:gridCol w:w="699"/>
        <w:gridCol w:w="696"/>
        <w:gridCol w:w="698"/>
        <w:gridCol w:w="698"/>
        <w:gridCol w:w="698"/>
        <w:gridCol w:w="698"/>
        <w:gridCol w:w="638"/>
        <w:gridCol w:w="756"/>
        <w:gridCol w:w="699"/>
        <w:gridCol w:w="706"/>
      </w:tblGrid>
      <w:tr>
        <w:tblPrEx>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2"/>
          <w:jc w:val="left"/>
        </w:trPr>
        <w:tc>
          <w:tcPr>
            <w:tcW w:w="1555" w:type="dxa"/>
            <w:gridSpan w:val="2"/>
          </w:tcPr>
          <w:p>
            <w:pPr>
              <w:pStyle w:val="TableParagraph"/>
              <w:spacing w:before="61"/>
              <w:ind w:left="607" w:right="598"/>
              <w:rPr>
                <w:rFonts w:ascii="宋体" w:eastAsia="宋体" w:hint="eastAsia"/>
                <w:sz w:val="15"/>
              </w:rPr>
            </w:pPr>
            <w:r>
              <w:rPr>
                <w:rFonts w:ascii="宋体" w:eastAsia="宋体" w:hint="eastAsia"/>
                <w:sz w:val="15"/>
              </w:rPr>
              <w:t>编号</w:t>
            </w:r>
          </w:p>
        </w:tc>
        <w:tc>
          <w:tcPr>
            <w:tcW w:w="701" w:type="dxa"/>
          </w:tcPr>
          <w:p>
            <w:pPr>
              <w:pStyle w:val="TableParagraph"/>
              <w:spacing w:before="69"/>
              <w:ind w:left="8"/>
              <w:rPr>
                <w:sz w:val="15"/>
              </w:rPr>
            </w:pPr>
            <w:r>
              <w:rPr>
                <w:w w:val="100"/>
                <w:sz w:val="15"/>
              </w:rPr>
              <w:t>1</w:t>
            </w:r>
          </w:p>
        </w:tc>
        <w:tc>
          <w:tcPr>
            <w:tcW w:w="699" w:type="dxa"/>
          </w:tcPr>
          <w:p>
            <w:pPr>
              <w:pStyle w:val="TableParagraph"/>
              <w:spacing w:before="69"/>
              <w:ind w:left="11"/>
              <w:rPr>
                <w:sz w:val="15"/>
              </w:rPr>
            </w:pPr>
            <w:r>
              <w:rPr>
                <w:w w:val="100"/>
                <w:sz w:val="15"/>
              </w:rPr>
              <w:t>2</w:t>
            </w:r>
          </w:p>
        </w:tc>
        <w:tc>
          <w:tcPr>
            <w:tcW w:w="696" w:type="dxa"/>
          </w:tcPr>
          <w:p>
            <w:pPr>
              <w:pStyle w:val="TableParagraph"/>
              <w:spacing w:before="69"/>
              <w:ind w:left="8"/>
              <w:rPr>
                <w:sz w:val="15"/>
              </w:rPr>
            </w:pPr>
            <w:r>
              <w:rPr>
                <w:w w:val="100"/>
                <w:sz w:val="15"/>
              </w:rPr>
              <w:t>3</w:t>
            </w:r>
          </w:p>
        </w:tc>
        <w:tc>
          <w:tcPr>
            <w:tcW w:w="698" w:type="dxa"/>
          </w:tcPr>
          <w:p>
            <w:pPr>
              <w:pStyle w:val="TableParagraph"/>
              <w:spacing w:before="69"/>
              <w:ind w:left="11"/>
              <w:rPr>
                <w:sz w:val="15"/>
              </w:rPr>
            </w:pPr>
            <w:r>
              <w:rPr>
                <w:w w:val="100"/>
                <w:sz w:val="15"/>
              </w:rPr>
              <w:t>4</w:t>
            </w:r>
          </w:p>
        </w:tc>
        <w:tc>
          <w:tcPr>
            <w:tcW w:w="698" w:type="dxa"/>
          </w:tcPr>
          <w:p>
            <w:pPr>
              <w:pStyle w:val="TableParagraph"/>
              <w:spacing w:before="69"/>
              <w:ind w:left="11"/>
              <w:rPr>
                <w:sz w:val="15"/>
              </w:rPr>
            </w:pPr>
            <w:r>
              <w:rPr>
                <w:w w:val="100"/>
                <w:sz w:val="15"/>
              </w:rPr>
              <w:t>5</w:t>
            </w:r>
          </w:p>
        </w:tc>
        <w:tc>
          <w:tcPr>
            <w:tcW w:w="698" w:type="dxa"/>
          </w:tcPr>
          <w:p>
            <w:pPr>
              <w:pStyle w:val="TableParagraph"/>
              <w:spacing w:before="69"/>
              <w:ind w:left="13"/>
              <w:rPr>
                <w:sz w:val="15"/>
              </w:rPr>
            </w:pPr>
            <w:r>
              <w:rPr>
                <w:w w:val="100"/>
                <w:sz w:val="15"/>
              </w:rPr>
              <w:t>6</w:t>
            </w:r>
          </w:p>
        </w:tc>
        <w:tc>
          <w:tcPr>
            <w:tcW w:w="698" w:type="dxa"/>
          </w:tcPr>
          <w:p>
            <w:pPr>
              <w:pStyle w:val="TableParagraph"/>
              <w:spacing w:before="69"/>
              <w:ind w:left="14"/>
              <w:rPr>
                <w:sz w:val="15"/>
              </w:rPr>
            </w:pPr>
            <w:r>
              <w:rPr>
                <w:w w:val="100"/>
                <w:sz w:val="15"/>
              </w:rPr>
              <w:t>7</w:t>
            </w:r>
          </w:p>
        </w:tc>
        <w:tc>
          <w:tcPr>
            <w:tcW w:w="638" w:type="dxa"/>
          </w:tcPr>
          <w:p>
            <w:pPr>
              <w:pStyle w:val="TableParagraph"/>
              <w:spacing w:before="69"/>
              <w:ind w:left="17"/>
              <w:rPr>
                <w:sz w:val="15"/>
              </w:rPr>
            </w:pPr>
            <w:r>
              <w:rPr>
                <w:w w:val="100"/>
                <w:sz w:val="15"/>
              </w:rPr>
              <w:t>8</w:t>
            </w:r>
          </w:p>
        </w:tc>
        <w:tc>
          <w:tcPr>
            <w:tcW w:w="756" w:type="dxa"/>
          </w:tcPr>
          <w:p>
            <w:pPr>
              <w:pStyle w:val="TableParagraph"/>
              <w:spacing w:before="69"/>
              <w:ind w:left="342"/>
              <w:jc w:val="left"/>
              <w:rPr>
                <w:sz w:val="15"/>
              </w:rPr>
            </w:pPr>
            <w:r>
              <w:rPr>
                <w:w w:val="100"/>
                <w:sz w:val="15"/>
              </w:rPr>
              <w:t>9</w:t>
            </w:r>
          </w:p>
        </w:tc>
        <w:tc>
          <w:tcPr>
            <w:tcW w:w="699" w:type="dxa"/>
          </w:tcPr>
          <w:p>
            <w:pPr>
              <w:pStyle w:val="TableParagraph"/>
              <w:spacing w:before="69"/>
              <w:ind w:left="276"/>
              <w:jc w:val="left"/>
              <w:rPr>
                <w:sz w:val="15"/>
              </w:rPr>
            </w:pPr>
            <w:r>
              <w:rPr>
                <w:sz w:val="15"/>
              </w:rPr>
              <w:t>10</w:t>
            </w:r>
          </w:p>
        </w:tc>
        <w:tc>
          <w:tcPr>
            <w:tcW w:w="706" w:type="dxa"/>
          </w:tcPr>
          <w:p>
            <w:pPr>
              <w:pStyle w:val="TableParagraph"/>
              <w:spacing w:before="69"/>
              <w:ind w:left="108" w:right="95"/>
              <w:rPr>
                <w:sz w:val="15"/>
              </w:rPr>
            </w:pPr>
            <w:r>
              <w:rPr>
                <w:sz w:val="15"/>
              </w:rPr>
              <w:t>11</w:t>
            </w:r>
          </w:p>
        </w:tc>
      </w:tr>
      <w:tr>
        <w:tblPrEx>
          <w:tblW w:w="0" w:type="auto"/>
          <w:jc w:val="left"/>
          <w:tblInd w:w="110" w:type="dxa"/>
          <w:tblLayout w:type="fixed"/>
          <w:tblCellMar>
            <w:top w:w="0" w:type="dxa"/>
            <w:left w:w="0" w:type="dxa"/>
            <w:bottom w:w="0" w:type="dxa"/>
            <w:right w:w="0" w:type="dxa"/>
          </w:tblCellMar>
          <w:tblLook w:val="01E0"/>
        </w:tblPrEx>
        <w:trPr>
          <w:trHeight w:val="935"/>
          <w:jc w:val="left"/>
        </w:trPr>
        <w:tc>
          <w:tcPr>
            <w:tcW w:w="1555" w:type="dxa"/>
            <w:gridSpan w:val="2"/>
          </w:tcPr>
          <w:p>
            <w:pPr>
              <w:pStyle w:val="TableParagraph"/>
              <w:spacing w:before="0"/>
              <w:jc w:val="left"/>
              <w:rPr>
                <w:rFonts w:ascii="黑体"/>
                <w:sz w:val="14"/>
              </w:rPr>
            </w:pPr>
          </w:p>
          <w:p>
            <w:pPr>
              <w:pStyle w:val="TableParagraph"/>
              <w:spacing w:before="1"/>
              <w:jc w:val="left"/>
              <w:rPr>
                <w:rFonts w:ascii="黑体"/>
                <w:sz w:val="15"/>
              </w:rPr>
            </w:pPr>
          </w:p>
          <w:p>
            <w:pPr>
              <w:pStyle w:val="TableParagraph"/>
              <w:spacing w:before="0"/>
              <w:ind w:left="400"/>
              <w:jc w:val="left"/>
              <w:rPr>
                <w:rFonts w:ascii="宋体" w:eastAsia="宋体" w:hint="eastAsia"/>
                <w:sz w:val="15"/>
              </w:rPr>
            </w:pPr>
            <w:r>
              <w:rPr>
                <w:rFonts w:ascii="宋体" w:eastAsia="宋体" w:hint="eastAsia"/>
                <w:sz w:val="15"/>
              </w:rPr>
              <w:t>风气候分区</w:t>
            </w:r>
          </w:p>
        </w:tc>
        <w:tc>
          <w:tcPr>
            <w:tcW w:w="701" w:type="dxa"/>
          </w:tcPr>
          <w:p>
            <w:pPr>
              <w:pStyle w:val="TableParagraph"/>
              <w:spacing w:before="12"/>
              <w:jc w:val="left"/>
              <w:rPr>
                <w:rFonts w:ascii="黑体"/>
                <w:sz w:val="16"/>
              </w:rPr>
            </w:pPr>
          </w:p>
          <w:p>
            <w:pPr>
              <w:pStyle w:val="TableParagraph"/>
              <w:spacing w:before="0" w:line="388" w:lineRule="auto"/>
              <w:ind w:left="199" w:right="187"/>
              <w:jc w:val="left"/>
              <w:rPr>
                <w:rFonts w:ascii="宋体" w:eastAsia="宋体" w:hint="eastAsia"/>
                <w:sz w:val="15"/>
              </w:rPr>
            </w:pPr>
            <w:r>
              <w:rPr>
                <w:rFonts w:ascii="宋体" w:eastAsia="宋体" w:hint="eastAsia"/>
                <w:sz w:val="15"/>
              </w:rPr>
              <w:t>中心城区</w:t>
            </w:r>
          </w:p>
        </w:tc>
        <w:tc>
          <w:tcPr>
            <w:tcW w:w="699" w:type="dxa"/>
          </w:tcPr>
          <w:p>
            <w:pPr>
              <w:pStyle w:val="TableParagraph"/>
              <w:spacing w:before="0"/>
              <w:jc w:val="left"/>
              <w:rPr>
                <w:rFonts w:ascii="黑体"/>
                <w:sz w:val="14"/>
              </w:rPr>
            </w:pPr>
          </w:p>
          <w:p>
            <w:pPr>
              <w:pStyle w:val="TableParagraph"/>
              <w:spacing w:before="1"/>
              <w:jc w:val="left"/>
              <w:rPr>
                <w:rFonts w:ascii="黑体"/>
                <w:sz w:val="15"/>
              </w:rPr>
            </w:pPr>
          </w:p>
          <w:p>
            <w:pPr>
              <w:pStyle w:val="TableParagraph"/>
              <w:spacing w:before="0"/>
              <w:ind w:left="103" w:right="95"/>
              <w:rPr>
                <w:rFonts w:ascii="宋体" w:eastAsia="宋体" w:hint="eastAsia"/>
                <w:sz w:val="15"/>
              </w:rPr>
            </w:pPr>
            <w:r>
              <w:rPr>
                <w:rFonts w:ascii="宋体" w:eastAsia="宋体" w:hint="eastAsia"/>
                <w:sz w:val="15"/>
              </w:rPr>
              <w:t>闵行区</w:t>
            </w:r>
          </w:p>
        </w:tc>
        <w:tc>
          <w:tcPr>
            <w:tcW w:w="696" w:type="dxa"/>
          </w:tcPr>
          <w:p>
            <w:pPr>
              <w:pStyle w:val="TableParagraph"/>
              <w:spacing w:before="0"/>
              <w:jc w:val="left"/>
              <w:rPr>
                <w:rFonts w:ascii="黑体"/>
                <w:sz w:val="14"/>
              </w:rPr>
            </w:pPr>
          </w:p>
          <w:p>
            <w:pPr>
              <w:pStyle w:val="TableParagraph"/>
              <w:spacing w:before="1"/>
              <w:jc w:val="left"/>
              <w:rPr>
                <w:rFonts w:ascii="黑体"/>
                <w:sz w:val="15"/>
              </w:rPr>
            </w:pPr>
          </w:p>
          <w:p>
            <w:pPr>
              <w:pStyle w:val="TableParagraph"/>
              <w:spacing w:before="0"/>
              <w:ind w:left="101" w:right="94"/>
              <w:rPr>
                <w:rFonts w:ascii="宋体" w:eastAsia="宋体" w:hint="eastAsia"/>
                <w:sz w:val="15"/>
              </w:rPr>
            </w:pPr>
            <w:r>
              <w:rPr>
                <w:rFonts w:ascii="宋体" w:eastAsia="宋体" w:hint="eastAsia"/>
                <w:sz w:val="15"/>
              </w:rPr>
              <w:t>宝山区</w:t>
            </w:r>
          </w:p>
        </w:tc>
        <w:tc>
          <w:tcPr>
            <w:tcW w:w="698" w:type="dxa"/>
          </w:tcPr>
          <w:p>
            <w:pPr>
              <w:pStyle w:val="TableParagraph"/>
              <w:spacing w:before="0"/>
              <w:jc w:val="left"/>
              <w:rPr>
                <w:rFonts w:ascii="黑体"/>
                <w:sz w:val="14"/>
              </w:rPr>
            </w:pPr>
          </w:p>
          <w:p>
            <w:pPr>
              <w:pStyle w:val="TableParagraph"/>
              <w:spacing w:before="1"/>
              <w:jc w:val="left"/>
              <w:rPr>
                <w:rFonts w:ascii="黑体"/>
                <w:sz w:val="15"/>
              </w:rPr>
            </w:pPr>
          </w:p>
          <w:p>
            <w:pPr>
              <w:pStyle w:val="TableParagraph"/>
              <w:spacing w:before="0"/>
              <w:ind w:left="101" w:right="92"/>
              <w:rPr>
                <w:rFonts w:ascii="宋体" w:eastAsia="宋体" w:hint="eastAsia"/>
                <w:sz w:val="15"/>
              </w:rPr>
            </w:pPr>
            <w:r>
              <w:rPr>
                <w:rFonts w:ascii="宋体" w:eastAsia="宋体" w:hint="eastAsia"/>
                <w:sz w:val="15"/>
              </w:rPr>
              <w:t>嘉定区</w:t>
            </w:r>
          </w:p>
        </w:tc>
        <w:tc>
          <w:tcPr>
            <w:tcW w:w="698" w:type="dxa"/>
          </w:tcPr>
          <w:p>
            <w:pPr>
              <w:pStyle w:val="TableParagraph"/>
              <w:spacing w:before="0"/>
              <w:jc w:val="left"/>
              <w:rPr>
                <w:rFonts w:ascii="黑体"/>
                <w:sz w:val="14"/>
              </w:rPr>
            </w:pPr>
          </w:p>
          <w:p>
            <w:pPr>
              <w:pStyle w:val="TableParagraph"/>
              <w:spacing w:before="1"/>
              <w:jc w:val="left"/>
              <w:rPr>
                <w:rFonts w:ascii="黑体"/>
                <w:sz w:val="15"/>
              </w:rPr>
            </w:pPr>
          </w:p>
          <w:p>
            <w:pPr>
              <w:pStyle w:val="TableParagraph"/>
              <w:spacing w:before="0"/>
              <w:ind w:left="102" w:right="92"/>
              <w:rPr>
                <w:rFonts w:ascii="宋体" w:eastAsia="宋体" w:hint="eastAsia"/>
                <w:sz w:val="15"/>
              </w:rPr>
            </w:pPr>
            <w:r>
              <w:rPr>
                <w:rFonts w:ascii="宋体" w:eastAsia="宋体" w:hint="eastAsia"/>
                <w:sz w:val="15"/>
              </w:rPr>
              <w:t>金山区</w:t>
            </w:r>
          </w:p>
        </w:tc>
        <w:tc>
          <w:tcPr>
            <w:tcW w:w="698" w:type="dxa"/>
          </w:tcPr>
          <w:p>
            <w:pPr>
              <w:pStyle w:val="TableParagraph"/>
              <w:spacing w:before="0"/>
              <w:jc w:val="left"/>
              <w:rPr>
                <w:rFonts w:ascii="黑体"/>
                <w:sz w:val="14"/>
              </w:rPr>
            </w:pPr>
          </w:p>
          <w:p>
            <w:pPr>
              <w:pStyle w:val="TableParagraph"/>
              <w:spacing w:before="1"/>
              <w:jc w:val="left"/>
              <w:rPr>
                <w:rFonts w:ascii="黑体"/>
                <w:sz w:val="15"/>
              </w:rPr>
            </w:pPr>
          </w:p>
          <w:p>
            <w:pPr>
              <w:pStyle w:val="TableParagraph"/>
              <w:spacing w:before="0"/>
              <w:ind w:left="103" w:right="92"/>
              <w:rPr>
                <w:rFonts w:ascii="宋体" w:eastAsia="宋体" w:hint="eastAsia"/>
                <w:sz w:val="15"/>
              </w:rPr>
            </w:pPr>
            <w:r>
              <w:rPr>
                <w:rFonts w:ascii="宋体" w:eastAsia="宋体" w:hint="eastAsia"/>
                <w:sz w:val="15"/>
              </w:rPr>
              <w:t>青浦区</w:t>
            </w:r>
          </w:p>
        </w:tc>
        <w:tc>
          <w:tcPr>
            <w:tcW w:w="698" w:type="dxa"/>
          </w:tcPr>
          <w:p>
            <w:pPr>
              <w:pStyle w:val="TableParagraph"/>
              <w:spacing w:before="0"/>
              <w:jc w:val="left"/>
              <w:rPr>
                <w:rFonts w:ascii="黑体"/>
                <w:sz w:val="14"/>
              </w:rPr>
            </w:pPr>
          </w:p>
          <w:p>
            <w:pPr>
              <w:pStyle w:val="TableParagraph"/>
              <w:spacing w:before="1"/>
              <w:jc w:val="left"/>
              <w:rPr>
                <w:rFonts w:ascii="黑体"/>
                <w:sz w:val="15"/>
              </w:rPr>
            </w:pPr>
          </w:p>
          <w:p>
            <w:pPr>
              <w:pStyle w:val="TableParagraph"/>
              <w:spacing w:before="0"/>
              <w:ind w:left="103" w:right="90"/>
              <w:rPr>
                <w:rFonts w:ascii="宋体" w:eastAsia="宋体" w:hint="eastAsia"/>
                <w:sz w:val="15"/>
              </w:rPr>
            </w:pPr>
            <w:r>
              <w:rPr>
                <w:rFonts w:ascii="宋体" w:eastAsia="宋体" w:hint="eastAsia"/>
                <w:sz w:val="15"/>
              </w:rPr>
              <w:t>松江区</w:t>
            </w:r>
          </w:p>
        </w:tc>
        <w:tc>
          <w:tcPr>
            <w:tcW w:w="638" w:type="dxa"/>
          </w:tcPr>
          <w:p>
            <w:pPr>
              <w:pStyle w:val="TableParagraph"/>
              <w:spacing w:before="12"/>
              <w:jc w:val="left"/>
              <w:rPr>
                <w:rFonts w:ascii="黑体"/>
                <w:sz w:val="16"/>
              </w:rPr>
            </w:pPr>
          </w:p>
          <w:p>
            <w:pPr>
              <w:pStyle w:val="TableParagraph"/>
              <w:spacing w:before="0" w:line="388" w:lineRule="auto"/>
              <w:ind w:left="246" w:right="151" w:hanging="75"/>
              <w:jc w:val="left"/>
              <w:rPr>
                <w:rFonts w:ascii="宋体" w:eastAsia="宋体" w:hint="eastAsia"/>
                <w:sz w:val="15"/>
              </w:rPr>
            </w:pPr>
            <w:r>
              <w:rPr>
                <w:rFonts w:ascii="宋体" w:eastAsia="宋体" w:hint="eastAsia"/>
                <w:sz w:val="15"/>
              </w:rPr>
              <w:t>奉贤区</w:t>
            </w:r>
          </w:p>
        </w:tc>
        <w:tc>
          <w:tcPr>
            <w:tcW w:w="756" w:type="dxa"/>
          </w:tcPr>
          <w:p>
            <w:pPr>
              <w:pStyle w:val="TableParagraph"/>
              <w:spacing w:before="61" w:line="388" w:lineRule="auto"/>
              <w:ind w:left="304" w:right="137" w:hanging="152"/>
              <w:jc w:val="left"/>
              <w:rPr>
                <w:rFonts w:ascii="宋体" w:eastAsia="宋体" w:hint="eastAsia"/>
                <w:sz w:val="15"/>
              </w:rPr>
            </w:pPr>
            <w:r>
              <w:rPr>
                <w:rFonts w:ascii="宋体" w:eastAsia="宋体" w:hint="eastAsia"/>
                <w:sz w:val="15"/>
              </w:rPr>
              <w:t>浦东新区</w:t>
            </w:r>
          </w:p>
          <w:p>
            <w:pPr>
              <w:pStyle w:val="TableParagraph"/>
              <w:spacing w:before="1"/>
              <w:ind w:left="153"/>
              <w:jc w:val="left"/>
              <w:rPr>
                <w:rFonts w:ascii="宋体" w:eastAsia="宋体" w:hint="eastAsia"/>
                <w:sz w:val="15"/>
              </w:rPr>
            </w:pPr>
            <w:r>
              <w:rPr>
                <w:rFonts w:ascii="宋体" w:eastAsia="宋体" w:hint="eastAsia"/>
                <w:sz w:val="15"/>
              </w:rPr>
              <w:t>（南）</w:t>
            </w:r>
          </w:p>
        </w:tc>
        <w:tc>
          <w:tcPr>
            <w:tcW w:w="699" w:type="dxa"/>
          </w:tcPr>
          <w:p>
            <w:pPr>
              <w:pStyle w:val="TableParagraph"/>
              <w:spacing w:before="61" w:line="388" w:lineRule="auto"/>
              <w:ind w:left="276" w:right="108" w:hanging="152"/>
              <w:jc w:val="left"/>
              <w:rPr>
                <w:rFonts w:ascii="宋体" w:eastAsia="宋体" w:hint="eastAsia"/>
                <w:sz w:val="15"/>
              </w:rPr>
            </w:pPr>
            <w:r>
              <w:rPr>
                <w:rFonts w:ascii="宋体" w:eastAsia="宋体" w:hint="eastAsia"/>
                <w:sz w:val="15"/>
              </w:rPr>
              <w:t>浦东新区</w:t>
            </w:r>
          </w:p>
          <w:p>
            <w:pPr>
              <w:pStyle w:val="TableParagraph"/>
              <w:spacing w:before="1"/>
              <w:ind w:left="125"/>
              <w:jc w:val="left"/>
              <w:rPr>
                <w:rFonts w:ascii="宋体" w:eastAsia="宋体" w:hint="eastAsia"/>
                <w:sz w:val="15"/>
              </w:rPr>
            </w:pPr>
            <w:r>
              <w:rPr>
                <w:rFonts w:ascii="宋体" w:eastAsia="宋体" w:hint="eastAsia"/>
                <w:sz w:val="15"/>
              </w:rPr>
              <w:t>（北）</w:t>
            </w:r>
          </w:p>
        </w:tc>
        <w:tc>
          <w:tcPr>
            <w:tcW w:w="706" w:type="dxa"/>
          </w:tcPr>
          <w:p>
            <w:pPr>
              <w:pStyle w:val="TableParagraph"/>
              <w:spacing w:before="0"/>
              <w:jc w:val="left"/>
              <w:rPr>
                <w:rFonts w:ascii="黑体"/>
                <w:sz w:val="14"/>
              </w:rPr>
            </w:pPr>
          </w:p>
          <w:p>
            <w:pPr>
              <w:pStyle w:val="TableParagraph"/>
              <w:spacing w:before="1"/>
              <w:jc w:val="left"/>
              <w:rPr>
                <w:rFonts w:ascii="黑体"/>
                <w:sz w:val="15"/>
              </w:rPr>
            </w:pPr>
          </w:p>
          <w:p>
            <w:pPr>
              <w:pStyle w:val="TableParagraph"/>
              <w:spacing w:before="0"/>
              <w:ind w:left="111" w:right="95"/>
              <w:rPr>
                <w:rFonts w:ascii="宋体" w:eastAsia="宋体" w:hint="eastAsia"/>
                <w:sz w:val="15"/>
              </w:rPr>
            </w:pPr>
            <w:r>
              <w:rPr>
                <w:rFonts w:ascii="宋体" w:eastAsia="宋体" w:hint="eastAsia"/>
                <w:sz w:val="15"/>
              </w:rPr>
              <w:t>崇明区</w:t>
            </w:r>
          </w:p>
        </w:tc>
      </w:tr>
      <w:tr>
        <w:tblPrEx>
          <w:tblW w:w="0" w:type="auto"/>
          <w:jc w:val="left"/>
          <w:tblInd w:w="110" w:type="dxa"/>
          <w:tblLayout w:type="fixed"/>
          <w:tblCellMar>
            <w:top w:w="0" w:type="dxa"/>
            <w:left w:w="0" w:type="dxa"/>
            <w:bottom w:w="0" w:type="dxa"/>
            <w:right w:w="0" w:type="dxa"/>
          </w:tblCellMar>
          <w:tblLook w:val="01E0"/>
        </w:tblPrEx>
        <w:trPr>
          <w:trHeight w:val="311"/>
          <w:jc w:val="left"/>
        </w:trPr>
        <w:tc>
          <w:tcPr>
            <w:tcW w:w="516" w:type="dxa"/>
            <w:vMerge w:val="restart"/>
          </w:tcPr>
          <w:p>
            <w:pPr>
              <w:pStyle w:val="TableParagraph"/>
              <w:spacing w:before="6"/>
              <w:jc w:val="left"/>
              <w:rPr>
                <w:rFonts w:ascii="黑体"/>
                <w:sz w:val="17"/>
              </w:rPr>
            </w:pPr>
          </w:p>
          <w:p>
            <w:pPr>
              <w:pStyle w:val="TableParagraph"/>
              <w:spacing w:before="0"/>
              <w:ind w:left="107"/>
              <w:jc w:val="left"/>
              <w:rPr>
                <w:rFonts w:ascii="宋体" w:eastAsia="宋体" w:hint="eastAsia"/>
                <w:sz w:val="15"/>
              </w:rPr>
            </w:pPr>
            <w:r>
              <w:rPr>
                <w:rFonts w:ascii="宋体" w:eastAsia="宋体" w:hint="eastAsia"/>
                <w:sz w:val="15"/>
              </w:rPr>
              <w:t>春季</w:t>
            </w:r>
          </w:p>
        </w:tc>
        <w:tc>
          <w:tcPr>
            <w:tcW w:w="1039" w:type="dxa"/>
          </w:tcPr>
          <w:p>
            <w:pPr>
              <w:pStyle w:val="TableParagraph"/>
              <w:spacing w:before="61"/>
              <w:ind w:left="90" w:right="78"/>
              <w:rPr>
                <w:rFonts w:ascii="宋体" w:eastAsia="宋体" w:hint="eastAsia"/>
                <w:sz w:val="15"/>
              </w:rPr>
            </w:pPr>
            <w:r>
              <w:rPr>
                <w:rFonts w:ascii="宋体" w:eastAsia="宋体" w:hint="eastAsia"/>
                <w:sz w:val="15"/>
              </w:rPr>
              <w:t>风向</w:t>
            </w:r>
          </w:p>
        </w:tc>
        <w:tc>
          <w:tcPr>
            <w:tcW w:w="701" w:type="dxa"/>
          </w:tcPr>
          <w:p>
            <w:pPr>
              <w:pStyle w:val="TableParagraph"/>
              <w:ind w:left="229" w:right="222"/>
              <w:rPr>
                <w:sz w:val="15"/>
              </w:rPr>
            </w:pPr>
            <w:r>
              <w:rPr>
                <w:sz w:val="15"/>
              </w:rPr>
              <w:t>NE</w:t>
            </w:r>
          </w:p>
        </w:tc>
        <w:tc>
          <w:tcPr>
            <w:tcW w:w="699" w:type="dxa"/>
          </w:tcPr>
          <w:p>
            <w:pPr>
              <w:pStyle w:val="TableParagraph"/>
              <w:ind w:left="7"/>
              <w:rPr>
                <w:sz w:val="15"/>
              </w:rPr>
            </w:pPr>
            <w:r>
              <w:rPr>
                <w:w w:val="100"/>
                <w:sz w:val="15"/>
              </w:rPr>
              <w:t>E</w:t>
            </w:r>
          </w:p>
        </w:tc>
        <w:tc>
          <w:tcPr>
            <w:tcW w:w="696" w:type="dxa"/>
          </w:tcPr>
          <w:p>
            <w:pPr>
              <w:pStyle w:val="TableParagraph"/>
              <w:ind w:left="101" w:right="94"/>
              <w:rPr>
                <w:sz w:val="15"/>
              </w:rPr>
            </w:pPr>
            <w:r>
              <w:rPr>
                <w:sz w:val="15"/>
              </w:rPr>
              <w:t>ENE</w:t>
            </w:r>
          </w:p>
        </w:tc>
        <w:tc>
          <w:tcPr>
            <w:tcW w:w="698" w:type="dxa"/>
          </w:tcPr>
          <w:p>
            <w:pPr>
              <w:pStyle w:val="TableParagraph"/>
              <w:ind w:left="100" w:right="92"/>
              <w:rPr>
                <w:sz w:val="15"/>
              </w:rPr>
            </w:pPr>
            <w:r>
              <w:rPr>
                <w:sz w:val="15"/>
              </w:rPr>
              <w:t>SSE</w:t>
            </w:r>
          </w:p>
        </w:tc>
        <w:tc>
          <w:tcPr>
            <w:tcW w:w="698" w:type="dxa"/>
          </w:tcPr>
          <w:p>
            <w:pPr>
              <w:pStyle w:val="TableParagraph"/>
              <w:ind w:left="101" w:right="92"/>
              <w:rPr>
                <w:sz w:val="15"/>
              </w:rPr>
            </w:pPr>
            <w:r>
              <w:rPr>
                <w:sz w:val="15"/>
              </w:rPr>
              <w:t>ESE</w:t>
            </w:r>
          </w:p>
        </w:tc>
        <w:tc>
          <w:tcPr>
            <w:tcW w:w="698" w:type="dxa"/>
          </w:tcPr>
          <w:p>
            <w:pPr>
              <w:pStyle w:val="TableParagraph"/>
              <w:ind w:left="102" w:right="92"/>
              <w:rPr>
                <w:sz w:val="15"/>
              </w:rPr>
            </w:pPr>
            <w:r>
              <w:rPr>
                <w:sz w:val="15"/>
              </w:rPr>
              <w:t>ESE</w:t>
            </w:r>
          </w:p>
        </w:tc>
        <w:tc>
          <w:tcPr>
            <w:tcW w:w="698" w:type="dxa"/>
          </w:tcPr>
          <w:p>
            <w:pPr>
              <w:pStyle w:val="TableParagraph"/>
              <w:ind w:left="103" w:right="89"/>
              <w:rPr>
                <w:sz w:val="15"/>
              </w:rPr>
            </w:pPr>
            <w:r>
              <w:rPr>
                <w:sz w:val="15"/>
              </w:rPr>
              <w:t>SE</w:t>
            </w:r>
          </w:p>
        </w:tc>
        <w:tc>
          <w:tcPr>
            <w:tcW w:w="638" w:type="dxa"/>
          </w:tcPr>
          <w:p>
            <w:pPr>
              <w:pStyle w:val="TableParagraph"/>
              <w:ind w:left="169" w:right="152"/>
              <w:rPr>
                <w:sz w:val="15"/>
              </w:rPr>
            </w:pPr>
            <w:r>
              <w:rPr>
                <w:sz w:val="15"/>
              </w:rPr>
              <w:t>ESE</w:t>
            </w:r>
          </w:p>
        </w:tc>
        <w:tc>
          <w:tcPr>
            <w:tcW w:w="756" w:type="dxa"/>
          </w:tcPr>
          <w:p>
            <w:pPr>
              <w:pStyle w:val="TableParagraph"/>
              <w:ind w:left="292"/>
              <w:jc w:val="left"/>
              <w:rPr>
                <w:sz w:val="15"/>
              </w:rPr>
            </w:pPr>
            <w:r>
              <w:rPr>
                <w:sz w:val="15"/>
              </w:rPr>
              <w:t>SE</w:t>
            </w:r>
          </w:p>
        </w:tc>
        <w:tc>
          <w:tcPr>
            <w:tcW w:w="699" w:type="dxa"/>
          </w:tcPr>
          <w:p>
            <w:pPr>
              <w:pStyle w:val="TableParagraph"/>
              <w:ind w:left="305"/>
              <w:jc w:val="left"/>
              <w:rPr>
                <w:sz w:val="15"/>
              </w:rPr>
            </w:pPr>
            <w:r>
              <w:rPr>
                <w:w w:val="100"/>
                <w:sz w:val="15"/>
              </w:rPr>
              <w:t>E</w:t>
            </w:r>
          </w:p>
        </w:tc>
        <w:tc>
          <w:tcPr>
            <w:tcW w:w="706" w:type="dxa"/>
          </w:tcPr>
          <w:p>
            <w:pPr>
              <w:pStyle w:val="TableParagraph"/>
              <w:ind w:left="107" w:right="95"/>
              <w:rPr>
                <w:sz w:val="15"/>
              </w:rPr>
            </w:pPr>
            <w:r>
              <w:rPr>
                <w:sz w:val="15"/>
              </w:rPr>
              <w:t>SE</w:t>
            </w:r>
          </w:p>
        </w:tc>
      </w:tr>
      <w:tr>
        <w:tblPrEx>
          <w:tblW w:w="0" w:type="auto"/>
          <w:jc w:val="left"/>
          <w:tblInd w:w="110" w:type="dxa"/>
          <w:tblLayout w:type="fixed"/>
          <w:tblCellMar>
            <w:top w:w="0" w:type="dxa"/>
            <w:left w:w="0" w:type="dxa"/>
            <w:bottom w:w="0" w:type="dxa"/>
            <w:right w:w="0" w:type="dxa"/>
          </w:tblCellMar>
          <w:tblLook w:val="01E0"/>
        </w:tblPrEx>
        <w:trPr>
          <w:trHeight w:val="313"/>
          <w:jc w:val="left"/>
        </w:trPr>
        <w:tc>
          <w:tcPr>
            <w:tcW w:w="516" w:type="dxa"/>
            <w:vMerge/>
            <w:tcBorders>
              <w:top w:val="nil"/>
            </w:tcBorders>
          </w:tcPr>
          <w:p>
            <w:pPr>
              <w:rPr>
                <w:sz w:val="2"/>
                <w:szCs w:val="2"/>
              </w:rPr>
            </w:pPr>
          </w:p>
        </w:tc>
        <w:tc>
          <w:tcPr>
            <w:tcW w:w="1039" w:type="dxa"/>
          </w:tcPr>
          <w:p>
            <w:pPr>
              <w:pStyle w:val="TableParagraph"/>
              <w:spacing w:before="63"/>
              <w:ind w:left="90" w:right="81"/>
              <w:rPr>
                <w:rFonts w:ascii="宋体" w:eastAsia="宋体" w:hint="eastAsia"/>
                <w:sz w:val="15"/>
              </w:rPr>
            </w:pPr>
            <w:r>
              <w:rPr>
                <w:rFonts w:ascii="宋体" w:eastAsia="宋体" w:hint="eastAsia"/>
                <w:sz w:val="15"/>
              </w:rPr>
              <w:t>风速（</w:t>
            </w:r>
            <w:r>
              <w:rPr>
                <w:sz w:val="15"/>
              </w:rPr>
              <w:t>m/s</w:t>
            </w:r>
            <w:r>
              <w:rPr>
                <w:rFonts w:ascii="宋体" w:eastAsia="宋体" w:hint="eastAsia"/>
                <w:sz w:val="15"/>
              </w:rPr>
              <w:t>）</w:t>
            </w:r>
          </w:p>
        </w:tc>
        <w:tc>
          <w:tcPr>
            <w:tcW w:w="701" w:type="dxa"/>
          </w:tcPr>
          <w:p>
            <w:pPr>
              <w:pStyle w:val="TableParagraph"/>
              <w:spacing w:before="71"/>
              <w:ind w:left="229" w:right="219"/>
              <w:rPr>
                <w:sz w:val="15"/>
              </w:rPr>
            </w:pPr>
            <w:r>
              <w:rPr>
                <w:sz w:val="15"/>
              </w:rPr>
              <w:t>0.9</w:t>
            </w:r>
          </w:p>
        </w:tc>
        <w:tc>
          <w:tcPr>
            <w:tcW w:w="699" w:type="dxa"/>
          </w:tcPr>
          <w:p>
            <w:pPr>
              <w:pStyle w:val="TableParagraph"/>
              <w:spacing w:before="71"/>
              <w:ind w:left="102" w:right="95"/>
              <w:rPr>
                <w:sz w:val="15"/>
              </w:rPr>
            </w:pPr>
            <w:r>
              <w:rPr>
                <w:sz w:val="15"/>
              </w:rPr>
              <w:t>1.8</w:t>
            </w:r>
          </w:p>
        </w:tc>
        <w:tc>
          <w:tcPr>
            <w:tcW w:w="696" w:type="dxa"/>
          </w:tcPr>
          <w:p>
            <w:pPr>
              <w:pStyle w:val="TableParagraph"/>
              <w:spacing w:before="71"/>
              <w:ind w:left="99" w:right="94"/>
              <w:rPr>
                <w:sz w:val="15"/>
              </w:rPr>
            </w:pPr>
            <w:r>
              <w:rPr>
                <w:sz w:val="15"/>
              </w:rPr>
              <w:t>3.0</w:t>
            </w:r>
          </w:p>
        </w:tc>
        <w:tc>
          <w:tcPr>
            <w:tcW w:w="698" w:type="dxa"/>
          </w:tcPr>
          <w:p>
            <w:pPr>
              <w:pStyle w:val="TableParagraph"/>
              <w:spacing w:before="71"/>
              <w:ind w:left="98" w:right="92"/>
              <w:rPr>
                <w:sz w:val="15"/>
              </w:rPr>
            </w:pPr>
            <w:r>
              <w:rPr>
                <w:sz w:val="15"/>
              </w:rPr>
              <w:t>2.7</w:t>
            </w:r>
          </w:p>
        </w:tc>
        <w:tc>
          <w:tcPr>
            <w:tcW w:w="698" w:type="dxa"/>
          </w:tcPr>
          <w:p>
            <w:pPr>
              <w:pStyle w:val="TableParagraph"/>
              <w:spacing w:before="71"/>
              <w:ind w:left="99" w:right="92"/>
              <w:rPr>
                <w:sz w:val="15"/>
              </w:rPr>
            </w:pPr>
            <w:r>
              <w:rPr>
                <w:sz w:val="15"/>
              </w:rPr>
              <w:t>3.1</w:t>
            </w:r>
          </w:p>
        </w:tc>
        <w:tc>
          <w:tcPr>
            <w:tcW w:w="698" w:type="dxa"/>
          </w:tcPr>
          <w:p>
            <w:pPr>
              <w:pStyle w:val="TableParagraph"/>
              <w:spacing w:before="71"/>
              <w:ind w:left="101" w:right="92"/>
              <w:rPr>
                <w:sz w:val="15"/>
              </w:rPr>
            </w:pPr>
            <w:r>
              <w:rPr>
                <w:sz w:val="15"/>
              </w:rPr>
              <w:t>2.9</w:t>
            </w:r>
          </w:p>
        </w:tc>
        <w:tc>
          <w:tcPr>
            <w:tcW w:w="698" w:type="dxa"/>
          </w:tcPr>
          <w:p>
            <w:pPr>
              <w:pStyle w:val="TableParagraph"/>
              <w:spacing w:before="71"/>
              <w:ind w:left="103" w:right="92"/>
              <w:rPr>
                <w:sz w:val="15"/>
              </w:rPr>
            </w:pPr>
            <w:r>
              <w:rPr>
                <w:sz w:val="15"/>
              </w:rPr>
              <w:t>2.8</w:t>
            </w:r>
          </w:p>
        </w:tc>
        <w:tc>
          <w:tcPr>
            <w:tcW w:w="638" w:type="dxa"/>
          </w:tcPr>
          <w:p>
            <w:pPr>
              <w:pStyle w:val="TableParagraph"/>
              <w:spacing w:before="71"/>
              <w:ind w:left="166" w:right="152"/>
              <w:rPr>
                <w:sz w:val="15"/>
              </w:rPr>
            </w:pPr>
            <w:r>
              <w:rPr>
                <w:sz w:val="15"/>
              </w:rPr>
              <w:t>3.3</w:t>
            </w:r>
          </w:p>
        </w:tc>
        <w:tc>
          <w:tcPr>
            <w:tcW w:w="756" w:type="dxa"/>
          </w:tcPr>
          <w:p>
            <w:pPr>
              <w:pStyle w:val="TableParagraph"/>
              <w:spacing w:before="71"/>
              <w:ind w:left="285"/>
              <w:jc w:val="left"/>
              <w:rPr>
                <w:sz w:val="15"/>
              </w:rPr>
            </w:pPr>
            <w:r>
              <w:rPr>
                <w:sz w:val="15"/>
              </w:rPr>
              <w:t>2.4</w:t>
            </w:r>
          </w:p>
        </w:tc>
        <w:tc>
          <w:tcPr>
            <w:tcW w:w="699" w:type="dxa"/>
          </w:tcPr>
          <w:p>
            <w:pPr>
              <w:pStyle w:val="TableParagraph"/>
              <w:spacing w:before="71"/>
              <w:ind w:left="257"/>
              <w:jc w:val="left"/>
              <w:rPr>
                <w:sz w:val="15"/>
              </w:rPr>
            </w:pPr>
            <w:r>
              <w:rPr>
                <w:sz w:val="15"/>
              </w:rPr>
              <w:t>1.8</w:t>
            </w:r>
          </w:p>
        </w:tc>
        <w:tc>
          <w:tcPr>
            <w:tcW w:w="706" w:type="dxa"/>
          </w:tcPr>
          <w:p>
            <w:pPr>
              <w:pStyle w:val="TableParagraph"/>
              <w:spacing w:before="71"/>
              <w:ind w:left="108" w:right="95"/>
              <w:rPr>
                <w:sz w:val="15"/>
              </w:rPr>
            </w:pPr>
            <w:r>
              <w:rPr>
                <w:sz w:val="15"/>
              </w:rPr>
              <w:t>3.4</w:t>
            </w:r>
          </w:p>
        </w:tc>
      </w:tr>
    </w:tbl>
    <w:p>
      <w:pPr>
        <w:spacing w:after="0"/>
        <w:rPr>
          <w:sz w:val="15"/>
        </w:rPr>
        <w:sectPr>
          <w:footerReference w:type="default" r:id="rId17"/>
          <w:pgSz w:w="11910" w:h="16840"/>
          <w:pgMar w:top="1460" w:right="1080" w:bottom="1600" w:left="1340" w:header="0" w:footer="1403"/>
          <w:pgNumType w:start="8"/>
          <w:cols w:space="708"/>
        </w:sectPr>
      </w:pPr>
    </w:p>
    <w:tbl>
      <w:tblPr>
        <w:tblStyle w:val="TableNormal3"/>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6"/>
        <w:gridCol w:w="1039"/>
        <w:gridCol w:w="701"/>
        <w:gridCol w:w="699"/>
        <w:gridCol w:w="696"/>
        <w:gridCol w:w="698"/>
        <w:gridCol w:w="698"/>
        <w:gridCol w:w="698"/>
        <w:gridCol w:w="698"/>
        <w:gridCol w:w="638"/>
        <w:gridCol w:w="756"/>
        <w:gridCol w:w="699"/>
        <w:gridCol w:w="706"/>
      </w:tblGrid>
      <w:tr>
        <w:tblPrEx>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1"/>
          <w:jc w:val="left"/>
        </w:trPr>
        <w:tc>
          <w:tcPr>
            <w:tcW w:w="516" w:type="dxa"/>
            <w:vMerge w:val="restart"/>
            <w:tcBorders>
              <w:top w:val="nil"/>
            </w:tcBorders>
          </w:tcPr>
          <w:p>
            <w:pPr>
              <w:pStyle w:val="TableParagraph"/>
              <w:spacing w:before="3"/>
              <w:jc w:val="left"/>
              <w:rPr>
                <w:rFonts w:ascii="黑体"/>
                <w:sz w:val="17"/>
              </w:rPr>
            </w:pPr>
          </w:p>
          <w:p>
            <w:pPr>
              <w:pStyle w:val="TableParagraph"/>
              <w:spacing w:before="1"/>
              <w:ind w:left="107"/>
              <w:jc w:val="left"/>
              <w:rPr>
                <w:rFonts w:ascii="宋体" w:eastAsia="宋体" w:hint="eastAsia"/>
                <w:sz w:val="15"/>
              </w:rPr>
            </w:pPr>
            <w:r>
              <w:rPr>
                <w:rFonts w:ascii="宋体" w:eastAsia="宋体" w:hint="eastAsia"/>
                <w:sz w:val="15"/>
              </w:rPr>
              <w:t>夏季</w:t>
            </w:r>
          </w:p>
        </w:tc>
        <w:tc>
          <w:tcPr>
            <w:tcW w:w="1039" w:type="dxa"/>
            <w:tcBorders>
              <w:top w:val="nil"/>
            </w:tcBorders>
          </w:tcPr>
          <w:p>
            <w:pPr>
              <w:pStyle w:val="TableParagraph"/>
              <w:spacing w:before="61"/>
              <w:ind w:left="90" w:right="78"/>
              <w:rPr>
                <w:rFonts w:ascii="宋体" w:eastAsia="宋体" w:hint="eastAsia"/>
                <w:sz w:val="15"/>
              </w:rPr>
            </w:pPr>
            <w:r>
              <w:rPr>
                <w:rFonts w:ascii="宋体" w:eastAsia="宋体" w:hint="eastAsia"/>
                <w:sz w:val="15"/>
              </w:rPr>
              <w:t>风向</w:t>
            </w:r>
          </w:p>
        </w:tc>
        <w:tc>
          <w:tcPr>
            <w:tcW w:w="701" w:type="dxa"/>
            <w:tcBorders>
              <w:top w:val="nil"/>
            </w:tcBorders>
          </w:tcPr>
          <w:p>
            <w:pPr>
              <w:pStyle w:val="TableParagraph"/>
              <w:ind w:left="203"/>
              <w:jc w:val="left"/>
              <w:rPr>
                <w:sz w:val="15"/>
              </w:rPr>
            </w:pPr>
            <w:r>
              <w:rPr>
                <w:sz w:val="15"/>
              </w:rPr>
              <w:t>ENE</w:t>
            </w:r>
          </w:p>
        </w:tc>
        <w:tc>
          <w:tcPr>
            <w:tcW w:w="699" w:type="dxa"/>
            <w:tcBorders>
              <w:top w:val="nil"/>
            </w:tcBorders>
          </w:tcPr>
          <w:p>
            <w:pPr>
              <w:pStyle w:val="TableParagraph"/>
              <w:ind w:left="7"/>
              <w:rPr>
                <w:sz w:val="15"/>
              </w:rPr>
            </w:pPr>
            <w:r>
              <w:rPr>
                <w:w w:val="100"/>
                <w:sz w:val="15"/>
              </w:rPr>
              <w:t>E</w:t>
            </w:r>
          </w:p>
        </w:tc>
        <w:tc>
          <w:tcPr>
            <w:tcW w:w="696" w:type="dxa"/>
            <w:tcBorders>
              <w:top w:val="nil"/>
            </w:tcBorders>
          </w:tcPr>
          <w:p>
            <w:pPr>
              <w:pStyle w:val="TableParagraph"/>
              <w:ind w:left="101" w:right="94"/>
              <w:rPr>
                <w:sz w:val="15"/>
              </w:rPr>
            </w:pPr>
            <w:r>
              <w:rPr>
                <w:sz w:val="15"/>
              </w:rPr>
              <w:t>ENE</w:t>
            </w:r>
          </w:p>
        </w:tc>
        <w:tc>
          <w:tcPr>
            <w:tcW w:w="698" w:type="dxa"/>
            <w:tcBorders>
              <w:top w:val="nil"/>
            </w:tcBorders>
          </w:tcPr>
          <w:p>
            <w:pPr>
              <w:pStyle w:val="TableParagraph"/>
              <w:ind w:left="218"/>
              <w:jc w:val="left"/>
              <w:rPr>
                <w:sz w:val="15"/>
              </w:rPr>
            </w:pPr>
            <w:r>
              <w:rPr>
                <w:sz w:val="15"/>
              </w:rPr>
              <w:t>SSE</w:t>
            </w:r>
          </w:p>
        </w:tc>
        <w:tc>
          <w:tcPr>
            <w:tcW w:w="698" w:type="dxa"/>
            <w:tcBorders>
              <w:top w:val="nil"/>
            </w:tcBorders>
          </w:tcPr>
          <w:p>
            <w:pPr>
              <w:pStyle w:val="TableParagraph"/>
              <w:ind w:left="216"/>
              <w:jc w:val="left"/>
              <w:rPr>
                <w:sz w:val="15"/>
              </w:rPr>
            </w:pPr>
            <w:r>
              <w:rPr>
                <w:sz w:val="15"/>
              </w:rPr>
              <w:t>ESE</w:t>
            </w:r>
          </w:p>
        </w:tc>
        <w:tc>
          <w:tcPr>
            <w:tcW w:w="698" w:type="dxa"/>
            <w:tcBorders>
              <w:top w:val="nil"/>
            </w:tcBorders>
          </w:tcPr>
          <w:p>
            <w:pPr>
              <w:pStyle w:val="TableParagraph"/>
              <w:ind w:left="102" w:right="92"/>
              <w:rPr>
                <w:sz w:val="15"/>
              </w:rPr>
            </w:pPr>
            <w:r>
              <w:rPr>
                <w:sz w:val="15"/>
              </w:rPr>
              <w:t>ESE</w:t>
            </w:r>
          </w:p>
        </w:tc>
        <w:tc>
          <w:tcPr>
            <w:tcW w:w="698" w:type="dxa"/>
            <w:tcBorders>
              <w:top w:val="nil"/>
            </w:tcBorders>
          </w:tcPr>
          <w:p>
            <w:pPr>
              <w:pStyle w:val="TableParagraph"/>
              <w:ind w:left="103" w:right="89"/>
              <w:rPr>
                <w:sz w:val="15"/>
              </w:rPr>
            </w:pPr>
            <w:r>
              <w:rPr>
                <w:sz w:val="15"/>
              </w:rPr>
              <w:t>SE</w:t>
            </w:r>
          </w:p>
        </w:tc>
        <w:tc>
          <w:tcPr>
            <w:tcW w:w="638" w:type="dxa"/>
            <w:tcBorders>
              <w:top w:val="nil"/>
            </w:tcBorders>
          </w:tcPr>
          <w:p>
            <w:pPr>
              <w:pStyle w:val="TableParagraph"/>
              <w:ind w:left="234"/>
              <w:jc w:val="left"/>
              <w:rPr>
                <w:sz w:val="15"/>
              </w:rPr>
            </w:pPr>
            <w:r>
              <w:rPr>
                <w:sz w:val="15"/>
              </w:rPr>
              <w:t>SE</w:t>
            </w:r>
          </w:p>
        </w:tc>
        <w:tc>
          <w:tcPr>
            <w:tcW w:w="756" w:type="dxa"/>
          </w:tcPr>
          <w:p>
            <w:pPr>
              <w:pStyle w:val="TableParagraph"/>
              <w:ind w:left="338"/>
              <w:jc w:val="left"/>
              <w:rPr>
                <w:sz w:val="15"/>
              </w:rPr>
            </w:pPr>
            <w:r>
              <w:rPr>
                <w:w w:val="100"/>
                <w:sz w:val="15"/>
              </w:rPr>
              <w:t>S</w:t>
            </w:r>
          </w:p>
        </w:tc>
        <w:tc>
          <w:tcPr>
            <w:tcW w:w="699" w:type="dxa"/>
            <w:tcBorders>
              <w:top w:val="nil"/>
            </w:tcBorders>
          </w:tcPr>
          <w:p>
            <w:pPr>
              <w:pStyle w:val="TableParagraph"/>
              <w:ind w:left="13"/>
              <w:rPr>
                <w:sz w:val="15"/>
              </w:rPr>
            </w:pPr>
            <w:r>
              <w:rPr>
                <w:w w:val="100"/>
                <w:sz w:val="15"/>
              </w:rPr>
              <w:t>E</w:t>
            </w:r>
          </w:p>
        </w:tc>
        <w:tc>
          <w:tcPr>
            <w:tcW w:w="706" w:type="dxa"/>
          </w:tcPr>
          <w:p>
            <w:pPr>
              <w:pStyle w:val="TableParagraph"/>
              <w:ind w:left="266"/>
              <w:jc w:val="left"/>
              <w:rPr>
                <w:sz w:val="15"/>
              </w:rPr>
            </w:pPr>
            <w:r>
              <w:rPr>
                <w:sz w:val="15"/>
              </w:rPr>
              <w:t>SE</w:t>
            </w:r>
          </w:p>
        </w:tc>
      </w:tr>
      <w:tr>
        <w:tblPrEx>
          <w:tblW w:w="0" w:type="auto"/>
          <w:jc w:val="left"/>
          <w:tblInd w:w="110" w:type="dxa"/>
          <w:tblLayout w:type="fixed"/>
          <w:tblCellMar>
            <w:top w:w="0" w:type="dxa"/>
            <w:left w:w="0" w:type="dxa"/>
            <w:bottom w:w="0" w:type="dxa"/>
            <w:right w:w="0" w:type="dxa"/>
          </w:tblCellMar>
          <w:tblLook w:val="01E0"/>
        </w:tblPrEx>
        <w:trPr>
          <w:trHeight w:val="312"/>
          <w:jc w:val="left"/>
        </w:trPr>
        <w:tc>
          <w:tcPr>
            <w:tcW w:w="516" w:type="dxa"/>
            <w:vMerge/>
            <w:tcBorders>
              <w:top w:val="nil"/>
            </w:tcBorders>
          </w:tcPr>
          <w:p>
            <w:pPr>
              <w:rPr>
                <w:sz w:val="2"/>
                <w:szCs w:val="2"/>
              </w:rPr>
            </w:pPr>
          </w:p>
        </w:tc>
        <w:tc>
          <w:tcPr>
            <w:tcW w:w="1039" w:type="dxa"/>
          </w:tcPr>
          <w:p>
            <w:pPr>
              <w:pStyle w:val="TableParagraph"/>
              <w:spacing w:before="61"/>
              <w:ind w:left="90" w:right="81"/>
              <w:rPr>
                <w:rFonts w:ascii="宋体" w:eastAsia="宋体" w:hint="eastAsia"/>
                <w:sz w:val="15"/>
              </w:rPr>
            </w:pPr>
            <w:r>
              <w:rPr>
                <w:rFonts w:ascii="宋体" w:eastAsia="宋体" w:hint="eastAsia"/>
                <w:sz w:val="15"/>
              </w:rPr>
              <w:t>风速（</w:t>
            </w:r>
            <w:r>
              <w:rPr>
                <w:sz w:val="15"/>
              </w:rPr>
              <w:t>m/s</w:t>
            </w:r>
            <w:r>
              <w:rPr>
                <w:rFonts w:ascii="宋体" w:eastAsia="宋体" w:hint="eastAsia"/>
                <w:sz w:val="15"/>
              </w:rPr>
              <w:t>）</w:t>
            </w:r>
          </w:p>
        </w:tc>
        <w:tc>
          <w:tcPr>
            <w:tcW w:w="701" w:type="dxa"/>
          </w:tcPr>
          <w:p>
            <w:pPr>
              <w:pStyle w:val="TableParagraph"/>
              <w:spacing w:before="69"/>
              <w:ind w:left="256"/>
              <w:jc w:val="left"/>
              <w:rPr>
                <w:sz w:val="15"/>
              </w:rPr>
            </w:pPr>
            <w:r>
              <w:rPr>
                <w:sz w:val="15"/>
              </w:rPr>
              <w:t>0.9</w:t>
            </w:r>
          </w:p>
        </w:tc>
        <w:tc>
          <w:tcPr>
            <w:tcW w:w="699" w:type="dxa"/>
          </w:tcPr>
          <w:p>
            <w:pPr>
              <w:pStyle w:val="TableParagraph"/>
              <w:spacing w:before="69"/>
              <w:ind w:left="102" w:right="95"/>
              <w:rPr>
                <w:sz w:val="15"/>
              </w:rPr>
            </w:pPr>
            <w:r>
              <w:rPr>
                <w:sz w:val="15"/>
              </w:rPr>
              <w:t>1.7</w:t>
            </w:r>
          </w:p>
        </w:tc>
        <w:tc>
          <w:tcPr>
            <w:tcW w:w="696" w:type="dxa"/>
          </w:tcPr>
          <w:p>
            <w:pPr>
              <w:pStyle w:val="TableParagraph"/>
              <w:spacing w:before="69"/>
              <w:ind w:left="99" w:right="94"/>
              <w:rPr>
                <w:sz w:val="15"/>
              </w:rPr>
            </w:pPr>
            <w:r>
              <w:rPr>
                <w:sz w:val="15"/>
              </w:rPr>
              <w:t>3.1</w:t>
            </w:r>
          </w:p>
        </w:tc>
        <w:tc>
          <w:tcPr>
            <w:tcW w:w="698" w:type="dxa"/>
          </w:tcPr>
          <w:p>
            <w:pPr>
              <w:pStyle w:val="TableParagraph"/>
              <w:spacing w:before="69"/>
              <w:ind w:left="254"/>
              <w:jc w:val="left"/>
              <w:rPr>
                <w:sz w:val="15"/>
              </w:rPr>
            </w:pPr>
            <w:r>
              <w:rPr>
                <w:sz w:val="15"/>
              </w:rPr>
              <w:t>2.5</w:t>
            </w:r>
          </w:p>
        </w:tc>
        <w:tc>
          <w:tcPr>
            <w:tcW w:w="698" w:type="dxa"/>
          </w:tcPr>
          <w:p>
            <w:pPr>
              <w:pStyle w:val="TableParagraph"/>
              <w:spacing w:before="69"/>
              <w:ind w:left="254"/>
              <w:jc w:val="left"/>
              <w:rPr>
                <w:sz w:val="15"/>
              </w:rPr>
            </w:pPr>
            <w:r>
              <w:rPr>
                <w:sz w:val="15"/>
              </w:rPr>
              <w:t>3.2</w:t>
            </w:r>
          </w:p>
        </w:tc>
        <w:tc>
          <w:tcPr>
            <w:tcW w:w="698" w:type="dxa"/>
          </w:tcPr>
          <w:p>
            <w:pPr>
              <w:pStyle w:val="TableParagraph"/>
              <w:spacing w:before="69"/>
              <w:ind w:left="101" w:right="92"/>
              <w:rPr>
                <w:sz w:val="15"/>
              </w:rPr>
            </w:pPr>
            <w:r>
              <w:rPr>
                <w:sz w:val="15"/>
              </w:rPr>
              <w:t>2.7</w:t>
            </w:r>
          </w:p>
        </w:tc>
        <w:tc>
          <w:tcPr>
            <w:tcW w:w="698" w:type="dxa"/>
          </w:tcPr>
          <w:p>
            <w:pPr>
              <w:pStyle w:val="TableParagraph"/>
              <w:spacing w:before="69"/>
              <w:ind w:left="102" w:right="92"/>
              <w:rPr>
                <w:sz w:val="15"/>
              </w:rPr>
            </w:pPr>
            <w:r>
              <w:rPr>
                <w:sz w:val="15"/>
              </w:rPr>
              <w:t>2.6</w:t>
            </w:r>
          </w:p>
        </w:tc>
        <w:tc>
          <w:tcPr>
            <w:tcW w:w="638" w:type="dxa"/>
          </w:tcPr>
          <w:p>
            <w:pPr>
              <w:pStyle w:val="TableParagraph"/>
              <w:spacing w:before="69"/>
              <w:ind w:left="227"/>
              <w:jc w:val="left"/>
              <w:rPr>
                <w:sz w:val="15"/>
              </w:rPr>
            </w:pPr>
            <w:r>
              <w:rPr>
                <w:sz w:val="15"/>
              </w:rPr>
              <w:t>3.6</w:t>
            </w:r>
          </w:p>
        </w:tc>
        <w:tc>
          <w:tcPr>
            <w:tcW w:w="756" w:type="dxa"/>
          </w:tcPr>
          <w:p>
            <w:pPr>
              <w:pStyle w:val="TableParagraph"/>
              <w:spacing w:before="69"/>
              <w:ind w:left="285"/>
              <w:jc w:val="left"/>
              <w:rPr>
                <w:sz w:val="15"/>
              </w:rPr>
            </w:pPr>
            <w:r>
              <w:rPr>
                <w:sz w:val="15"/>
              </w:rPr>
              <w:t>3.0</w:t>
            </w:r>
          </w:p>
        </w:tc>
        <w:tc>
          <w:tcPr>
            <w:tcW w:w="699" w:type="dxa"/>
          </w:tcPr>
          <w:p>
            <w:pPr>
              <w:pStyle w:val="TableParagraph"/>
              <w:spacing w:before="69"/>
              <w:ind w:left="103" w:right="92"/>
              <w:rPr>
                <w:sz w:val="15"/>
              </w:rPr>
            </w:pPr>
            <w:r>
              <w:rPr>
                <w:sz w:val="15"/>
              </w:rPr>
              <w:t>1.5</w:t>
            </w:r>
          </w:p>
        </w:tc>
        <w:tc>
          <w:tcPr>
            <w:tcW w:w="706" w:type="dxa"/>
          </w:tcPr>
          <w:p>
            <w:pPr>
              <w:pStyle w:val="TableParagraph"/>
              <w:spacing w:before="69"/>
              <w:ind w:left="261"/>
              <w:jc w:val="left"/>
              <w:rPr>
                <w:sz w:val="15"/>
              </w:rPr>
            </w:pPr>
            <w:r>
              <w:rPr>
                <w:sz w:val="15"/>
              </w:rPr>
              <w:t>3.2</w:t>
            </w:r>
          </w:p>
        </w:tc>
      </w:tr>
      <w:tr>
        <w:tblPrEx>
          <w:tblW w:w="0" w:type="auto"/>
          <w:jc w:val="left"/>
          <w:tblInd w:w="110" w:type="dxa"/>
          <w:tblLayout w:type="fixed"/>
          <w:tblCellMar>
            <w:top w:w="0" w:type="dxa"/>
            <w:left w:w="0" w:type="dxa"/>
            <w:bottom w:w="0" w:type="dxa"/>
            <w:right w:w="0" w:type="dxa"/>
          </w:tblCellMar>
          <w:tblLook w:val="01E0"/>
        </w:tblPrEx>
        <w:trPr>
          <w:trHeight w:val="311"/>
          <w:jc w:val="left"/>
        </w:trPr>
        <w:tc>
          <w:tcPr>
            <w:tcW w:w="516" w:type="dxa"/>
            <w:vMerge w:val="restart"/>
          </w:tcPr>
          <w:p>
            <w:pPr>
              <w:pStyle w:val="TableParagraph"/>
              <w:spacing w:before="6"/>
              <w:jc w:val="left"/>
              <w:rPr>
                <w:rFonts w:ascii="黑体"/>
                <w:sz w:val="17"/>
              </w:rPr>
            </w:pPr>
          </w:p>
          <w:p>
            <w:pPr>
              <w:pStyle w:val="TableParagraph"/>
              <w:spacing w:before="0"/>
              <w:ind w:left="107"/>
              <w:jc w:val="left"/>
              <w:rPr>
                <w:rFonts w:ascii="宋体" w:eastAsia="宋体" w:hint="eastAsia"/>
                <w:sz w:val="15"/>
              </w:rPr>
            </w:pPr>
            <w:r>
              <w:rPr>
                <w:rFonts w:ascii="宋体" w:eastAsia="宋体" w:hint="eastAsia"/>
                <w:sz w:val="15"/>
              </w:rPr>
              <w:t>秋季</w:t>
            </w:r>
          </w:p>
        </w:tc>
        <w:tc>
          <w:tcPr>
            <w:tcW w:w="1039" w:type="dxa"/>
          </w:tcPr>
          <w:p>
            <w:pPr>
              <w:pStyle w:val="TableParagraph"/>
              <w:spacing w:before="61"/>
              <w:ind w:left="90" w:right="78"/>
              <w:rPr>
                <w:rFonts w:ascii="宋体" w:eastAsia="宋体" w:hint="eastAsia"/>
                <w:sz w:val="15"/>
              </w:rPr>
            </w:pPr>
            <w:r>
              <w:rPr>
                <w:rFonts w:ascii="宋体" w:eastAsia="宋体" w:hint="eastAsia"/>
                <w:sz w:val="15"/>
              </w:rPr>
              <w:t>风向</w:t>
            </w:r>
          </w:p>
        </w:tc>
        <w:tc>
          <w:tcPr>
            <w:tcW w:w="701" w:type="dxa"/>
          </w:tcPr>
          <w:p>
            <w:pPr>
              <w:pStyle w:val="TableParagraph"/>
              <w:ind w:left="249"/>
              <w:jc w:val="left"/>
              <w:rPr>
                <w:sz w:val="15"/>
              </w:rPr>
            </w:pPr>
            <w:r>
              <w:rPr>
                <w:sz w:val="15"/>
              </w:rPr>
              <w:t>NE</w:t>
            </w:r>
          </w:p>
        </w:tc>
        <w:tc>
          <w:tcPr>
            <w:tcW w:w="699" w:type="dxa"/>
          </w:tcPr>
          <w:p>
            <w:pPr>
              <w:pStyle w:val="TableParagraph"/>
              <w:ind w:left="103" w:right="95"/>
              <w:rPr>
                <w:sz w:val="15"/>
              </w:rPr>
            </w:pPr>
            <w:r>
              <w:rPr>
                <w:sz w:val="15"/>
              </w:rPr>
              <w:t>ENE</w:t>
            </w:r>
          </w:p>
        </w:tc>
        <w:tc>
          <w:tcPr>
            <w:tcW w:w="696" w:type="dxa"/>
          </w:tcPr>
          <w:p>
            <w:pPr>
              <w:pStyle w:val="TableParagraph"/>
              <w:ind w:left="101" w:right="94"/>
              <w:rPr>
                <w:sz w:val="15"/>
              </w:rPr>
            </w:pPr>
            <w:r>
              <w:rPr>
                <w:sz w:val="15"/>
              </w:rPr>
              <w:t>ENE</w:t>
            </w:r>
          </w:p>
        </w:tc>
        <w:tc>
          <w:tcPr>
            <w:tcW w:w="698" w:type="dxa"/>
          </w:tcPr>
          <w:p>
            <w:pPr>
              <w:pStyle w:val="TableParagraph"/>
              <w:ind w:left="249"/>
              <w:jc w:val="left"/>
              <w:rPr>
                <w:sz w:val="15"/>
              </w:rPr>
            </w:pPr>
            <w:r>
              <w:rPr>
                <w:sz w:val="15"/>
              </w:rPr>
              <w:t>NE</w:t>
            </w:r>
          </w:p>
        </w:tc>
        <w:tc>
          <w:tcPr>
            <w:tcW w:w="698" w:type="dxa"/>
          </w:tcPr>
          <w:p>
            <w:pPr>
              <w:pStyle w:val="TableParagraph"/>
              <w:ind w:left="249"/>
              <w:jc w:val="left"/>
              <w:rPr>
                <w:sz w:val="15"/>
              </w:rPr>
            </w:pPr>
            <w:r>
              <w:rPr>
                <w:sz w:val="15"/>
              </w:rPr>
              <w:t>NE</w:t>
            </w:r>
          </w:p>
        </w:tc>
        <w:tc>
          <w:tcPr>
            <w:tcW w:w="698" w:type="dxa"/>
          </w:tcPr>
          <w:p>
            <w:pPr>
              <w:pStyle w:val="TableParagraph"/>
              <w:ind w:left="10"/>
              <w:rPr>
                <w:sz w:val="15"/>
              </w:rPr>
            </w:pPr>
            <w:r>
              <w:rPr>
                <w:w w:val="100"/>
                <w:sz w:val="15"/>
              </w:rPr>
              <w:t>E</w:t>
            </w:r>
          </w:p>
        </w:tc>
        <w:tc>
          <w:tcPr>
            <w:tcW w:w="698" w:type="dxa"/>
          </w:tcPr>
          <w:p>
            <w:pPr>
              <w:pStyle w:val="TableParagraph"/>
              <w:ind w:left="102" w:right="92"/>
              <w:rPr>
                <w:sz w:val="15"/>
              </w:rPr>
            </w:pPr>
            <w:r>
              <w:rPr>
                <w:sz w:val="15"/>
              </w:rPr>
              <w:t>NNE</w:t>
            </w:r>
          </w:p>
        </w:tc>
        <w:tc>
          <w:tcPr>
            <w:tcW w:w="638" w:type="dxa"/>
          </w:tcPr>
          <w:p>
            <w:pPr>
              <w:pStyle w:val="TableParagraph"/>
              <w:ind w:left="222"/>
              <w:jc w:val="left"/>
              <w:rPr>
                <w:sz w:val="15"/>
              </w:rPr>
            </w:pPr>
            <w:r>
              <w:rPr>
                <w:sz w:val="15"/>
              </w:rPr>
              <w:t>NE</w:t>
            </w:r>
          </w:p>
        </w:tc>
        <w:tc>
          <w:tcPr>
            <w:tcW w:w="756" w:type="dxa"/>
          </w:tcPr>
          <w:p>
            <w:pPr>
              <w:pStyle w:val="TableParagraph"/>
              <w:ind w:left="326"/>
              <w:jc w:val="left"/>
              <w:rPr>
                <w:sz w:val="15"/>
              </w:rPr>
            </w:pPr>
            <w:r>
              <w:rPr>
                <w:w w:val="100"/>
                <w:sz w:val="15"/>
              </w:rPr>
              <w:t>N</w:t>
            </w:r>
          </w:p>
        </w:tc>
        <w:tc>
          <w:tcPr>
            <w:tcW w:w="699" w:type="dxa"/>
          </w:tcPr>
          <w:p>
            <w:pPr>
              <w:pStyle w:val="TableParagraph"/>
              <w:ind w:left="103" w:right="89"/>
              <w:rPr>
                <w:sz w:val="15"/>
              </w:rPr>
            </w:pPr>
            <w:r>
              <w:rPr>
                <w:sz w:val="15"/>
              </w:rPr>
              <w:t>ENE</w:t>
            </w:r>
          </w:p>
        </w:tc>
        <w:tc>
          <w:tcPr>
            <w:tcW w:w="706" w:type="dxa"/>
          </w:tcPr>
          <w:p>
            <w:pPr>
              <w:pStyle w:val="TableParagraph"/>
              <w:ind w:left="299"/>
              <w:jc w:val="left"/>
              <w:rPr>
                <w:sz w:val="15"/>
              </w:rPr>
            </w:pPr>
            <w:r>
              <w:rPr>
                <w:w w:val="100"/>
                <w:sz w:val="15"/>
              </w:rPr>
              <w:t>N</w:t>
            </w:r>
          </w:p>
        </w:tc>
      </w:tr>
      <w:tr>
        <w:tblPrEx>
          <w:tblW w:w="0" w:type="auto"/>
          <w:jc w:val="left"/>
          <w:tblInd w:w="110" w:type="dxa"/>
          <w:tblLayout w:type="fixed"/>
          <w:tblCellMar>
            <w:top w:w="0" w:type="dxa"/>
            <w:left w:w="0" w:type="dxa"/>
            <w:bottom w:w="0" w:type="dxa"/>
            <w:right w:w="0" w:type="dxa"/>
          </w:tblCellMar>
          <w:tblLook w:val="01E0"/>
        </w:tblPrEx>
        <w:trPr>
          <w:trHeight w:val="313"/>
          <w:jc w:val="left"/>
        </w:trPr>
        <w:tc>
          <w:tcPr>
            <w:tcW w:w="516" w:type="dxa"/>
            <w:vMerge/>
            <w:tcBorders>
              <w:top w:val="nil"/>
            </w:tcBorders>
          </w:tcPr>
          <w:p>
            <w:pPr>
              <w:rPr>
                <w:sz w:val="2"/>
                <w:szCs w:val="2"/>
              </w:rPr>
            </w:pPr>
          </w:p>
        </w:tc>
        <w:tc>
          <w:tcPr>
            <w:tcW w:w="1039" w:type="dxa"/>
          </w:tcPr>
          <w:p>
            <w:pPr>
              <w:pStyle w:val="TableParagraph"/>
              <w:spacing w:before="63"/>
              <w:ind w:left="90" w:right="81"/>
              <w:rPr>
                <w:rFonts w:ascii="宋体" w:eastAsia="宋体" w:hint="eastAsia"/>
                <w:sz w:val="15"/>
              </w:rPr>
            </w:pPr>
            <w:r>
              <w:rPr>
                <w:rFonts w:ascii="宋体" w:eastAsia="宋体" w:hint="eastAsia"/>
                <w:sz w:val="15"/>
              </w:rPr>
              <w:t>风速（</w:t>
            </w:r>
            <w:r>
              <w:rPr>
                <w:sz w:val="15"/>
              </w:rPr>
              <w:t>m/s</w:t>
            </w:r>
            <w:r>
              <w:rPr>
                <w:rFonts w:ascii="宋体" w:eastAsia="宋体" w:hint="eastAsia"/>
                <w:sz w:val="15"/>
              </w:rPr>
              <w:t>）</w:t>
            </w:r>
          </w:p>
        </w:tc>
        <w:tc>
          <w:tcPr>
            <w:tcW w:w="701" w:type="dxa"/>
          </w:tcPr>
          <w:p>
            <w:pPr>
              <w:pStyle w:val="TableParagraph"/>
              <w:spacing w:before="71"/>
              <w:ind w:left="256"/>
              <w:jc w:val="left"/>
              <w:rPr>
                <w:sz w:val="15"/>
              </w:rPr>
            </w:pPr>
            <w:r>
              <w:rPr>
                <w:sz w:val="15"/>
              </w:rPr>
              <w:t>0.9</w:t>
            </w:r>
          </w:p>
        </w:tc>
        <w:tc>
          <w:tcPr>
            <w:tcW w:w="699" w:type="dxa"/>
          </w:tcPr>
          <w:p>
            <w:pPr>
              <w:pStyle w:val="TableParagraph"/>
              <w:spacing w:before="71"/>
              <w:ind w:left="102" w:right="95"/>
              <w:rPr>
                <w:sz w:val="15"/>
              </w:rPr>
            </w:pPr>
            <w:r>
              <w:rPr>
                <w:sz w:val="15"/>
              </w:rPr>
              <w:t>1.6</w:t>
            </w:r>
          </w:p>
        </w:tc>
        <w:tc>
          <w:tcPr>
            <w:tcW w:w="696" w:type="dxa"/>
          </w:tcPr>
          <w:p>
            <w:pPr>
              <w:pStyle w:val="TableParagraph"/>
              <w:spacing w:before="71"/>
              <w:ind w:left="99" w:right="94"/>
              <w:rPr>
                <w:sz w:val="15"/>
              </w:rPr>
            </w:pPr>
            <w:r>
              <w:rPr>
                <w:sz w:val="15"/>
              </w:rPr>
              <w:t>2.8</w:t>
            </w:r>
          </w:p>
        </w:tc>
        <w:tc>
          <w:tcPr>
            <w:tcW w:w="698" w:type="dxa"/>
          </w:tcPr>
          <w:p>
            <w:pPr>
              <w:pStyle w:val="TableParagraph"/>
              <w:spacing w:before="71"/>
              <w:ind w:left="254"/>
              <w:jc w:val="left"/>
              <w:rPr>
                <w:sz w:val="15"/>
              </w:rPr>
            </w:pPr>
            <w:r>
              <w:rPr>
                <w:sz w:val="15"/>
              </w:rPr>
              <w:t>2.0</w:t>
            </w:r>
          </w:p>
        </w:tc>
        <w:tc>
          <w:tcPr>
            <w:tcW w:w="698" w:type="dxa"/>
          </w:tcPr>
          <w:p>
            <w:pPr>
              <w:pStyle w:val="TableParagraph"/>
              <w:spacing w:before="71"/>
              <w:ind w:left="254"/>
              <w:jc w:val="left"/>
              <w:rPr>
                <w:sz w:val="15"/>
              </w:rPr>
            </w:pPr>
            <w:r>
              <w:rPr>
                <w:sz w:val="15"/>
              </w:rPr>
              <w:t>2.0</w:t>
            </w:r>
          </w:p>
        </w:tc>
        <w:tc>
          <w:tcPr>
            <w:tcW w:w="698" w:type="dxa"/>
          </w:tcPr>
          <w:p>
            <w:pPr>
              <w:pStyle w:val="TableParagraph"/>
              <w:spacing w:before="71"/>
              <w:ind w:left="101" w:right="92"/>
              <w:rPr>
                <w:sz w:val="15"/>
              </w:rPr>
            </w:pPr>
            <w:r>
              <w:rPr>
                <w:sz w:val="15"/>
              </w:rPr>
              <w:t>2.0</w:t>
            </w:r>
          </w:p>
        </w:tc>
        <w:tc>
          <w:tcPr>
            <w:tcW w:w="698" w:type="dxa"/>
          </w:tcPr>
          <w:p>
            <w:pPr>
              <w:pStyle w:val="TableParagraph"/>
              <w:spacing w:before="71"/>
              <w:ind w:left="102" w:right="92"/>
              <w:rPr>
                <w:sz w:val="15"/>
              </w:rPr>
            </w:pPr>
            <w:r>
              <w:rPr>
                <w:sz w:val="15"/>
              </w:rPr>
              <w:t>2.3</w:t>
            </w:r>
          </w:p>
        </w:tc>
        <w:tc>
          <w:tcPr>
            <w:tcW w:w="638" w:type="dxa"/>
          </w:tcPr>
          <w:p>
            <w:pPr>
              <w:pStyle w:val="TableParagraph"/>
              <w:spacing w:before="71"/>
              <w:ind w:left="227"/>
              <w:jc w:val="left"/>
              <w:rPr>
                <w:sz w:val="15"/>
              </w:rPr>
            </w:pPr>
            <w:r>
              <w:rPr>
                <w:sz w:val="15"/>
              </w:rPr>
              <w:t>2.3</w:t>
            </w:r>
          </w:p>
        </w:tc>
        <w:tc>
          <w:tcPr>
            <w:tcW w:w="756" w:type="dxa"/>
          </w:tcPr>
          <w:p>
            <w:pPr>
              <w:pStyle w:val="TableParagraph"/>
              <w:spacing w:before="71"/>
              <w:ind w:left="285"/>
              <w:jc w:val="left"/>
              <w:rPr>
                <w:sz w:val="15"/>
              </w:rPr>
            </w:pPr>
            <w:r>
              <w:rPr>
                <w:sz w:val="15"/>
              </w:rPr>
              <w:t>3.3</w:t>
            </w:r>
          </w:p>
        </w:tc>
        <w:tc>
          <w:tcPr>
            <w:tcW w:w="699" w:type="dxa"/>
          </w:tcPr>
          <w:p>
            <w:pPr>
              <w:pStyle w:val="TableParagraph"/>
              <w:spacing w:before="71"/>
              <w:ind w:left="103" w:right="92"/>
              <w:rPr>
                <w:sz w:val="15"/>
              </w:rPr>
            </w:pPr>
            <w:r>
              <w:rPr>
                <w:sz w:val="15"/>
              </w:rPr>
              <w:t>1.5</w:t>
            </w:r>
          </w:p>
        </w:tc>
        <w:tc>
          <w:tcPr>
            <w:tcW w:w="706" w:type="dxa"/>
          </w:tcPr>
          <w:p>
            <w:pPr>
              <w:pStyle w:val="TableParagraph"/>
              <w:spacing w:before="71"/>
              <w:ind w:left="261"/>
              <w:jc w:val="left"/>
              <w:rPr>
                <w:sz w:val="15"/>
              </w:rPr>
            </w:pPr>
            <w:r>
              <w:rPr>
                <w:sz w:val="15"/>
              </w:rPr>
              <w:t>2.9</w:t>
            </w:r>
          </w:p>
        </w:tc>
      </w:tr>
      <w:tr>
        <w:tblPrEx>
          <w:tblW w:w="0" w:type="auto"/>
          <w:jc w:val="left"/>
          <w:tblInd w:w="110" w:type="dxa"/>
          <w:tblLayout w:type="fixed"/>
          <w:tblCellMar>
            <w:top w:w="0" w:type="dxa"/>
            <w:left w:w="0" w:type="dxa"/>
            <w:bottom w:w="0" w:type="dxa"/>
            <w:right w:w="0" w:type="dxa"/>
          </w:tblCellMar>
          <w:tblLook w:val="01E0"/>
        </w:tblPrEx>
        <w:trPr>
          <w:trHeight w:val="311"/>
          <w:jc w:val="left"/>
        </w:trPr>
        <w:tc>
          <w:tcPr>
            <w:tcW w:w="516" w:type="dxa"/>
            <w:vMerge w:val="restart"/>
          </w:tcPr>
          <w:p>
            <w:pPr>
              <w:pStyle w:val="TableParagraph"/>
              <w:spacing w:before="3"/>
              <w:jc w:val="left"/>
              <w:rPr>
                <w:rFonts w:ascii="黑体"/>
                <w:sz w:val="17"/>
              </w:rPr>
            </w:pPr>
          </w:p>
          <w:p>
            <w:pPr>
              <w:pStyle w:val="TableParagraph"/>
              <w:spacing w:before="1"/>
              <w:ind w:left="107"/>
              <w:jc w:val="left"/>
              <w:rPr>
                <w:rFonts w:ascii="宋体" w:eastAsia="宋体" w:hint="eastAsia"/>
                <w:sz w:val="15"/>
              </w:rPr>
            </w:pPr>
            <w:r>
              <w:rPr>
                <w:rFonts w:ascii="宋体" w:eastAsia="宋体" w:hint="eastAsia"/>
                <w:sz w:val="15"/>
              </w:rPr>
              <w:t>冬季</w:t>
            </w:r>
          </w:p>
        </w:tc>
        <w:tc>
          <w:tcPr>
            <w:tcW w:w="1039" w:type="dxa"/>
          </w:tcPr>
          <w:p>
            <w:pPr>
              <w:pStyle w:val="TableParagraph"/>
              <w:spacing w:before="61"/>
              <w:ind w:left="90" w:right="78"/>
              <w:rPr>
                <w:rFonts w:ascii="宋体" w:eastAsia="宋体" w:hint="eastAsia"/>
                <w:sz w:val="15"/>
              </w:rPr>
            </w:pPr>
            <w:r>
              <w:rPr>
                <w:rFonts w:ascii="宋体" w:eastAsia="宋体" w:hint="eastAsia"/>
                <w:sz w:val="15"/>
              </w:rPr>
              <w:t>风向</w:t>
            </w:r>
          </w:p>
        </w:tc>
        <w:tc>
          <w:tcPr>
            <w:tcW w:w="701" w:type="dxa"/>
          </w:tcPr>
          <w:p>
            <w:pPr>
              <w:pStyle w:val="TableParagraph"/>
              <w:ind w:left="249"/>
              <w:jc w:val="left"/>
              <w:rPr>
                <w:sz w:val="15"/>
              </w:rPr>
            </w:pPr>
            <w:r>
              <w:rPr>
                <w:sz w:val="15"/>
              </w:rPr>
              <w:t>NE</w:t>
            </w:r>
          </w:p>
        </w:tc>
        <w:tc>
          <w:tcPr>
            <w:tcW w:w="699" w:type="dxa"/>
          </w:tcPr>
          <w:p>
            <w:pPr>
              <w:pStyle w:val="TableParagraph"/>
              <w:ind w:left="103" w:right="95"/>
              <w:rPr>
                <w:sz w:val="15"/>
              </w:rPr>
            </w:pPr>
            <w:r>
              <w:rPr>
                <w:sz w:val="15"/>
              </w:rPr>
              <w:t>ENE</w:t>
            </w:r>
          </w:p>
        </w:tc>
        <w:tc>
          <w:tcPr>
            <w:tcW w:w="696" w:type="dxa"/>
          </w:tcPr>
          <w:p>
            <w:pPr>
              <w:pStyle w:val="TableParagraph"/>
              <w:ind w:left="101" w:right="94"/>
              <w:rPr>
                <w:sz w:val="15"/>
              </w:rPr>
            </w:pPr>
            <w:r>
              <w:rPr>
                <w:sz w:val="15"/>
              </w:rPr>
              <w:t>ENE</w:t>
            </w:r>
          </w:p>
        </w:tc>
        <w:tc>
          <w:tcPr>
            <w:tcW w:w="698" w:type="dxa"/>
          </w:tcPr>
          <w:p>
            <w:pPr>
              <w:pStyle w:val="TableParagraph"/>
              <w:ind w:left="249"/>
              <w:jc w:val="left"/>
              <w:rPr>
                <w:sz w:val="15"/>
              </w:rPr>
            </w:pPr>
            <w:r>
              <w:rPr>
                <w:sz w:val="15"/>
              </w:rPr>
              <w:t>NE</w:t>
            </w:r>
          </w:p>
        </w:tc>
        <w:tc>
          <w:tcPr>
            <w:tcW w:w="698" w:type="dxa"/>
          </w:tcPr>
          <w:p>
            <w:pPr>
              <w:pStyle w:val="TableParagraph"/>
              <w:ind w:left="170"/>
              <w:jc w:val="left"/>
              <w:rPr>
                <w:sz w:val="15"/>
              </w:rPr>
            </w:pPr>
            <w:r>
              <w:rPr>
                <w:sz w:val="15"/>
              </w:rPr>
              <w:t>NNW</w:t>
            </w:r>
          </w:p>
        </w:tc>
        <w:tc>
          <w:tcPr>
            <w:tcW w:w="698" w:type="dxa"/>
          </w:tcPr>
          <w:p>
            <w:pPr>
              <w:pStyle w:val="TableParagraph"/>
              <w:ind w:left="103" w:right="90"/>
              <w:rPr>
                <w:sz w:val="15"/>
              </w:rPr>
            </w:pPr>
            <w:r>
              <w:rPr>
                <w:sz w:val="15"/>
              </w:rPr>
              <w:t>NE</w:t>
            </w:r>
          </w:p>
        </w:tc>
        <w:tc>
          <w:tcPr>
            <w:tcW w:w="698" w:type="dxa"/>
          </w:tcPr>
          <w:p>
            <w:pPr>
              <w:pStyle w:val="TableParagraph"/>
              <w:ind w:left="14"/>
              <w:rPr>
                <w:sz w:val="15"/>
              </w:rPr>
            </w:pPr>
            <w:r>
              <w:rPr>
                <w:w w:val="100"/>
                <w:sz w:val="15"/>
              </w:rPr>
              <w:t>N</w:t>
            </w:r>
          </w:p>
        </w:tc>
        <w:tc>
          <w:tcPr>
            <w:tcW w:w="638" w:type="dxa"/>
          </w:tcPr>
          <w:p>
            <w:pPr>
              <w:pStyle w:val="TableParagraph"/>
              <w:ind w:left="222"/>
              <w:jc w:val="left"/>
              <w:rPr>
                <w:sz w:val="15"/>
              </w:rPr>
            </w:pPr>
            <w:r>
              <w:rPr>
                <w:sz w:val="15"/>
              </w:rPr>
              <w:t>NE</w:t>
            </w:r>
          </w:p>
        </w:tc>
        <w:tc>
          <w:tcPr>
            <w:tcW w:w="756" w:type="dxa"/>
          </w:tcPr>
          <w:p>
            <w:pPr>
              <w:pStyle w:val="TableParagraph"/>
              <w:ind w:left="326"/>
              <w:jc w:val="left"/>
              <w:rPr>
                <w:sz w:val="15"/>
              </w:rPr>
            </w:pPr>
            <w:r>
              <w:rPr>
                <w:w w:val="100"/>
                <w:sz w:val="15"/>
              </w:rPr>
              <w:t>N</w:t>
            </w:r>
          </w:p>
        </w:tc>
        <w:tc>
          <w:tcPr>
            <w:tcW w:w="699" w:type="dxa"/>
          </w:tcPr>
          <w:p>
            <w:pPr>
              <w:pStyle w:val="TableParagraph"/>
              <w:ind w:left="103" w:right="88"/>
              <w:rPr>
                <w:sz w:val="15"/>
              </w:rPr>
            </w:pPr>
            <w:r>
              <w:rPr>
                <w:sz w:val="15"/>
              </w:rPr>
              <w:t>NE</w:t>
            </w:r>
          </w:p>
        </w:tc>
        <w:tc>
          <w:tcPr>
            <w:tcW w:w="706" w:type="dxa"/>
          </w:tcPr>
          <w:p>
            <w:pPr>
              <w:pStyle w:val="TableParagraph"/>
              <w:ind w:left="299"/>
              <w:jc w:val="left"/>
              <w:rPr>
                <w:sz w:val="15"/>
              </w:rPr>
            </w:pPr>
            <w:r>
              <w:rPr>
                <w:w w:val="100"/>
                <w:sz w:val="15"/>
              </w:rPr>
              <w:t>N</w:t>
            </w:r>
          </w:p>
        </w:tc>
      </w:tr>
      <w:tr>
        <w:tblPrEx>
          <w:tblW w:w="0" w:type="auto"/>
          <w:jc w:val="left"/>
          <w:tblInd w:w="110" w:type="dxa"/>
          <w:tblLayout w:type="fixed"/>
          <w:tblCellMar>
            <w:top w:w="0" w:type="dxa"/>
            <w:left w:w="0" w:type="dxa"/>
            <w:bottom w:w="0" w:type="dxa"/>
            <w:right w:w="0" w:type="dxa"/>
          </w:tblCellMar>
          <w:tblLook w:val="01E0"/>
        </w:tblPrEx>
        <w:trPr>
          <w:trHeight w:val="311"/>
          <w:jc w:val="left"/>
        </w:trPr>
        <w:tc>
          <w:tcPr>
            <w:tcW w:w="516" w:type="dxa"/>
            <w:vMerge/>
            <w:tcBorders>
              <w:top w:val="nil"/>
            </w:tcBorders>
          </w:tcPr>
          <w:p>
            <w:pPr>
              <w:rPr>
                <w:sz w:val="2"/>
                <w:szCs w:val="2"/>
              </w:rPr>
            </w:pPr>
          </w:p>
        </w:tc>
        <w:tc>
          <w:tcPr>
            <w:tcW w:w="1039" w:type="dxa"/>
          </w:tcPr>
          <w:p>
            <w:pPr>
              <w:pStyle w:val="TableParagraph"/>
              <w:spacing w:before="61"/>
              <w:ind w:left="90" w:right="81"/>
              <w:rPr>
                <w:rFonts w:ascii="宋体" w:eastAsia="宋体" w:hint="eastAsia"/>
                <w:sz w:val="15"/>
              </w:rPr>
            </w:pPr>
            <w:r>
              <w:rPr>
                <w:rFonts w:ascii="宋体" w:eastAsia="宋体" w:hint="eastAsia"/>
                <w:sz w:val="15"/>
              </w:rPr>
              <w:t>风速（</w:t>
            </w:r>
            <w:r>
              <w:rPr>
                <w:sz w:val="15"/>
              </w:rPr>
              <w:t>m/s</w:t>
            </w:r>
            <w:r>
              <w:rPr>
                <w:rFonts w:ascii="宋体" w:eastAsia="宋体" w:hint="eastAsia"/>
                <w:sz w:val="15"/>
              </w:rPr>
              <w:t>）</w:t>
            </w:r>
          </w:p>
        </w:tc>
        <w:tc>
          <w:tcPr>
            <w:tcW w:w="701" w:type="dxa"/>
          </w:tcPr>
          <w:p>
            <w:pPr>
              <w:pStyle w:val="TableParagraph"/>
              <w:ind w:left="256"/>
              <w:jc w:val="left"/>
              <w:rPr>
                <w:sz w:val="15"/>
              </w:rPr>
            </w:pPr>
            <w:r>
              <w:rPr>
                <w:sz w:val="15"/>
              </w:rPr>
              <w:t>0.9</w:t>
            </w:r>
          </w:p>
        </w:tc>
        <w:tc>
          <w:tcPr>
            <w:tcW w:w="699" w:type="dxa"/>
          </w:tcPr>
          <w:p>
            <w:pPr>
              <w:pStyle w:val="TableParagraph"/>
              <w:ind w:left="102" w:right="95"/>
              <w:rPr>
                <w:sz w:val="15"/>
              </w:rPr>
            </w:pPr>
            <w:r>
              <w:rPr>
                <w:sz w:val="15"/>
              </w:rPr>
              <w:t>1.8</w:t>
            </w:r>
          </w:p>
        </w:tc>
        <w:tc>
          <w:tcPr>
            <w:tcW w:w="696" w:type="dxa"/>
          </w:tcPr>
          <w:p>
            <w:pPr>
              <w:pStyle w:val="TableParagraph"/>
              <w:ind w:left="99" w:right="94"/>
              <w:rPr>
                <w:sz w:val="15"/>
              </w:rPr>
            </w:pPr>
            <w:r>
              <w:rPr>
                <w:sz w:val="15"/>
              </w:rPr>
              <w:t>2.7</w:t>
            </w:r>
          </w:p>
        </w:tc>
        <w:tc>
          <w:tcPr>
            <w:tcW w:w="698" w:type="dxa"/>
          </w:tcPr>
          <w:p>
            <w:pPr>
              <w:pStyle w:val="TableParagraph"/>
              <w:ind w:left="254"/>
              <w:jc w:val="left"/>
              <w:rPr>
                <w:sz w:val="15"/>
              </w:rPr>
            </w:pPr>
            <w:r>
              <w:rPr>
                <w:sz w:val="15"/>
              </w:rPr>
              <w:t>2.2</w:t>
            </w:r>
          </w:p>
        </w:tc>
        <w:tc>
          <w:tcPr>
            <w:tcW w:w="698" w:type="dxa"/>
          </w:tcPr>
          <w:p>
            <w:pPr>
              <w:pStyle w:val="TableParagraph"/>
              <w:ind w:left="254"/>
              <w:jc w:val="left"/>
              <w:rPr>
                <w:sz w:val="15"/>
              </w:rPr>
            </w:pPr>
            <w:r>
              <w:rPr>
                <w:sz w:val="15"/>
              </w:rPr>
              <w:t>2.5</w:t>
            </w:r>
          </w:p>
        </w:tc>
        <w:tc>
          <w:tcPr>
            <w:tcW w:w="698" w:type="dxa"/>
          </w:tcPr>
          <w:p>
            <w:pPr>
              <w:pStyle w:val="TableParagraph"/>
              <w:ind w:left="101" w:right="92"/>
              <w:rPr>
                <w:sz w:val="15"/>
              </w:rPr>
            </w:pPr>
            <w:r>
              <w:rPr>
                <w:sz w:val="15"/>
              </w:rPr>
              <w:t>2.8</w:t>
            </w:r>
          </w:p>
        </w:tc>
        <w:tc>
          <w:tcPr>
            <w:tcW w:w="698" w:type="dxa"/>
          </w:tcPr>
          <w:p>
            <w:pPr>
              <w:pStyle w:val="TableParagraph"/>
              <w:ind w:left="102" w:right="92"/>
              <w:rPr>
                <w:sz w:val="15"/>
              </w:rPr>
            </w:pPr>
            <w:r>
              <w:rPr>
                <w:sz w:val="15"/>
              </w:rPr>
              <w:t>2.4</w:t>
            </w:r>
          </w:p>
        </w:tc>
        <w:tc>
          <w:tcPr>
            <w:tcW w:w="638" w:type="dxa"/>
          </w:tcPr>
          <w:p>
            <w:pPr>
              <w:pStyle w:val="TableParagraph"/>
              <w:ind w:left="227"/>
              <w:jc w:val="left"/>
              <w:rPr>
                <w:sz w:val="15"/>
              </w:rPr>
            </w:pPr>
            <w:r>
              <w:rPr>
                <w:sz w:val="15"/>
              </w:rPr>
              <w:t>2.5</w:t>
            </w:r>
          </w:p>
        </w:tc>
        <w:tc>
          <w:tcPr>
            <w:tcW w:w="756" w:type="dxa"/>
          </w:tcPr>
          <w:p>
            <w:pPr>
              <w:pStyle w:val="TableParagraph"/>
              <w:ind w:left="285"/>
              <w:jc w:val="left"/>
              <w:rPr>
                <w:sz w:val="15"/>
              </w:rPr>
            </w:pPr>
            <w:r>
              <w:rPr>
                <w:sz w:val="15"/>
              </w:rPr>
              <w:t>3.6</w:t>
            </w:r>
          </w:p>
        </w:tc>
        <w:tc>
          <w:tcPr>
            <w:tcW w:w="699" w:type="dxa"/>
          </w:tcPr>
          <w:p>
            <w:pPr>
              <w:pStyle w:val="TableParagraph"/>
              <w:ind w:left="103" w:right="92"/>
              <w:rPr>
                <w:sz w:val="15"/>
              </w:rPr>
            </w:pPr>
            <w:r>
              <w:rPr>
                <w:sz w:val="15"/>
              </w:rPr>
              <w:t>1.7</w:t>
            </w:r>
          </w:p>
        </w:tc>
        <w:tc>
          <w:tcPr>
            <w:tcW w:w="706" w:type="dxa"/>
          </w:tcPr>
          <w:p>
            <w:pPr>
              <w:pStyle w:val="TableParagraph"/>
              <w:ind w:left="261"/>
              <w:jc w:val="left"/>
              <w:rPr>
                <w:sz w:val="15"/>
              </w:rPr>
            </w:pPr>
            <w:r>
              <w:rPr>
                <w:sz w:val="15"/>
              </w:rPr>
              <w:t>3.4</w:t>
            </w:r>
          </w:p>
        </w:tc>
      </w:tr>
    </w:tbl>
    <w:p>
      <w:pPr>
        <w:pStyle w:val="BodyText"/>
        <w:spacing w:before="4"/>
        <w:rPr>
          <w:rFonts w:ascii="黑体"/>
          <w:sz w:val="13"/>
        </w:rPr>
      </w:pPr>
    </w:p>
    <w:p>
      <w:pPr>
        <w:pStyle w:val="BodyText"/>
        <w:spacing w:before="67"/>
        <w:ind w:left="100"/>
        <w:rPr>
          <w:rFonts w:ascii="宋体" w:eastAsia="宋体" w:hint="eastAsia"/>
        </w:rPr>
      </w:pPr>
      <w:r>
        <w:rPr>
          <w:rFonts w:ascii="宋体" w:eastAsia="宋体" w:hint="eastAsia"/>
        </w:rPr>
        <w:t>【条文说明】</w:t>
      </w:r>
    </w:p>
    <w:p>
      <w:pPr>
        <w:pStyle w:val="BodyText"/>
        <w:spacing w:before="160" w:line="364" w:lineRule="auto"/>
        <w:ind w:left="100" w:right="356" w:firstLine="480"/>
        <w:jc w:val="both"/>
      </w:pPr>
      <w:r>
        <w:rPr>
          <w:spacing w:val="-7"/>
        </w:rPr>
        <w:t>不同区域不同气象数据源下，各个季节的室外风向及风速都存在显著差异。随着城</w:t>
      </w:r>
      <w:r>
        <w:rPr>
          <w:spacing w:val="-11"/>
        </w:rPr>
        <w:t>市发展，建筑密度增加，城市风速逐年整体呈下降趋势。根据上海中心城区及新城区近</w:t>
      </w:r>
      <w:r>
        <w:rPr>
          <w:rFonts w:ascii="Times New Roman" w:eastAsia="Times New Roman"/>
        </w:rPr>
        <w:t>60</w:t>
      </w:r>
      <w:r>
        <w:rPr>
          <w:rFonts w:ascii="Times New Roman" w:eastAsia="Times New Roman"/>
          <w:spacing w:val="-1"/>
        </w:rPr>
        <w:t xml:space="preserve"> </w:t>
      </w:r>
      <w:r>
        <w:rPr>
          <w:spacing w:val="-6"/>
        </w:rPr>
        <w:t xml:space="preserve">年风速的统计结果可知，中心城区近 </w:t>
      </w:r>
      <w:r>
        <w:rPr>
          <w:rFonts w:ascii="Times New Roman" w:eastAsia="Times New Roman"/>
        </w:rPr>
        <w:t xml:space="preserve">20 </w:t>
      </w:r>
      <w:r>
        <w:rPr>
          <w:spacing w:val="-4"/>
        </w:rPr>
        <w:t>年风速下降较多，而新城区的宝山和崇明地</w:t>
      </w:r>
    </w:p>
    <w:p>
      <w:pPr>
        <w:pStyle w:val="BodyText"/>
        <w:spacing w:before="3"/>
        <w:ind w:left="100"/>
        <w:jc w:val="both"/>
      </w:pPr>
      <w:r>
        <w:rPr>
          <w:spacing w:val="-11"/>
        </w:rPr>
        <w:t xml:space="preserve">区风速下降幅度相对较缓。近 </w:t>
      </w:r>
      <w:r>
        <w:rPr>
          <w:rFonts w:ascii="Times New Roman" w:eastAsia="Times New Roman"/>
        </w:rPr>
        <w:t xml:space="preserve">30 </w:t>
      </w:r>
      <w:r>
        <w:rPr>
          <w:spacing w:val="-33"/>
        </w:rPr>
        <w:t xml:space="preserve">年、近 </w:t>
      </w:r>
      <w:r>
        <w:rPr>
          <w:rFonts w:ascii="Times New Roman" w:eastAsia="Times New Roman"/>
        </w:rPr>
        <w:t xml:space="preserve">20 </w:t>
      </w:r>
      <w:r>
        <w:rPr>
          <w:spacing w:val="-33"/>
        </w:rPr>
        <w:t xml:space="preserve">年、近 </w:t>
      </w:r>
      <w:r>
        <w:rPr>
          <w:rFonts w:ascii="Times New Roman" w:eastAsia="Times New Roman"/>
        </w:rPr>
        <w:t xml:space="preserve">10 </w:t>
      </w:r>
      <w:r>
        <w:t>年的风速总体上呈逐渐减小趋势。</w:t>
      </w:r>
    </w:p>
    <w:p>
      <w:pPr>
        <w:pStyle w:val="BodyText"/>
        <w:spacing w:before="160"/>
        <w:ind w:left="100"/>
      </w:pPr>
      <w:r>
        <w:rPr>
          <w:spacing w:val="-3"/>
        </w:rPr>
        <w:t xml:space="preserve">表中的主导风参数是依据各气象台站近 </w:t>
      </w:r>
      <w:r>
        <w:rPr>
          <w:rFonts w:ascii="Times New Roman" w:eastAsia="Times New Roman"/>
        </w:rPr>
        <w:t>10</w:t>
      </w:r>
      <w:r>
        <w:rPr>
          <w:rFonts w:ascii="Times New Roman" w:eastAsia="Times New Roman"/>
          <w:spacing w:val="13"/>
        </w:rPr>
        <w:t xml:space="preserve"> </w:t>
      </w:r>
      <w:r>
        <w:t>年的最新气象数据得出的基础气象数据源，</w:t>
      </w:r>
    </w:p>
    <w:p>
      <w:pPr>
        <w:pStyle w:val="BodyText"/>
        <w:spacing w:before="161" w:line="364" w:lineRule="auto"/>
        <w:ind w:left="100" w:right="303"/>
      </w:pPr>
      <w:r>
        <w:t xml:space="preserve">是基于当地气象台站最近十年每日 </w:t>
      </w:r>
      <w:r>
        <w:rPr>
          <w:rFonts w:ascii="Times New Roman" w:eastAsia="Times New Roman"/>
        </w:rPr>
        <w:t xml:space="preserve">24 </w:t>
      </w:r>
      <w:r>
        <w:t>时风气象观测数据集确定，采用累年平均值法进行数据处理，从而真实地反映上海各气候分区的风环境实际特征。</w:t>
      </w:r>
    </w:p>
    <w:p>
      <w:pPr>
        <w:pStyle w:val="BodyText"/>
        <w:spacing w:before="1" w:line="364" w:lineRule="auto"/>
        <w:ind w:left="100" w:right="116" w:firstLine="480"/>
      </w:pPr>
      <w:r>
        <w:drawing>
          <wp:anchor distT="0" distB="0" distL="0" distR="0" simplePos="0" relativeHeight="251663360" behindDoc="0" locked="0" layoutInCell="1" allowOverlap="1">
            <wp:simplePos x="0" y="0"/>
            <wp:positionH relativeFrom="page">
              <wp:posOffset>1219200</wp:posOffset>
            </wp:positionH>
            <wp:positionV relativeFrom="paragraph">
              <wp:posOffset>1762251</wp:posOffset>
            </wp:positionV>
            <wp:extent cx="2774950" cy="1721485"/>
            <wp:effectExtent l="0" t="0" r="0" b="0"/>
            <wp:wrapNone/>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jpeg"/>
                    <pic:cNvPicPr/>
                  </pic:nvPicPr>
                  <pic:blipFill>
                    <a:blip xmlns:r="http://schemas.openxmlformats.org/officeDocument/2006/relationships" r:embed="rId18" cstate="print"/>
                    <a:stretch>
                      <a:fillRect/>
                    </a:stretch>
                  </pic:blipFill>
                  <pic:spPr>
                    <a:xfrm>
                      <a:off x="0" y="0"/>
                      <a:ext cx="2774950" cy="1721485"/>
                    </a:xfrm>
                    <a:prstGeom prst="rect">
                      <a:avLst/>
                    </a:prstGeom>
                  </pic:spPr>
                </pic:pic>
              </a:graphicData>
            </a:graphic>
          </wp:anchor>
        </w:drawing>
      </w:r>
      <w:r>
        <w:drawing>
          <wp:anchor distT="0" distB="0" distL="0" distR="0" simplePos="0" relativeHeight="251664384" behindDoc="0" locked="0" layoutInCell="1" allowOverlap="1">
            <wp:simplePos x="0" y="0"/>
            <wp:positionH relativeFrom="page">
              <wp:posOffset>4067175</wp:posOffset>
            </wp:positionH>
            <wp:positionV relativeFrom="paragraph">
              <wp:posOffset>1766696</wp:posOffset>
            </wp:positionV>
            <wp:extent cx="2432939" cy="1717039"/>
            <wp:effectExtent l="0" t="0" r="0" b="0"/>
            <wp:wrapNone/>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jpeg"/>
                    <pic:cNvPicPr/>
                  </pic:nvPicPr>
                  <pic:blipFill>
                    <a:blip xmlns:r="http://schemas.openxmlformats.org/officeDocument/2006/relationships" r:embed="rId19" cstate="print"/>
                    <a:stretch>
                      <a:fillRect/>
                    </a:stretch>
                  </pic:blipFill>
                  <pic:spPr>
                    <a:xfrm>
                      <a:off x="0" y="0"/>
                      <a:ext cx="2432939" cy="1717039"/>
                    </a:xfrm>
                    <a:prstGeom prst="rect">
                      <a:avLst/>
                    </a:prstGeom>
                  </pic:spPr>
                </pic:pic>
              </a:graphicData>
            </a:graphic>
          </wp:anchor>
        </w:drawing>
      </w:r>
      <w:r>
        <w:rPr>
          <w:spacing w:val="-5"/>
        </w:rPr>
        <w:t>通过绿色建筑性能设计软件对本市各风气候分区内的大型居建社区、商务办公♘区、</w:t>
      </w:r>
      <w:r>
        <w:rPr>
          <w:spacing w:val="-7"/>
        </w:rPr>
        <w:t xml:space="preserve">校♘以及中高层建筑群等案例进行模拟分析测算，结果显示，按表 </w:t>
      </w:r>
      <w:r>
        <w:t>4.2.2</w:t>
      </w:r>
      <w:r>
        <w:rPr>
          <w:spacing w:val="-8"/>
        </w:rPr>
        <w:t xml:space="preserve"> 的主导风参数取</w:t>
      </w:r>
      <w:r>
        <w:rPr>
          <w:spacing w:val="-12"/>
        </w:rPr>
        <w:t>值的计算结果，与项目所在地理位置的实际感知情况更加接近，从而可以更加科学有 效</w:t>
      </w:r>
      <w:r>
        <w:rPr>
          <w:spacing w:val="-14"/>
        </w:rPr>
        <w:t>的指导建筑风环境设计，优化建筑总体布局。例如，某中心城区项目春季场地平均风 速</w:t>
      </w:r>
      <w:r>
        <w:rPr>
          <w:spacing w:val="-43"/>
        </w:rPr>
        <w:t xml:space="preserve"> </w:t>
      </w:r>
      <w:r>
        <w:t>0.4m/s，</w:t>
      </w:r>
      <w:r>
        <w:rPr>
          <w:spacing w:val="-3"/>
        </w:rPr>
        <w:t xml:space="preserve">而某闵行区项目春季场地平均风速达到 </w:t>
      </w:r>
      <w:r>
        <w:t>1.3m/s，与上海各气候分区的风环境特征较为接近。</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6"/>
        <w:rPr>
          <w:sz w:val="27"/>
        </w:rPr>
      </w:pPr>
    </w:p>
    <w:p>
      <w:pPr>
        <w:pStyle w:val="BodyText"/>
        <w:tabs>
          <w:tab w:val="left" w:pos="5381"/>
        </w:tabs>
        <w:ind w:left="1060"/>
      </w:pPr>
      <w:r>
        <w:t>中心城区某项目春季风速云图</w:t>
        <w:tab/>
        <w:t>闵行区某项目春季风速云图</w:t>
      </w:r>
    </w:p>
    <w:p>
      <w:pPr>
        <w:pStyle w:val="ListParagraph"/>
        <w:numPr>
          <w:ilvl w:val="2"/>
          <w:numId w:val="4"/>
        </w:numPr>
        <w:tabs>
          <w:tab w:val="left" w:pos="940"/>
          <w:tab w:val="left" w:pos="941"/>
        </w:tabs>
        <w:spacing w:before="161" w:after="0" w:line="364" w:lineRule="auto"/>
        <w:ind w:left="100" w:right="384" w:firstLine="0"/>
        <w:jc w:val="left"/>
        <w:rPr>
          <w:rFonts w:ascii="宋体" w:eastAsia="宋体" w:hint="eastAsia"/>
          <w:sz w:val="24"/>
        </w:rPr>
        <w:sectPr>
          <w:footerReference w:type="default" r:id="rId20"/>
          <w:pgSz w:w="11910" w:h="16840"/>
          <w:pgMar w:top="1420" w:right="1080" w:bottom="1600" w:left="1340" w:header="0" w:footer="1403"/>
          <w:pgNumType w:start="9"/>
          <w:cols w:space="708"/>
        </w:sectPr>
      </w:pPr>
      <w:r>
        <w:rPr>
          <w:rFonts w:ascii="宋体" w:eastAsia="宋体" w:hint="eastAsia"/>
          <w:spacing w:val="-1"/>
          <w:sz w:val="24"/>
        </w:rPr>
        <w:t>风环境设计分析中，应根据不同风气候分区选取月、季、年各风向频率和各风</w:t>
      </w:r>
      <w:r>
        <w:rPr>
          <w:rFonts w:ascii="宋体" w:eastAsia="宋体" w:hint="eastAsia"/>
          <w:sz w:val="24"/>
        </w:rPr>
        <w:t>向平均风速、最大风速等参数，不同风气候分区的月、季、年各风向频率和各风向平</w:t>
      </w:r>
      <w:r>
        <w:rPr>
          <w:rFonts w:ascii="宋体" w:eastAsia="宋体" w:hint="eastAsia"/>
          <w:spacing w:val="-5"/>
          <w:sz w:val="24"/>
        </w:rPr>
        <w:t xml:space="preserve">均风速、最大风速详见附录 </w:t>
      </w:r>
      <w:r>
        <w:rPr>
          <w:rFonts w:ascii="Times New Roman" w:eastAsia="Times New Roman"/>
          <w:sz w:val="24"/>
        </w:rPr>
        <w:t>B</w:t>
      </w:r>
      <w:r>
        <w:rPr>
          <w:rFonts w:ascii="宋体" w:eastAsia="宋体" w:hint="eastAsia"/>
          <w:sz w:val="24"/>
        </w:rPr>
        <w:t>。</w:t>
      </w:r>
    </w:p>
    <w:p>
      <w:pPr>
        <w:pStyle w:val="BodyText"/>
        <w:spacing w:before="2"/>
        <w:ind w:left="100"/>
        <w:rPr>
          <w:rFonts w:ascii="宋体" w:eastAsia="宋体" w:hint="eastAsia"/>
        </w:rPr>
      </w:pPr>
      <w:r>
        <w:rPr>
          <w:rFonts w:ascii="宋体" w:eastAsia="宋体" w:hint="eastAsia"/>
        </w:rPr>
        <w:t>【条文说明】</w:t>
      </w:r>
    </w:p>
    <w:p>
      <w:pPr>
        <w:spacing w:after="0"/>
        <w:rPr>
          <w:rFonts w:ascii="宋体" w:eastAsia="宋体" w:hint="eastAsia"/>
        </w:rPr>
        <w:sectPr>
          <w:footerReference w:type="default" r:id="rId21"/>
          <w:type w:val="nextPage"/>
          <w:pgSz w:w="11910" w:h="16840"/>
          <w:pgMar w:top="1420" w:right="1080" w:bottom="1600" w:left="1340" w:header="0" w:footer="1403"/>
          <w:pgNumType w:start="10"/>
          <w:cols w:space="708"/>
          <w:titlePg w:val="0"/>
        </w:sectPr>
      </w:pPr>
    </w:p>
    <w:p>
      <w:pPr>
        <w:pStyle w:val="BodyText"/>
        <w:spacing w:before="63" w:line="364" w:lineRule="auto"/>
        <w:ind w:left="100" w:right="356"/>
        <w:jc w:val="both"/>
      </w:pPr>
      <w:r>
        <w:rPr>
          <w:rFonts w:ascii="Times New Roman" w:eastAsia="Times New Roman"/>
        </w:rPr>
        <w:t>4.2.2</w:t>
      </w:r>
      <w:r>
        <w:rPr>
          <w:rFonts w:ascii="Times New Roman" w:eastAsia="Times New Roman"/>
          <w:spacing w:val="4"/>
        </w:rPr>
        <w:t xml:space="preserve">   </w:t>
      </w:r>
      <w:r>
        <w:t>建筑风环境设计分析中，不仅需要主导风风向、主导风风速等风参数等技术参</w:t>
      </w:r>
      <w:r>
        <w:rPr>
          <w:spacing w:val="-9"/>
        </w:rPr>
        <w:t>数，还需要不同风气候分区的月、季、年各风向频率和各风向平均风速、最大风速。为</w:t>
      </w:r>
      <w:r>
        <w:rPr>
          <w:spacing w:val="-12"/>
        </w:rPr>
        <w:t xml:space="preserve">方便风环境模拟分析，本标准附录 </w:t>
      </w:r>
      <w:r>
        <w:rPr>
          <w:rFonts w:ascii="Times New Roman" w:eastAsia="Times New Roman"/>
        </w:rPr>
        <w:t xml:space="preserve">B </w:t>
      </w:r>
      <w:r>
        <w:rPr>
          <w:spacing w:val="-15"/>
        </w:rPr>
        <w:t xml:space="preserve">根据 </w:t>
      </w:r>
      <w:r>
        <w:rPr>
          <w:rFonts w:ascii="Times New Roman" w:eastAsia="Times New Roman"/>
        </w:rPr>
        <w:t xml:space="preserve">2009 </w:t>
      </w:r>
      <w:r>
        <w:rPr>
          <w:spacing w:val="-14"/>
        </w:rPr>
        <w:t xml:space="preserve">年至 </w:t>
      </w:r>
      <w:r>
        <w:rPr>
          <w:rFonts w:ascii="Times New Roman" w:eastAsia="Times New Roman"/>
        </w:rPr>
        <w:t xml:space="preserve">2018 </w:t>
      </w:r>
      <w:r>
        <w:rPr>
          <w:spacing w:val="-2"/>
        </w:rPr>
        <w:t>年气象数据统计结果，编制</w:t>
      </w:r>
      <w:r>
        <w:t>出各风气候分区春季、夏季、秋季和冬季的风玫瑰图。</w:t>
      </w:r>
    </w:p>
    <w:p>
      <w:pPr>
        <w:pStyle w:val="BodyText"/>
        <w:spacing w:before="3" w:line="364" w:lineRule="auto"/>
        <w:ind w:left="100" w:right="502" w:firstLine="480"/>
      </w:pPr>
      <w:r>
        <w:rPr>
          <w:spacing w:val="-1"/>
        </w:rPr>
        <w:t>上海近年来建筑发展迅速，呈现出高层建筑为主的城市形态，城市建筑群的密度及高度形成了不同的城市地貌的差异以致影响到地面粗糙度的变化，而地面粗糙度指</w:t>
      </w:r>
      <w:r>
        <w:t>数的精确取值会对建筑风环境计算分析结果产生较大影响。地面粗糙度指数的定义 为：从空气动力学角度出发，当下垫面为地面、且有较高覆盖物（如城市建筑）</w:t>
      </w:r>
      <w:r>
        <w:rPr>
          <w:spacing w:val="-8"/>
        </w:rPr>
        <w:t>时表</w:t>
      </w:r>
      <w:r>
        <w:rPr>
          <w:spacing w:val="-1"/>
        </w:rPr>
        <w:t>征的与大气接触的覆盖物顶部的崎岖情况，代表物体表面对流经流体的影响的一个综合力学参数。地面粗糙度在推导风的对数定律时，作为下边界条件引入。编制组成员根据上海市近年来新建建筑发展的状况，对全市的地面粗糙度进行了分析汇总，为了更详细准确的进行风环境模拟分析，也可按照项目所在地的风气候分区采用相应的地</w:t>
      </w:r>
      <w:r>
        <w:rPr>
          <w:spacing w:val="-3"/>
        </w:rPr>
        <w:t xml:space="preserve">面粗糙度指数。各风气候分区地面粗糙度指数可参考表 </w:t>
      </w:r>
      <w:r>
        <w:rPr>
          <w:rFonts w:ascii="Times New Roman" w:eastAsia="Times New Roman"/>
        </w:rPr>
        <w:t>1</w:t>
      </w:r>
      <w:r>
        <w:rPr>
          <w:spacing w:val="-20"/>
        </w:rPr>
        <w:t xml:space="preserve">、图 </w:t>
      </w:r>
      <w:r>
        <w:rPr>
          <w:rFonts w:ascii="Times New Roman" w:eastAsia="Times New Roman"/>
        </w:rPr>
        <w:t>1</w:t>
      </w:r>
      <w:r>
        <w:t>。</w:t>
      </w:r>
    </w:p>
    <w:p>
      <w:pPr>
        <w:pStyle w:val="BodyText"/>
        <w:spacing w:before="6"/>
        <w:ind w:left="940" w:right="719"/>
        <w:jc w:val="center"/>
        <w:rPr>
          <w:rFonts w:ascii="黑体" w:eastAsia="黑体" w:hint="eastAsia"/>
        </w:rPr>
      </w:pPr>
      <w:r>
        <w:rPr>
          <w:rFonts w:ascii="黑体" w:eastAsia="黑体" w:hint="eastAsia"/>
        </w:rPr>
        <w:t>表 1 各风气候分区地面粗糙度指数的取值</w:t>
      </w:r>
    </w:p>
    <w:p>
      <w:pPr>
        <w:pStyle w:val="BodyText"/>
        <w:spacing w:before="2"/>
        <w:rPr>
          <w:rFonts w:ascii="黑体"/>
          <w:sz w:val="6"/>
        </w:rPr>
      </w:pPr>
    </w:p>
    <w:tbl>
      <w:tblPr>
        <w:tblStyle w:val="TableNormal4"/>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65"/>
        <w:gridCol w:w="814"/>
        <w:gridCol w:w="668"/>
        <w:gridCol w:w="665"/>
        <w:gridCol w:w="665"/>
        <w:gridCol w:w="665"/>
        <w:gridCol w:w="665"/>
        <w:gridCol w:w="665"/>
        <w:gridCol w:w="665"/>
        <w:gridCol w:w="814"/>
        <w:gridCol w:w="815"/>
        <w:gridCol w:w="656"/>
      </w:tblGrid>
      <w:tr>
        <w:tblPrEx>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11"/>
          <w:jc w:val="left"/>
        </w:trPr>
        <w:tc>
          <w:tcPr>
            <w:tcW w:w="1265" w:type="dxa"/>
          </w:tcPr>
          <w:p>
            <w:pPr>
              <w:pStyle w:val="TableParagraph"/>
              <w:spacing w:before="40"/>
              <w:ind w:left="160" w:right="153"/>
              <w:rPr>
                <w:rFonts w:ascii="仿宋" w:eastAsia="仿宋" w:hint="eastAsia"/>
                <w:sz w:val="18"/>
              </w:rPr>
            </w:pPr>
            <w:r>
              <w:rPr>
                <w:rFonts w:ascii="仿宋" w:eastAsia="仿宋" w:hint="eastAsia"/>
                <w:sz w:val="18"/>
              </w:rPr>
              <w:t>编号</w:t>
            </w:r>
          </w:p>
        </w:tc>
        <w:tc>
          <w:tcPr>
            <w:tcW w:w="814" w:type="dxa"/>
          </w:tcPr>
          <w:p>
            <w:pPr>
              <w:pStyle w:val="TableParagraph"/>
              <w:spacing w:before="52"/>
              <w:ind w:left="5"/>
              <w:rPr>
                <w:sz w:val="18"/>
              </w:rPr>
            </w:pPr>
            <w:r>
              <w:rPr>
                <w:sz w:val="18"/>
              </w:rPr>
              <w:t>1</w:t>
            </w:r>
          </w:p>
        </w:tc>
        <w:tc>
          <w:tcPr>
            <w:tcW w:w="668" w:type="dxa"/>
          </w:tcPr>
          <w:p>
            <w:pPr>
              <w:pStyle w:val="TableParagraph"/>
              <w:spacing w:before="52"/>
              <w:ind w:left="6"/>
              <w:rPr>
                <w:sz w:val="18"/>
              </w:rPr>
            </w:pPr>
            <w:r>
              <w:rPr>
                <w:sz w:val="18"/>
              </w:rPr>
              <w:t>2</w:t>
            </w:r>
          </w:p>
        </w:tc>
        <w:tc>
          <w:tcPr>
            <w:tcW w:w="665" w:type="dxa"/>
          </w:tcPr>
          <w:p>
            <w:pPr>
              <w:pStyle w:val="TableParagraph"/>
              <w:spacing w:before="52"/>
              <w:ind w:left="4"/>
              <w:rPr>
                <w:sz w:val="18"/>
              </w:rPr>
            </w:pPr>
            <w:r>
              <w:rPr>
                <w:sz w:val="18"/>
              </w:rPr>
              <w:t>3</w:t>
            </w:r>
          </w:p>
        </w:tc>
        <w:tc>
          <w:tcPr>
            <w:tcW w:w="665" w:type="dxa"/>
          </w:tcPr>
          <w:p>
            <w:pPr>
              <w:pStyle w:val="TableParagraph"/>
              <w:spacing w:before="52"/>
              <w:ind w:left="3"/>
              <w:rPr>
                <w:sz w:val="18"/>
              </w:rPr>
            </w:pPr>
            <w:r>
              <w:rPr>
                <w:sz w:val="18"/>
              </w:rPr>
              <w:t>4</w:t>
            </w:r>
          </w:p>
        </w:tc>
        <w:tc>
          <w:tcPr>
            <w:tcW w:w="665" w:type="dxa"/>
          </w:tcPr>
          <w:p>
            <w:pPr>
              <w:pStyle w:val="TableParagraph"/>
              <w:spacing w:before="52"/>
              <w:ind w:left="3"/>
              <w:rPr>
                <w:sz w:val="18"/>
              </w:rPr>
            </w:pPr>
            <w:r>
              <w:rPr>
                <w:sz w:val="18"/>
              </w:rPr>
              <w:t>5</w:t>
            </w:r>
          </w:p>
        </w:tc>
        <w:tc>
          <w:tcPr>
            <w:tcW w:w="665" w:type="dxa"/>
          </w:tcPr>
          <w:p>
            <w:pPr>
              <w:pStyle w:val="TableParagraph"/>
              <w:spacing w:before="52"/>
              <w:ind w:left="2"/>
              <w:rPr>
                <w:sz w:val="18"/>
              </w:rPr>
            </w:pPr>
            <w:r>
              <w:rPr>
                <w:sz w:val="18"/>
              </w:rPr>
              <w:t>6</w:t>
            </w:r>
          </w:p>
        </w:tc>
        <w:tc>
          <w:tcPr>
            <w:tcW w:w="665" w:type="dxa"/>
          </w:tcPr>
          <w:p>
            <w:pPr>
              <w:pStyle w:val="TableParagraph"/>
              <w:spacing w:before="52"/>
              <w:ind w:left="3"/>
              <w:rPr>
                <w:sz w:val="18"/>
              </w:rPr>
            </w:pPr>
            <w:r>
              <w:rPr>
                <w:sz w:val="18"/>
              </w:rPr>
              <w:t>7</w:t>
            </w:r>
          </w:p>
        </w:tc>
        <w:tc>
          <w:tcPr>
            <w:tcW w:w="665" w:type="dxa"/>
          </w:tcPr>
          <w:p>
            <w:pPr>
              <w:pStyle w:val="TableParagraph"/>
              <w:spacing w:before="52"/>
              <w:ind w:left="2"/>
              <w:rPr>
                <w:sz w:val="18"/>
              </w:rPr>
            </w:pPr>
            <w:r>
              <w:rPr>
                <w:sz w:val="18"/>
              </w:rPr>
              <w:t>8</w:t>
            </w:r>
          </w:p>
        </w:tc>
        <w:tc>
          <w:tcPr>
            <w:tcW w:w="814" w:type="dxa"/>
          </w:tcPr>
          <w:p>
            <w:pPr>
              <w:pStyle w:val="TableParagraph"/>
              <w:spacing w:before="52"/>
              <w:ind w:left="2"/>
              <w:rPr>
                <w:sz w:val="18"/>
              </w:rPr>
            </w:pPr>
            <w:r>
              <w:rPr>
                <w:sz w:val="18"/>
              </w:rPr>
              <w:t>9</w:t>
            </w:r>
          </w:p>
        </w:tc>
        <w:tc>
          <w:tcPr>
            <w:tcW w:w="815" w:type="dxa"/>
          </w:tcPr>
          <w:p>
            <w:pPr>
              <w:pStyle w:val="TableParagraph"/>
              <w:spacing w:before="52"/>
              <w:ind w:left="227" w:right="221"/>
              <w:rPr>
                <w:sz w:val="18"/>
              </w:rPr>
            </w:pPr>
            <w:r>
              <w:rPr>
                <w:sz w:val="18"/>
              </w:rPr>
              <w:t>10</w:t>
            </w:r>
          </w:p>
        </w:tc>
        <w:tc>
          <w:tcPr>
            <w:tcW w:w="656" w:type="dxa"/>
          </w:tcPr>
          <w:p>
            <w:pPr>
              <w:pStyle w:val="TableParagraph"/>
              <w:spacing w:before="52"/>
              <w:ind w:left="147" w:right="142"/>
              <w:rPr>
                <w:sz w:val="18"/>
              </w:rPr>
            </w:pPr>
            <w:r>
              <w:rPr>
                <w:sz w:val="18"/>
              </w:rPr>
              <w:t>11</w:t>
            </w:r>
          </w:p>
        </w:tc>
      </w:tr>
      <w:tr>
        <w:tblPrEx>
          <w:tblW w:w="0" w:type="auto"/>
          <w:jc w:val="left"/>
          <w:tblInd w:w="110" w:type="dxa"/>
          <w:tblLayout w:type="fixed"/>
          <w:tblCellMar>
            <w:top w:w="0" w:type="dxa"/>
            <w:left w:w="0" w:type="dxa"/>
            <w:bottom w:w="0" w:type="dxa"/>
            <w:right w:w="0" w:type="dxa"/>
          </w:tblCellMar>
          <w:tblLook w:val="01E0"/>
        </w:tblPrEx>
        <w:trPr>
          <w:trHeight w:val="935"/>
          <w:jc w:val="left"/>
        </w:trPr>
        <w:tc>
          <w:tcPr>
            <w:tcW w:w="1265" w:type="dxa"/>
          </w:tcPr>
          <w:p>
            <w:pPr>
              <w:pStyle w:val="TableParagraph"/>
              <w:spacing w:before="0"/>
              <w:jc w:val="left"/>
              <w:rPr>
                <w:rFonts w:ascii="黑体"/>
                <w:sz w:val="18"/>
              </w:rPr>
            </w:pPr>
          </w:p>
          <w:p>
            <w:pPr>
              <w:pStyle w:val="TableParagraph"/>
              <w:spacing w:before="122"/>
              <w:ind w:left="162" w:right="153"/>
              <w:rPr>
                <w:rFonts w:ascii="仿宋" w:eastAsia="仿宋" w:hint="eastAsia"/>
                <w:sz w:val="18"/>
              </w:rPr>
            </w:pPr>
            <w:r>
              <w:rPr>
                <w:rFonts w:ascii="仿宋" w:eastAsia="仿宋" w:hint="eastAsia"/>
                <w:sz w:val="18"/>
              </w:rPr>
              <w:t>风气候分区</w:t>
            </w:r>
          </w:p>
        </w:tc>
        <w:tc>
          <w:tcPr>
            <w:tcW w:w="814" w:type="dxa"/>
          </w:tcPr>
          <w:p>
            <w:pPr>
              <w:pStyle w:val="TableParagraph"/>
              <w:spacing w:before="4"/>
              <w:jc w:val="left"/>
              <w:rPr>
                <w:rFonts w:ascii="黑体"/>
                <w:sz w:val="15"/>
              </w:rPr>
            </w:pPr>
          </w:p>
          <w:p>
            <w:pPr>
              <w:pStyle w:val="TableParagraph"/>
              <w:spacing w:before="0" w:line="324" w:lineRule="auto"/>
              <w:ind w:left="225" w:right="216"/>
              <w:jc w:val="left"/>
              <w:rPr>
                <w:rFonts w:ascii="仿宋" w:eastAsia="仿宋" w:hint="eastAsia"/>
                <w:sz w:val="18"/>
              </w:rPr>
            </w:pPr>
            <w:r>
              <w:rPr>
                <w:rFonts w:ascii="仿宋" w:eastAsia="仿宋" w:hint="eastAsia"/>
                <w:sz w:val="18"/>
              </w:rPr>
              <w:t>中心城区</w:t>
            </w:r>
          </w:p>
        </w:tc>
        <w:tc>
          <w:tcPr>
            <w:tcW w:w="668" w:type="dxa"/>
          </w:tcPr>
          <w:p>
            <w:pPr>
              <w:pStyle w:val="TableParagraph"/>
              <w:spacing w:before="4"/>
              <w:jc w:val="left"/>
              <w:rPr>
                <w:rFonts w:ascii="黑体"/>
                <w:sz w:val="15"/>
              </w:rPr>
            </w:pPr>
          </w:p>
          <w:p>
            <w:pPr>
              <w:pStyle w:val="TableParagraph"/>
              <w:spacing w:before="0" w:line="324" w:lineRule="auto"/>
              <w:ind w:left="241" w:right="143" w:hanging="89"/>
              <w:jc w:val="left"/>
              <w:rPr>
                <w:rFonts w:ascii="仿宋" w:eastAsia="仿宋" w:hint="eastAsia"/>
                <w:sz w:val="18"/>
              </w:rPr>
            </w:pPr>
            <w:r>
              <w:rPr>
                <w:rFonts w:ascii="仿宋" w:eastAsia="仿宋" w:hint="eastAsia"/>
                <w:sz w:val="18"/>
              </w:rPr>
              <w:t>闵行区</w:t>
            </w:r>
          </w:p>
        </w:tc>
        <w:tc>
          <w:tcPr>
            <w:tcW w:w="665" w:type="dxa"/>
          </w:tcPr>
          <w:p>
            <w:pPr>
              <w:pStyle w:val="TableParagraph"/>
              <w:spacing w:before="4"/>
              <w:jc w:val="left"/>
              <w:rPr>
                <w:rFonts w:ascii="黑体"/>
                <w:sz w:val="15"/>
              </w:rPr>
            </w:pPr>
          </w:p>
          <w:p>
            <w:pPr>
              <w:pStyle w:val="TableParagraph"/>
              <w:spacing w:before="0" w:line="324" w:lineRule="auto"/>
              <w:ind w:left="241" w:right="142" w:hanging="92"/>
              <w:jc w:val="left"/>
              <w:rPr>
                <w:rFonts w:ascii="仿宋" w:eastAsia="仿宋" w:hint="eastAsia"/>
                <w:sz w:val="18"/>
              </w:rPr>
            </w:pPr>
            <w:r>
              <w:rPr>
                <w:rFonts w:ascii="仿宋" w:eastAsia="仿宋" w:hint="eastAsia"/>
                <w:sz w:val="18"/>
              </w:rPr>
              <w:t>宝山区</w:t>
            </w:r>
          </w:p>
        </w:tc>
        <w:tc>
          <w:tcPr>
            <w:tcW w:w="665" w:type="dxa"/>
          </w:tcPr>
          <w:p>
            <w:pPr>
              <w:pStyle w:val="TableParagraph"/>
              <w:spacing w:before="4"/>
              <w:jc w:val="left"/>
              <w:rPr>
                <w:rFonts w:ascii="黑体"/>
                <w:sz w:val="15"/>
              </w:rPr>
            </w:pPr>
          </w:p>
          <w:p>
            <w:pPr>
              <w:pStyle w:val="TableParagraph"/>
              <w:spacing w:before="0" w:line="324" w:lineRule="auto"/>
              <w:ind w:left="241" w:right="143" w:hanging="92"/>
              <w:jc w:val="left"/>
              <w:rPr>
                <w:rFonts w:ascii="仿宋" w:eastAsia="仿宋" w:hint="eastAsia"/>
                <w:sz w:val="18"/>
              </w:rPr>
            </w:pPr>
            <w:r>
              <w:rPr>
                <w:rFonts w:ascii="仿宋" w:eastAsia="仿宋" w:hint="eastAsia"/>
                <w:sz w:val="18"/>
              </w:rPr>
              <w:t>嘉定区</w:t>
            </w:r>
          </w:p>
        </w:tc>
        <w:tc>
          <w:tcPr>
            <w:tcW w:w="665" w:type="dxa"/>
          </w:tcPr>
          <w:p>
            <w:pPr>
              <w:pStyle w:val="TableParagraph"/>
              <w:spacing w:before="4"/>
              <w:jc w:val="left"/>
              <w:rPr>
                <w:rFonts w:ascii="黑体"/>
                <w:sz w:val="15"/>
              </w:rPr>
            </w:pPr>
          </w:p>
          <w:p>
            <w:pPr>
              <w:pStyle w:val="TableParagraph"/>
              <w:spacing w:before="0" w:line="324" w:lineRule="auto"/>
              <w:ind w:left="240" w:right="143" w:hanging="92"/>
              <w:jc w:val="left"/>
              <w:rPr>
                <w:rFonts w:ascii="仿宋" w:eastAsia="仿宋" w:hint="eastAsia"/>
                <w:sz w:val="18"/>
              </w:rPr>
            </w:pPr>
            <w:r>
              <w:rPr>
                <w:rFonts w:ascii="仿宋" w:eastAsia="仿宋" w:hint="eastAsia"/>
                <w:sz w:val="18"/>
              </w:rPr>
              <w:t>金山区</w:t>
            </w:r>
          </w:p>
        </w:tc>
        <w:tc>
          <w:tcPr>
            <w:tcW w:w="665" w:type="dxa"/>
          </w:tcPr>
          <w:p>
            <w:pPr>
              <w:pStyle w:val="TableParagraph"/>
              <w:spacing w:before="4"/>
              <w:jc w:val="left"/>
              <w:rPr>
                <w:rFonts w:ascii="黑体"/>
                <w:sz w:val="15"/>
              </w:rPr>
            </w:pPr>
          </w:p>
          <w:p>
            <w:pPr>
              <w:pStyle w:val="TableParagraph"/>
              <w:spacing w:before="0" w:line="324" w:lineRule="auto"/>
              <w:ind w:left="240" w:right="143" w:hanging="92"/>
              <w:jc w:val="left"/>
              <w:rPr>
                <w:rFonts w:ascii="仿宋" w:eastAsia="仿宋" w:hint="eastAsia"/>
                <w:sz w:val="18"/>
              </w:rPr>
            </w:pPr>
            <w:r>
              <w:rPr>
                <w:rFonts w:ascii="仿宋" w:eastAsia="仿宋" w:hint="eastAsia"/>
                <w:sz w:val="18"/>
              </w:rPr>
              <w:t>青浦区</w:t>
            </w:r>
          </w:p>
        </w:tc>
        <w:tc>
          <w:tcPr>
            <w:tcW w:w="665" w:type="dxa"/>
          </w:tcPr>
          <w:p>
            <w:pPr>
              <w:pStyle w:val="TableParagraph"/>
              <w:spacing w:before="4"/>
              <w:jc w:val="left"/>
              <w:rPr>
                <w:rFonts w:ascii="黑体"/>
                <w:sz w:val="15"/>
              </w:rPr>
            </w:pPr>
          </w:p>
          <w:p>
            <w:pPr>
              <w:pStyle w:val="TableParagraph"/>
              <w:spacing w:before="0" w:line="324" w:lineRule="auto"/>
              <w:ind w:left="240" w:right="143" w:hanging="92"/>
              <w:jc w:val="left"/>
              <w:rPr>
                <w:rFonts w:ascii="仿宋" w:eastAsia="仿宋" w:hint="eastAsia"/>
                <w:sz w:val="18"/>
              </w:rPr>
            </w:pPr>
            <w:r>
              <w:rPr>
                <w:rFonts w:ascii="仿宋" w:eastAsia="仿宋" w:hint="eastAsia"/>
                <w:sz w:val="18"/>
              </w:rPr>
              <w:t>松江区</w:t>
            </w:r>
          </w:p>
        </w:tc>
        <w:tc>
          <w:tcPr>
            <w:tcW w:w="665" w:type="dxa"/>
          </w:tcPr>
          <w:p>
            <w:pPr>
              <w:pStyle w:val="TableParagraph"/>
              <w:spacing w:before="4"/>
              <w:jc w:val="left"/>
              <w:rPr>
                <w:rFonts w:ascii="黑体"/>
                <w:sz w:val="15"/>
              </w:rPr>
            </w:pPr>
          </w:p>
          <w:p>
            <w:pPr>
              <w:pStyle w:val="TableParagraph"/>
              <w:spacing w:before="0" w:line="324" w:lineRule="auto"/>
              <w:ind w:left="240" w:right="143" w:hanging="92"/>
              <w:jc w:val="left"/>
              <w:rPr>
                <w:rFonts w:ascii="仿宋" w:eastAsia="仿宋" w:hint="eastAsia"/>
                <w:sz w:val="18"/>
              </w:rPr>
            </w:pPr>
            <w:r>
              <w:rPr>
                <w:rFonts w:ascii="仿宋" w:eastAsia="仿宋" w:hint="eastAsia"/>
                <w:sz w:val="18"/>
              </w:rPr>
              <w:t>奉贤区</w:t>
            </w:r>
          </w:p>
        </w:tc>
        <w:tc>
          <w:tcPr>
            <w:tcW w:w="814" w:type="dxa"/>
          </w:tcPr>
          <w:p>
            <w:pPr>
              <w:pStyle w:val="TableParagraph"/>
              <w:spacing w:before="40" w:line="324" w:lineRule="auto"/>
              <w:ind w:left="314" w:right="127" w:hanging="180"/>
              <w:jc w:val="left"/>
              <w:rPr>
                <w:rFonts w:ascii="仿宋" w:eastAsia="仿宋" w:hint="eastAsia"/>
                <w:sz w:val="18"/>
              </w:rPr>
            </w:pPr>
            <w:r>
              <w:rPr>
                <w:rFonts w:ascii="仿宋" w:eastAsia="仿宋" w:hint="eastAsia"/>
                <w:sz w:val="18"/>
              </w:rPr>
              <w:t>浦东新区</w:t>
            </w:r>
          </w:p>
          <w:p>
            <w:pPr>
              <w:pStyle w:val="TableParagraph"/>
              <w:spacing w:before="2"/>
              <w:ind w:left="134"/>
              <w:jc w:val="left"/>
              <w:rPr>
                <w:rFonts w:ascii="仿宋" w:eastAsia="仿宋" w:hint="eastAsia"/>
                <w:sz w:val="18"/>
              </w:rPr>
            </w:pPr>
            <w:r>
              <w:rPr>
                <w:rFonts w:ascii="仿宋" w:eastAsia="仿宋" w:hint="eastAsia"/>
                <w:sz w:val="18"/>
              </w:rPr>
              <w:t>（南）</w:t>
            </w:r>
          </w:p>
        </w:tc>
        <w:tc>
          <w:tcPr>
            <w:tcW w:w="815" w:type="dxa"/>
          </w:tcPr>
          <w:p>
            <w:pPr>
              <w:pStyle w:val="TableParagraph"/>
              <w:spacing w:before="40" w:line="324" w:lineRule="auto"/>
              <w:ind w:left="314" w:right="128" w:hanging="180"/>
              <w:jc w:val="left"/>
              <w:rPr>
                <w:rFonts w:ascii="仿宋" w:eastAsia="仿宋" w:hint="eastAsia"/>
                <w:sz w:val="18"/>
              </w:rPr>
            </w:pPr>
            <w:r>
              <w:rPr>
                <w:rFonts w:ascii="仿宋" w:eastAsia="仿宋" w:hint="eastAsia"/>
                <w:sz w:val="18"/>
              </w:rPr>
              <w:t>浦东新区</w:t>
            </w:r>
          </w:p>
          <w:p>
            <w:pPr>
              <w:pStyle w:val="TableParagraph"/>
              <w:spacing w:before="2"/>
              <w:ind w:left="134"/>
              <w:jc w:val="left"/>
              <w:rPr>
                <w:rFonts w:ascii="仿宋" w:eastAsia="仿宋" w:hint="eastAsia"/>
                <w:sz w:val="18"/>
              </w:rPr>
            </w:pPr>
            <w:r>
              <w:rPr>
                <w:rFonts w:ascii="仿宋" w:eastAsia="仿宋" w:hint="eastAsia"/>
                <w:sz w:val="18"/>
              </w:rPr>
              <w:t>（北）</w:t>
            </w:r>
          </w:p>
        </w:tc>
        <w:tc>
          <w:tcPr>
            <w:tcW w:w="656" w:type="dxa"/>
          </w:tcPr>
          <w:p>
            <w:pPr>
              <w:pStyle w:val="TableParagraph"/>
              <w:spacing w:before="4"/>
              <w:jc w:val="left"/>
              <w:rPr>
                <w:rFonts w:ascii="黑体"/>
                <w:sz w:val="15"/>
              </w:rPr>
            </w:pPr>
          </w:p>
          <w:p>
            <w:pPr>
              <w:pStyle w:val="TableParagraph"/>
              <w:spacing w:before="0" w:line="324" w:lineRule="auto"/>
              <w:ind w:left="234" w:right="140" w:hanging="92"/>
              <w:jc w:val="left"/>
              <w:rPr>
                <w:rFonts w:ascii="仿宋" w:eastAsia="仿宋" w:hint="eastAsia"/>
                <w:sz w:val="18"/>
              </w:rPr>
            </w:pPr>
            <w:r>
              <w:rPr>
                <w:rFonts w:ascii="仿宋" w:eastAsia="仿宋" w:hint="eastAsia"/>
                <w:sz w:val="18"/>
              </w:rPr>
              <w:t>崇明区</w:t>
            </w:r>
          </w:p>
        </w:tc>
      </w:tr>
      <w:tr>
        <w:tblPrEx>
          <w:tblW w:w="0" w:type="auto"/>
          <w:jc w:val="left"/>
          <w:tblInd w:w="110" w:type="dxa"/>
          <w:tblLayout w:type="fixed"/>
          <w:tblCellMar>
            <w:top w:w="0" w:type="dxa"/>
            <w:left w:w="0" w:type="dxa"/>
            <w:bottom w:w="0" w:type="dxa"/>
            <w:right w:w="0" w:type="dxa"/>
          </w:tblCellMar>
          <w:tblLook w:val="01E0"/>
        </w:tblPrEx>
        <w:trPr>
          <w:trHeight w:val="626"/>
          <w:jc w:val="left"/>
        </w:trPr>
        <w:tc>
          <w:tcPr>
            <w:tcW w:w="1265" w:type="dxa"/>
          </w:tcPr>
          <w:p>
            <w:pPr>
              <w:pStyle w:val="TableParagraph"/>
              <w:spacing w:before="41"/>
              <w:ind w:left="162" w:right="153"/>
              <w:rPr>
                <w:rFonts w:ascii="仿宋" w:eastAsia="仿宋" w:hint="eastAsia"/>
                <w:sz w:val="18"/>
              </w:rPr>
            </w:pPr>
            <w:r>
              <w:rPr>
                <w:rFonts w:ascii="仿宋" w:eastAsia="仿宋" w:hint="eastAsia"/>
                <w:sz w:val="18"/>
              </w:rPr>
              <w:t>地面粗糙度</w:t>
            </w:r>
          </w:p>
          <w:p>
            <w:pPr>
              <w:pStyle w:val="TableParagraph"/>
              <w:spacing w:before="81"/>
              <w:ind w:left="160" w:right="153"/>
              <w:rPr>
                <w:rFonts w:ascii="仿宋" w:eastAsia="仿宋" w:hint="eastAsia"/>
                <w:sz w:val="18"/>
              </w:rPr>
            </w:pPr>
            <w:r>
              <w:rPr>
                <w:rFonts w:ascii="仿宋" w:eastAsia="仿宋" w:hint="eastAsia"/>
                <w:sz w:val="18"/>
              </w:rPr>
              <w:t>指数</w:t>
            </w:r>
          </w:p>
        </w:tc>
        <w:tc>
          <w:tcPr>
            <w:tcW w:w="814" w:type="dxa"/>
          </w:tcPr>
          <w:p>
            <w:pPr>
              <w:pStyle w:val="TableParagraph"/>
              <w:spacing w:before="3"/>
              <w:jc w:val="left"/>
              <w:rPr>
                <w:rFonts w:ascii="黑体"/>
                <w:sz w:val="16"/>
              </w:rPr>
            </w:pPr>
          </w:p>
          <w:p>
            <w:pPr>
              <w:pStyle w:val="TableParagraph"/>
              <w:spacing w:before="1"/>
              <w:ind w:left="227" w:right="218"/>
              <w:rPr>
                <w:sz w:val="18"/>
              </w:rPr>
            </w:pPr>
            <w:r>
              <w:rPr>
                <w:sz w:val="18"/>
              </w:rPr>
              <w:t>0.32</w:t>
            </w:r>
          </w:p>
        </w:tc>
        <w:tc>
          <w:tcPr>
            <w:tcW w:w="668" w:type="dxa"/>
          </w:tcPr>
          <w:p>
            <w:pPr>
              <w:pStyle w:val="TableParagraph"/>
              <w:spacing w:before="3"/>
              <w:jc w:val="left"/>
              <w:rPr>
                <w:rFonts w:ascii="黑体"/>
                <w:sz w:val="16"/>
              </w:rPr>
            </w:pPr>
          </w:p>
          <w:p>
            <w:pPr>
              <w:pStyle w:val="TableParagraph"/>
              <w:spacing w:before="1"/>
              <w:ind w:left="154" w:right="149"/>
              <w:rPr>
                <w:sz w:val="18"/>
              </w:rPr>
            </w:pPr>
            <w:r>
              <w:rPr>
                <w:sz w:val="18"/>
              </w:rPr>
              <w:t>0.22</w:t>
            </w:r>
          </w:p>
        </w:tc>
        <w:tc>
          <w:tcPr>
            <w:tcW w:w="665" w:type="dxa"/>
          </w:tcPr>
          <w:p>
            <w:pPr>
              <w:pStyle w:val="TableParagraph"/>
              <w:spacing w:before="3"/>
              <w:jc w:val="left"/>
              <w:rPr>
                <w:rFonts w:ascii="黑体"/>
                <w:sz w:val="16"/>
              </w:rPr>
            </w:pPr>
          </w:p>
          <w:p>
            <w:pPr>
              <w:pStyle w:val="TableParagraph"/>
              <w:spacing w:before="1"/>
              <w:ind w:left="153" w:right="145"/>
              <w:rPr>
                <w:sz w:val="18"/>
              </w:rPr>
            </w:pPr>
            <w:r>
              <w:rPr>
                <w:sz w:val="18"/>
              </w:rPr>
              <w:t>0.23</w:t>
            </w:r>
          </w:p>
        </w:tc>
        <w:tc>
          <w:tcPr>
            <w:tcW w:w="665" w:type="dxa"/>
          </w:tcPr>
          <w:p>
            <w:pPr>
              <w:pStyle w:val="TableParagraph"/>
              <w:spacing w:before="3"/>
              <w:jc w:val="left"/>
              <w:rPr>
                <w:rFonts w:ascii="黑体"/>
                <w:sz w:val="16"/>
              </w:rPr>
            </w:pPr>
          </w:p>
          <w:p>
            <w:pPr>
              <w:pStyle w:val="TableParagraph"/>
              <w:spacing w:before="1"/>
              <w:ind w:left="153" w:right="145"/>
              <w:rPr>
                <w:sz w:val="18"/>
              </w:rPr>
            </w:pPr>
            <w:r>
              <w:rPr>
                <w:sz w:val="18"/>
              </w:rPr>
              <w:t>0.18</w:t>
            </w:r>
          </w:p>
        </w:tc>
        <w:tc>
          <w:tcPr>
            <w:tcW w:w="665" w:type="dxa"/>
          </w:tcPr>
          <w:p>
            <w:pPr>
              <w:pStyle w:val="TableParagraph"/>
              <w:spacing w:before="3"/>
              <w:jc w:val="left"/>
              <w:rPr>
                <w:rFonts w:ascii="黑体"/>
                <w:sz w:val="16"/>
              </w:rPr>
            </w:pPr>
          </w:p>
          <w:p>
            <w:pPr>
              <w:pStyle w:val="TableParagraph"/>
              <w:spacing w:before="1"/>
              <w:ind w:left="153" w:right="146"/>
              <w:rPr>
                <w:sz w:val="18"/>
              </w:rPr>
            </w:pPr>
            <w:r>
              <w:rPr>
                <w:sz w:val="18"/>
              </w:rPr>
              <w:t>0.13</w:t>
            </w:r>
          </w:p>
        </w:tc>
        <w:tc>
          <w:tcPr>
            <w:tcW w:w="665" w:type="dxa"/>
          </w:tcPr>
          <w:p>
            <w:pPr>
              <w:pStyle w:val="TableParagraph"/>
              <w:spacing w:before="3"/>
              <w:jc w:val="left"/>
              <w:rPr>
                <w:rFonts w:ascii="黑体"/>
                <w:sz w:val="16"/>
              </w:rPr>
            </w:pPr>
          </w:p>
          <w:p>
            <w:pPr>
              <w:pStyle w:val="TableParagraph"/>
              <w:spacing w:before="1"/>
              <w:ind w:left="153" w:right="146"/>
              <w:rPr>
                <w:sz w:val="18"/>
              </w:rPr>
            </w:pPr>
            <w:r>
              <w:rPr>
                <w:sz w:val="18"/>
              </w:rPr>
              <w:t>0.15</w:t>
            </w:r>
          </w:p>
        </w:tc>
        <w:tc>
          <w:tcPr>
            <w:tcW w:w="665" w:type="dxa"/>
          </w:tcPr>
          <w:p>
            <w:pPr>
              <w:pStyle w:val="TableParagraph"/>
              <w:spacing w:before="3"/>
              <w:jc w:val="left"/>
              <w:rPr>
                <w:rFonts w:ascii="黑体"/>
                <w:sz w:val="16"/>
              </w:rPr>
            </w:pPr>
          </w:p>
          <w:p>
            <w:pPr>
              <w:pStyle w:val="TableParagraph"/>
              <w:spacing w:before="1"/>
              <w:ind w:left="153" w:right="146"/>
              <w:rPr>
                <w:sz w:val="18"/>
              </w:rPr>
            </w:pPr>
            <w:r>
              <w:rPr>
                <w:sz w:val="18"/>
              </w:rPr>
              <w:t>0.18</w:t>
            </w:r>
          </w:p>
        </w:tc>
        <w:tc>
          <w:tcPr>
            <w:tcW w:w="665" w:type="dxa"/>
          </w:tcPr>
          <w:p>
            <w:pPr>
              <w:pStyle w:val="TableParagraph"/>
              <w:spacing w:before="3"/>
              <w:jc w:val="left"/>
              <w:rPr>
                <w:rFonts w:ascii="黑体"/>
                <w:sz w:val="16"/>
              </w:rPr>
            </w:pPr>
          </w:p>
          <w:p>
            <w:pPr>
              <w:pStyle w:val="TableParagraph"/>
              <w:spacing w:before="1"/>
              <w:ind w:left="153" w:right="146"/>
              <w:rPr>
                <w:sz w:val="18"/>
              </w:rPr>
            </w:pPr>
            <w:r>
              <w:rPr>
                <w:sz w:val="18"/>
              </w:rPr>
              <w:t>0.15</w:t>
            </w:r>
          </w:p>
        </w:tc>
        <w:tc>
          <w:tcPr>
            <w:tcW w:w="814" w:type="dxa"/>
          </w:tcPr>
          <w:p>
            <w:pPr>
              <w:pStyle w:val="TableParagraph"/>
              <w:spacing w:before="3"/>
              <w:jc w:val="left"/>
              <w:rPr>
                <w:rFonts w:ascii="黑体"/>
                <w:sz w:val="16"/>
              </w:rPr>
            </w:pPr>
          </w:p>
          <w:p>
            <w:pPr>
              <w:pStyle w:val="TableParagraph"/>
              <w:spacing w:before="1"/>
              <w:ind w:left="226" w:right="220"/>
              <w:rPr>
                <w:sz w:val="18"/>
              </w:rPr>
            </w:pPr>
            <w:r>
              <w:rPr>
                <w:sz w:val="18"/>
              </w:rPr>
              <w:t>0.16</w:t>
            </w:r>
          </w:p>
        </w:tc>
        <w:tc>
          <w:tcPr>
            <w:tcW w:w="815" w:type="dxa"/>
          </w:tcPr>
          <w:p>
            <w:pPr>
              <w:pStyle w:val="TableParagraph"/>
              <w:spacing w:before="3"/>
              <w:jc w:val="left"/>
              <w:rPr>
                <w:rFonts w:ascii="黑体"/>
                <w:sz w:val="16"/>
              </w:rPr>
            </w:pPr>
          </w:p>
          <w:p>
            <w:pPr>
              <w:pStyle w:val="TableParagraph"/>
              <w:spacing w:before="1"/>
              <w:ind w:left="227" w:right="223"/>
              <w:rPr>
                <w:sz w:val="18"/>
              </w:rPr>
            </w:pPr>
            <w:r>
              <w:rPr>
                <w:sz w:val="18"/>
              </w:rPr>
              <w:t>0.22</w:t>
            </w:r>
          </w:p>
        </w:tc>
        <w:tc>
          <w:tcPr>
            <w:tcW w:w="656" w:type="dxa"/>
          </w:tcPr>
          <w:p>
            <w:pPr>
              <w:pStyle w:val="TableParagraph"/>
              <w:spacing w:before="3"/>
              <w:jc w:val="left"/>
              <w:rPr>
                <w:rFonts w:ascii="黑体"/>
                <w:sz w:val="16"/>
              </w:rPr>
            </w:pPr>
          </w:p>
          <w:p>
            <w:pPr>
              <w:pStyle w:val="TableParagraph"/>
              <w:spacing w:before="1"/>
              <w:ind w:left="147" w:right="144"/>
              <w:rPr>
                <w:sz w:val="18"/>
              </w:rPr>
            </w:pPr>
            <w:r>
              <w:rPr>
                <w:sz w:val="18"/>
              </w:rPr>
              <w:t>0.15</w:t>
            </w:r>
          </w:p>
        </w:tc>
      </w:tr>
    </w:tbl>
    <w:p>
      <w:pPr>
        <w:spacing w:after="0"/>
        <w:rPr>
          <w:sz w:val="18"/>
        </w:rPr>
      </w:pPr>
      <w:r>
        <w:rPr>
          <w:sz w:val="18"/>
        </w:rPr>
        <w:br/>
      </w:r>
      <w:r>
        <w:rPr>
          <w:sz w:val="18"/>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22" w:history="1">
        <w:r>
          <w:rPr>
            <w:rFonts w:ascii="SimSun" w:eastAsia="SimSun" w:hAnsi="SimSun" w:cs="SimSun"/>
            <w:b/>
            <w:bCs/>
            <w:color w:val="0000EE"/>
            <w:sz w:val="30"/>
            <w:szCs w:val="30"/>
            <w:u w:val="single" w:color="0000EE"/>
          </w:rPr>
          <w:t>https://d.book118.com/598134017124006040</w:t>
        </w:r>
      </w:hyperlink>
    </w:p>
    <w:p>
      <w:pPr>
        <w:spacing w:after="0"/>
        <w:rPr>
          <w:sz w:val="18"/>
        </w:rPr>
      </w:pPr>
    </w:p>
    <w:sectPr>
      <w:footerReference w:type="default" r:id="rId23"/>
      <w:pgSz w:w="11910" w:h="16840"/>
      <w:pgMar w:top="1440" w:right="1080" w:bottom="1600" w:left="1340" w:header="0" w:footer="1403"/>
      <w:pgNumType w:start="11"/>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黑体">
    <w:altName w:val="黑体"/>
    <w:charset w:val="86"/>
    <w:family w:val="modern"/>
    <w:pitch w:val="fixed"/>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Calibri">
    <w:altName w:val="Calibri"/>
    <w:charset w:val="00"/>
    <w:family w:val="swiss"/>
    <w:pitch w:val="variable"/>
    <w:sig w:usb0="00000000" w:usb1="00000000" w:usb2="00000000" w:usb3="00000000" w:csb0="00000001" w:csb1="00000000"/>
  </w:font>
  <w:font w:name="仿宋">
    <w:altName w:val="仿宋"/>
    <w:charset w:val="86"/>
    <w:family w:val="modern"/>
    <w:pitch w:val="fixed"/>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5pt;height:12pt;margin-top:753.68pt;margin-left:295.21pt;mso-position-horizontal-relative:page;mso-position-vertical-relative:page;position:absolute;z-index:-251658240" filled="f" stroked="f">
          <v:textbox inset="0,0,0,0">
            <w:txbxContent>
              <w:p>
                <w:pPr>
                  <w:spacing w:before="12"/>
                  <w:ind w:left="20" w:right="0" w:firstLine="0"/>
                  <w:jc w:val="left"/>
                  <w:rPr>
                    <w:sz w:val="18"/>
                  </w:rPr>
                </w:pPr>
                <w:r>
                  <w:rPr>
                    <w:w w:val="99"/>
                    <w:sz w:val="18"/>
                  </w:rPr>
                  <w:t>I</w:t>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15.15pt;height:12pt;margin-top:760.76pt;margin-left:290.21pt;mso-position-horizontal-relative:page;mso-position-vertical-relative:page;position:absolute;z-index:-251649024" filled="f" stroked="f">
          <v:textbox inset="0,0,0,0">
            <w:txbxContent>
              <w:p>
                <w:pPr>
                  <w:spacing w:before="12"/>
                  <w:ind w:left="60" w:right="0" w:firstLine="0"/>
                  <w:jc w:val="left"/>
                  <w:rPr>
                    <w:sz w:val="18"/>
                  </w:rPr>
                </w:pPr>
                <w:r>
                  <w:fldChar w:fldCharType="begin"/>
                </w:r>
                <w:r>
                  <w:rPr>
                    <w:sz w:val="18"/>
                  </w:rPr>
                  <w:instrText xml:space="preserve"> PAGE </w:instrText>
                </w:r>
                <w:r>
                  <w:fldChar w:fldCharType="separate"/>
                </w:r>
                <w:r>
                  <w:rPr>
                    <w:sz w:val="18"/>
                  </w:rPr>
                  <w:t>9</w:t>
                </w:r>
                <w:r>
                  <w:fldChar w:fldCharType="end"/>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15.15pt;height:12pt;margin-top:760.76pt;margin-left:290.21pt;mso-position-horizontal-relative:page;mso-position-vertical-relative:page;position:absolute;z-index:-251648000" filled="f" stroked="f">
          <v:textbox inset="0,0,0,0">
            <w:txbxContent>
              <w:p>
                <w:pPr>
                  <w:spacing w:before="12"/>
                  <w:ind w:left="60" w:right="0" w:firstLine="0"/>
                  <w:jc w:val="left"/>
                  <w:rPr>
                    <w:sz w:val="18"/>
                  </w:rPr>
                </w:pPr>
                <w:r>
                  <w:fldChar w:fldCharType="begin"/>
                </w:r>
                <w:r>
                  <w:rPr>
                    <w:sz w:val="18"/>
                  </w:rPr>
                  <w:instrText xml:space="preserve"> PAGE </w:instrText>
                </w:r>
                <w:r>
                  <w:fldChar w:fldCharType="separate"/>
                </w:r>
                <w:r>
                  <w:rPr>
                    <w:sz w:val="18"/>
                  </w:rPr>
                  <w:t>10</w:t>
                </w:r>
                <w:r>
                  <w:fldChar w:fldCharType="end"/>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15.15pt;height:12pt;margin-top:760.76pt;margin-left:290.21pt;mso-position-horizontal-relative:page;mso-position-vertical-relative:page;position:absolute;z-index:-251646976" filled="f" stroked="f">
          <v:textbox inset="0,0,0,0">
            <w:txbxContent>
              <w:p>
                <w:pPr>
                  <w:spacing w:before="12"/>
                  <w:ind w:left="60" w:right="0" w:firstLine="0"/>
                  <w:jc w:val="left"/>
                  <w:rPr>
                    <w:sz w:val="18"/>
                  </w:rPr>
                </w:pPr>
                <w:r>
                  <w:fldChar w:fldCharType="begin"/>
                </w:r>
                <w:r>
                  <w:rPr>
                    <w:sz w:val="18"/>
                  </w:rPr>
                  <w:instrText xml:space="preserve"> PAGE </w:instrText>
                </w:r>
                <w:r>
                  <w:fldChar w:fldCharType="separate"/>
                </w:r>
                <w:r>
                  <w:rPr>
                    <w:sz w:val="18"/>
                  </w:rPr>
                  <w:t>11</w:t>
                </w:r>
                <w:r>
                  <w:fldChar w:fldCharType="end"/>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15.15pt;height:12pt;margin-top:760.76pt;margin-left:290.21pt;mso-position-horizontal-relative:page;mso-position-vertical-relative:page;position:absolute;z-index:-251657216" filled="f" stroked="f">
          <v:textbox inset="0,0,0,0">
            <w:txbxContent>
              <w:p>
                <w:pPr>
                  <w:spacing w:before="12"/>
                  <w:ind w:left="60" w:right="0" w:firstLine="0"/>
                  <w:jc w:val="left"/>
                  <w:rPr>
                    <w:sz w:val="18"/>
                  </w:rPr>
                </w:pPr>
                <w:r>
                  <w:fldChar w:fldCharType="begin"/>
                </w:r>
                <w:r>
                  <w:rPr>
                    <w:sz w:val="18"/>
                  </w:rPr>
                  <w:instrText xml:space="preserve"> PAGE </w:instrText>
                </w:r>
                <w:r>
                  <w:fldChar w:fldCharType="separate"/>
                </w:r>
                <w:r>
                  <w:rPr>
                    <w:sz w:val="18"/>
                  </w:rPr>
                  <w:t>1</w:t>
                </w:r>
                <w:r>
                  <w:fldChar w:fldCharType="end"/>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15.15pt;height:12pt;margin-top:760.76pt;margin-left:290.21pt;mso-position-horizontal-relative:page;mso-position-vertical-relative:page;position:absolute;z-index:-251656192" filled="f" stroked="f">
          <v:textbox inset="0,0,0,0">
            <w:txbxContent>
              <w:p>
                <w:pPr>
                  <w:spacing w:before="12"/>
                  <w:ind w:left="60" w:right="0" w:firstLine="0"/>
                  <w:jc w:val="left"/>
                  <w:rPr>
                    <w:sz w:val="18"/>
                  </w:rPr>
                </w:pPr>
                <w:r>
                  <w:fldChar w:fldCharType="begin"/>
                </w:r>
                <w:r>
                  <w:rPr>
                    <w:sz w:val="18"/>
                  </w:rPr>
                  <w:instrText xml:space="preserve"> PAGE </w:instrText>
                </w:r>
                <w:r>
                  <w:fldChar w:fldCharType="separate"/>
                </w:r>
                <w:r>
                  <w:rPr>
                    <w:sz w:val="18"/>
                  </w:rPr>
                  <w:t>2</w:t>
                </w:r>
                <w:r>
                  <w:fldChar w:fldCharType="end"/>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15.15pt;height:12pt;margin-top:760.76pt;margin-left:290.21pt;mso-position-horizontal-relative:page;mso-position-vertical-relative:page;position:absolute;z-index:-251655168" filled="f" stroked="f">
          <v:textbox inset="0,0,0,0">
            <w:txbxContent>
              <w:p>
                <w:pPr>
                  <w:spacing w:before="12"/>
                  <w:ind w:left="60" w:right="0" w:firstLine="0"/>
                  <w:jc w:val="left"/>
                  <w:rPr>
                    <w:sz w:val="18"/>
                  </w:rPr>
                </w:pPr>
                <w:r>
                  <w:fldChar w:fldCharType="begin"/>
                </w:r>
                <w:r>
                  <w:rPr>
                    <w:sz w:val="18"/>
                  </w:rPr>
                  <w:instrText xml:space="preserve"> PAGE </w:instrText>
                </w:r>
                <w:r>
                  <w:fldChar w:fldCharType="separate"/>
                </w:r>
                <w:r>
                  <w:rPr>
                    <w:sz w:val="18"/>
                  </w:rPr>
                  <w:t>3</w:t>
                </w:r>
                <w:r>
                  <w:fldChar w:fldCharType="end"/>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15.15pt;height:12pt;margin-top:760.76pt;margin-left:290.21pt;mso-position-horizontal-relative:page;mso-position-vertical-relative:page;position:absolute;z-index:-251654144" filled="f" stroked="f">
          <v:textbox inset="0,0,0,0">
            <w:txbxContent>
              <w:p>
                <w:pPr>
                  <w:spacing w:before="12"/>
                  <w:ind w:left="60" w:right="0" w:firstLine="0"/>
                  <w:jc w:val="left"/>
                  <w:rPr>
                    <w:sz w:val="18"/>
                  </w:rPr>
                </w:pPr>
                <w:r>
                  <w:fldChar w:fldCharType="begin"/>
                </w:r>
                <w:r>
                  <w:rPr>
                    <w:sz w:val="18"/>
                  </w:rPr>
                  <w:instrText xml:space="preserve"> PAGE </w:instrText>
                </w:r>
                <w:r>
                  <w:fldChar w:fldCharType="separate"/>
                </w:r>
                <w:r>
                  <w:rPr>
                    <w:sz w:val="18"/>
                  </w:rPr>
                  <w:t>4</w:t>
                </w:r>
                <w:r>
                  <w:fldChar w:fldCharType="end"/>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15.15pt;height:12pt;margin-top:760.76pt;margin-left:290.21pt;mso-position-horizontal-relative:page;mso-position-vertical-relative:page;position:absolute;z-index:-251653120" filled="f" stroked="f">
          <v:textbox inset="0,0,0,0">
            <w:txbxContent>
              <w:p>
                <w:pPr>
                  <w:spacing w:before="12"/>
                  <w:ind w:left="60" w:right="0" w:firstLine="0"/>
                  <w:jc w:val="left"/>
                  <w:rPr>
                    <w:sz w:val="18"/>
                  </w:rPr>
                </w:pPr>
                <w:r>
                  <w:fldChar w:fldCharType="begin"/>
                </w:r>
                <w:r>
                  <w:rPr>
                    <w:sz w:val="18"/>
                  </w:rPr>
                  <w:instrText xml:space="preserve"> PAGE </w:instrText>
                </w:r>
                <w:r>
                  <w:fldChar w:fldCharType="separate"/>
                </w:r>
                <w:r>
                  <w:rPr>
                    <w:sz w:val="18"/>
                  </w:rPr>
                  <w:t>5</w:t>
                </w:r>
                <w:r>
                  <w:fldChar w:fldCharType="end"/>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15.15pt;height:12pt;margin-top:760.76pt;margin-left:290.21pt;mso-position-horizontal-relative:page;mso-position-vertical-relative:page;position:absolute;z-index:-251652096" filled="f" stroked="f">
          <v:textbox inset="0,0,0,0">
            <w:txbxContent>
              <w:p>
                <w:pPr>
                  <w:spacing w:before="12"/>
                  <w:ind w:left="60" w:right="0" w:firstLine="0"/>
                  <w:jc w:val="left"/>
                  <w:rPr>
                    <w:sz w:val="18"/>
                  </w:rPr>
                </w:pPr>
                <w:r>
                  <w:fldChar w:fldCharType="begin"/>
                </w:r>
                <w:r>
                  <w:rPr>
                    <w:sz w:val="18"/>
                  </w:rPr>
                  <w:instrText xml:space="preserve"> PAGE </w:instrText>
                </w:r>
                <w:r>
                  <w:fldChar w:fldCharType="separate"/>
                </w:r>
                <w:r>
                  <w:rPr>
                    <w:sz w:val="18"/>
                  </w:rPr>
                  <w:t>6</w:t>
                </w:r>
                <w:r>
                  <w:fldChar w:fldCharType="end"/>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15.15pt;height:12pt;margin-top:760.76pt;margin-left:290.21pt;mso-position-horizontal-relative:page;mso-position-vertical-relative:page;position:absolute;z-index:-251651072" filled="f" stroked="f">
          <v:textbox inset="0,0,0,0">
            <w:txbxContent>
              <w:p>
                <w:pPr>
                  <w:spacing w:before="12"/>
                  <w:ind w:left="60" w:right="0" w:firstLine="0"/>
                  <w:jc w:val="left"/>
                  <w:rPr>
                    <w:sz w:val="18"/>
                  </w:rPr>
                </w:pPr>
                <w:r>
                  <w:fldChar w:fldCharType="begin"/>
                </w:r>
                <w:r>
                  <w:rPr>
                    <w:sz w:val="18"/>
                  </w:rPr>
                  <w:instrText xml:space="preserve"> PAGE </w:instrText>
                </w:r>
                <w:r>
                  <w:fldChar w:fldCharType="separate"/>
                </w:r>
                <w:r>
                  <w:rPr>
                    <w:sz w:val="18"/>
                  </w:rPr>
                  <w:t>7</w:t>
                </w:r>
                <w:r>
                  <w:fldChar w:fldCharType="end"/>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15.15pt;height:12pt;margin-top:760.76pt;margin-left:290.21pt;mso-position-horizontal-relative:page;mso-position-vertical-relative:page;position:absolute;z-index:-251650048" filled="f" stroked="f">
          <v:textbox inset="0,0,0,0">
            <w:txbxContent>
              <w:p>
                <w:pPr>
                  <w:spacing w:before="12"/>
                  <w:ind w:left="60" w:right="0" w:firstLine="0"/>
                  <w:jc w:val="left"/>
                  <w:rPr>
                    <w:sz w:val="18"/>
                  </w:rPr>
                </w:pPr>
                <w:r>
                  <w:fldChar w:fldCharType="begin"/>
                </w:r>
                <w:r>
                  <w:rPr>
                    <w:sz w:val="18"/>
                  </w:rPr>
                  <w:instrText xml:space="preserve"> PAGE </w:instrText>
                </w:r>
                <w:r>
                  <w:fldChar w:fldCharType="separate"/>
                </w:r>
                <w:r>
                  <w:rPr>
                    <w:sz w:val="18"/>
                  </w:rPr>
                  <w:t>8</w:t>
                </w:r>
                <w:r>
                  <w:fldChar w:fldCharType="end"/>
                </w:r>
              </w:p>
            </w:txbxContent>
          </v:textbox>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92384"/>
    <w:multiLevelType w:val="hybridMultilevel"/>
    <w:tmpl w:val="00000000"/>
    <w:lvl w:ilvl="0">
      <w:start w:val="2"/>
      <w:numFmt w:val="decimal"/>
      <w:lvlText w:val="%1"/>
      <w:lvlJc w:val="left"/>
      <w:pPr>
        <w:ind w:left="100" w:hanging="840"/>
        <w:jc w:val="left"/>
      </w:pPr>
      <w:rPr>
        <w:rFonts w:hint="default"/>
        <w:lang w:val="en-US" w:eastAsia="zh-CN" w:bidi="ar-SA"/>
      </w:rPr>
    </w:lvl>
    <w:lvl w:ilvl="1">
      <w:start w:val="0"/>
      <w:numFmt w:val="decimal"/>
      <w:lvlText w:val="%1.%2"/>
      <w:lvlJc w:val="left"/>
      <w:pPr>
        <w:ind w:left="100" w:hanging="840"/>
        <w:jc w:val="left"/>
      </w:pPr>
      <w:rPr>
        <w:rFonts w:hint="default"/>
        <w:lang w:val="en-US" w:eastAsia="zh-CN" w:bidi="ar-SA"/>
      </w:rPr>
    </w:lvl>
    <w:lvl w:ilvl="2">
      <w:start w:val="3"/>
      <w:numFmt w:val="decimal"/>
      <w:lvlText w:val="%1.%2.%3"/>
      <w:lvlJc w:val="left"/>
      <w:pPr>
        <w:ind w:left="100" w:hanging="840"/>
        <w:jc w:val="left"/>
      </w:pPr>
      <w:rPr>
        <w:rFonts w:ascii="Times New Roman" w:eastAsia="Times New Roman" w:hAnsi="Times New Roman" w:cs="Times New Roman" w:hint="default"/>
        <w:w w:val="100"/>
        <w:sz w:val="24"/>
        <w:szCs w:val="24"/>
        <w:lang w:val="en-US" w:eastAsia="zh-CN" w:bidi="ar-SA"/>
      </w:rPr>
    </w:lvl>
    <w:lvl w:ilvl="3">
      <w:start w:val="0"/>
      <w:numFmt w:val="bullet"/>
      <w:lvlText w:val="•"/>
      <w:lvlJc w:val="left"/>
      <w:pPr>
        <w:ind w:left="2915" w:hanging="840"/>
      </w:pPr>
      <w:rPr>
        <w:rFonts w:hint="default"/>
        <w:lang w:val="en-US" w:eastAsia="zh-CN" w:bidi="ar-SA"/>
      </w:rPr>
    </w:lvl>
    <w:lvl w:ilvl="4">
      <w:start w:val="0"/>
      <w:numFmt w:val="bullet"/>
      <w:lvlText w:val="•"/>
      <w:lvlJc w:val="left"/>
      <w:pPr>
        <w:ind w:left="3854" w:hanging="840"/>
      </w:pPr>
      <w:rPr>
        <w:rFonts w:hint="default"/>
        <w:lang w:val="en-US" w:eastAsia="zh-CN" w:bidi="ar-SA"/>
      </w:rPr>
    </w:lvl>
    <w:lvl w:ilvl="5">
      <w:start w:val="0"/>
      <w:numFmt w:val="bullet"/>
      <w:lvlText w:val="•"/>
      <w:lvlJc w:val="left"/>
      <w:pPr>
        <w:ind w:left="4793" w:hanging="840"/>
      </w:pPr>
      <w:rPr>
        <w:rFonts w:hint="default"/>
        <w:lang w:val="en-US" w:eastAsia="zh-CN" w:bidi="ar-SA"/>
      </w:rPr>
    </w:lvl>
    <w:lvl w:ilvl="6">
      <w:start w:val="0"/>
      <w:numFmt w:val="bullet"/>
      <w:lvlText w:val="•"/>
      <w:lvlJc w:val="left"/>
      <w:pPr>
        <w:ind w:left="5731" w:hanging="840"/>
      </w:pPr>
      <w:rPr>
        <w:rFonts w:hint="default"/>
        <w:lang w:val="en-US" w:eastAsia="zh-CN" w:bidi="ar-SA"/>
      </w:rPr>
    </w:lvl>
    <w:lvl w:ilvl="7">
      <w:start w:val="0"/>
      <w:numFmt w:val="bullet"/>
      <w:lvlText w:val="•"/>
      <w:lvlJc w:val="left"/>
      <w:pPr>
        <w:ind w:left="6670" w:hanging="840"/>
      </w:pPr>
      <w:rPr>
        <w:rFonts w:hint="default"/>
        <w:lang w:val="en-US" w:eastAsia="zh-CN" w:bidi="ar-SA"/>
      </w:rPr>
    </w:lvl>
    <w:lvl w:ilvl="8">
      <w:start w:val="0"/>
      <w:numFmt w:val="bullet"/>
      <w:lvlText w:val="•"/>
      <w:lvlJc w:val="left"/>
      <w:pPr>
        <w:ind w:left="7609" w:hanging="840"/>
      </w:pPr>
      <w:rPr>
        <w:rFonts w:hint="default"/>
        <w:lang w:val="en-US" w:eastAsia="zh-CN" w:bidi="ar-SA"/>
      </w:rPr>
    </w:lvl>
  </w:abstractNum>
  <w:abstractNum w:abstractNumId="1">
    <w:nsid w:val="1385FEBF"/>
    <w:multiLevelType w:val="hybridMultilevel"/>
    <w:tmpl w:val="00000000"/>
    <w:lvl w:ilvl="0">
      <w:start w:val="3"/>
      <w:numFmt w:val="decimal"/>
      <w:lvlText w:val="%1"/>
      <w:lvlJc w:val="left"/>
      <w:pPr>
        <w:ind w:left="100" w:hanging="840"/>
        <w:jc w:val="left"/>
      </w:pPr>
      <w:rPr>
        <w:rFonts w:hint="default"/>
        <w:lang w:val="en-US" w:eastAsia="zh-CN" w:bidi="ar-SA"/>
      </w:rPr>
    </w:lvl>
    <w:lvl w:ilvl="1">
      <w:start w:val="0"/>
      <w:numFmt w:val="decimal"/>
      <w:lvlText w:val="%1.%2"/>
      <w:lvlJc w:val="left"/>
      <w:pPr>
        <w:ind w:left="100" w:hanging="840"/>
        <w:jc w:val="left"/>
      </w:pPr>
      <w:rPr>
        <w:rFonts w:hint="default"/>
        <w:lang w:val="en-US" w:eastAsia="zh-CN" w:bidi="ar-SA"/>
      </w:rPr>
    </w:lvl>
    <w:lvl w:ilvl="2">
      <w:start w:val="1"/>
      <w:numFmt w:val="decimal"/>
      <w:lvlText w:val="%1.%2.%3"/>
      <w:lvlJc w:val="left"/>
      <w:pPr>
        <w:ind w:left="100" w:hanging="840"/>
        <w:jc w:val="left"/>
      </w:pPr>
      <w:rPr>
        <w:rFonts w:ascii="Times New Roman" w:eastAsia="Times New Roman" w:hAnsi="Times New Roman" w:cs="Times New Roman" w:hint="default"/>
        <w:w w:val="100"/>
        <w:sz w:val="24"/>
        <w:szCs w:val="24"/>
        <w:lang w:val="en-US" w:eastAsia="zh-CN" w:bidi="ar-SA"/>
      </w:rPr>
    </w:lvl>
    <w:lvl w:ilvl="3">
      <w:start w:val="0"/>
      <w:numFmt w:val="bullet"/>
      <w:lvlText w:val="•"/>
      <w:lvlJc w:val="left"/>
      <w:pPr>
        <w:ind w:left="2915" w:hanging="840"/>
      </w:pPr>
      <w:rPr>
        <w:rFonts w:hint="default"/>
        <w:lang w:val="en-US" w:eastAsia="zh-CN" w:bidi="ar-SA"/>
      </w:rPr>
    </w:lvl>
    <w:lvl w:ilvl="4">
      <w:start w:val="0"/>
      <w:numFmt w:val="bullet"/>
      <w:lvlText w:val="•"/>
      <w:lvlJc w:val="left"/>
      <w:pPr>
        <w:ind w:left="3854" w:hanging="840"/>
      </w:pPr>
      <w:rPr>
        <w:rFonts w:hint="default"/>
        <w:lang w:val="en-US" w:eastAsia="zh-CN" w:bidi="ar-SA"/>
      </w:rPr>
    </w:lvl>
    <w:lvl w:ilvl="5">
      <w:start w:val="0"/>
      <w:numFmt w:val="bullet"/>
      <w:lvlText w:val="•"/>
      <w:lvlJc w:val="left"/>
      <w:pPr>
        <w:ind w:left="4793" w:hanging="840"/>
      </w:pPr>
      <w:rPr>
        <w:rFonts w:hint="default"/>
        <w:lang w:val="en-US" w:eastAsia="zh-CN" w:bidi="ar-SA"/>
      </w:rPr>
    </w:lvl>
    <w:lvl w:ilvl="6">
      <w:start w:val="0"/>
      <w:numFmt w:val="bullet"/>
      <w:lvlText w:val="•"/>
      <w:lvlJc w:val="left"/>
      <w:pPr>
        <w:ind w:left="5731" w:hanging="840"/>
      </w:pPr>
      <w:rPr>
        <w:rFonts w:hint="default"/>
        <w:lang w:val="en-US" w:eastAsia="zh-CN" w:bidi="ar-SA"/>
      </w:rPr>
    </w:lvl>
    <w:lvl w:ilvl="7">
      <w:start w:val="0"/>
      <w:numFmt w:val="bullet"/>
      <w:lvlText w:val="•"/>
      <w:lvlJc w:val="left"/>
      <w:pPr>
        <w:ind w:left="6670" w:hanging="840"/>
      </w:pPr>
      <w:rPr>
        <w:rFonts w:hint="default"/>
        <w:lang w:val="en-US" w:eastAsia="zh-CN" w:bidi="ar-SA"/>
      </w:rPr>
    </w:lvl>
    <w:lvl w:ilvl="8">
      <w:start w:val="0"/>
      <w:numFmt w:val="bullet"/>
      <w:lvlText w:val="•"/>
      <w:lvlJc w:val="left"/>
      <w:pPr>
        <w:ind w:left="7609" w:hanging="840"/>
      </w:pPr>
      <w:rPr>
        <w:rFonts w:hint="default"/>
        <w:lang w:val="en-US" w:eastAsia="zh-CN" w:bidi="ar-SA"/>
      </w:rPr>
    </w:lvl>
  </w:abstractNum>
  <w:abstractNum w:abstractNumId="2">
    <w:nsid w:val="1F9BD2A6"/>
    <w:multiLevelType w:val="hybridMultilevel"/>
    <w:tmpl w:val="00000000"/>
    <w:lvl w:ilvl="0">
      <w:start w:val="2"/>
      <w:numFmt w:val="upperLetter"/>
      <w:lvlText w:val="%1"/>
      <w:lvlJc w:val="left"/>
      <w:pPr>
        <w:ind w:left="940" w:hanging="840"/>
        <w:jc w:val="left"/>
      </w:pPr>
      <w:rPr>
        <w:rFonts w:hint="default"/>
        <w:lang w:val="en-US" w:eastAsia="zh-CN" w:bidi="ar-SA"/>
      </w:rPr>
    </w:lvl>
    <w:lvl w:ilvl="1">
      <w:start w:val="1"/>
      <w:numFmt w:val="decimal"/>
      <w:lvlText w:val="%1.%2"/>
      <w:lvlJc w:val="left"/>
      <w:pPr>
        <w:ind w:left="940" w:hanging="840"/>
        <w:jc w:val="left"/>
      </w:pPr>
      <w:rPr>
        <w:rFonts w:hint="default"/>
        <w:lang w:val="en-US" w:eastAsia="zh-CN" w:bidi="ar-SA"/>
      </w:rPr>
    </w:lvl>
    <w:lvl w:ilvl="2">
      <w:start w:val="1"/>
      <w:numFmt w:val="decimal"/>
      <w:lvlText w:val="%1.%2.%3"/>
      <w:lvlJc w:val="left"/>
      <w:pPr>
        <w:ind w:left="940" w:hanging="840"/>
        <w:jc w:val="left"/>
      </w:pPr>
      <w:rPr>
        <w:rFonts w:ascii="Times New Roman" w:eastAsia="Times New Roman" w:hAnsi="Times New Roman" w:cs="Times New Roman" w:hint="default"/>
        <w:w w:val="100"/>
        <w:sz w:val="24"/>
        <w:szCs w:val="24"/>
        <w:lang w:val="en-US" w:eastAsia="zh-CN" w:bidi="ar-SA"/>
      </w:rPr>
    </w:lvl>
    <w:lvl w:ilvl="3">
      <w:start w:val="0"/>
      <w:numFmt w:val="bullet"/>
      <w:lvlText w:val="•"/>
      <w:lvlJc w:val="left"/>
      <w:pPr>
        <w:ind w:left="3503" w:hanging="840"/>
      </w:pPr>
      <w:rPr>
        <w:rFonts w:hint="default"/>
        <w:lang w:val="en-US" w:eastAsia="zh-CN" w:bidi="ar-SA"/>
      </w:rPr>
    </w:lvl>
    <w:lvl w:ilvl="4">
      <w:start w:val="0"/>
      <w:numFmt w:val="bullet"/>
      <w:lvlText w:val="•"/>
      <w:lvlJc w:val="left"/>
      <w:pPr>
        <w:ind w:left="4358" w:hanging="840"/>
      </w:pPr>
      <w:rPr>
        <w:rFonts w:hint="default"/>
        <w:lang w:val="en-US" w:eastAsia="zh-CN" w:bidi="ar-SA"/>
      </w:rPr>
    </w:lvl>
    <w:lvl w:ilvl="5">
      <w:start w:val="0"/>
      <w:numFmt w:val="bullet"/>
      <w:lvlText w:val="•"/>
      <w:lvlJc w:val="left"/>
      <w:pPr>
        <w:ind w:left="5213" w:hanging="840"/>
      </w:pPr>
      <w:rPr>
        <w:rFonts w:hint="default"/>
        <w:lang w:val="en-US" w:eastAsia="zh-CN" w:bidi="ar-SA"/>
      </w:rPr>
    </w:lvl>
    <w:lvl w:ilvl="6">
      <w:start w:val="0"/>
      <w:numFmt w:val="bullet"/>
      <w:lvlText w:val="•"/>
      <w:lvlJc w:val="left"/>
      <w:pPr>
        <w:ind w:left="6067" w:hanging="840"/>
      </w:pPr>
      <w:rPr>
        <w:rFonts w:hint="default"/>
        <w:lang w:val="en-US" w:eastAsia="zh-CN" w:bidi="ar-SA"/>
      </w:rPr>
    </w:lvl>
    <w:lvl w:ilvl="7">
      <w:start w:val="0"/>
      <w:numFmt w:val="bullet"/>
      <w:lvlText w:val="•"/>
      <w:lvlJc w:val="left"/>
      <w:pPr>
        <w:ind w:left="6922" w:hanging="840"/>
      </w:pPr>
      <w:rPr>
        <w:rFonts w:hint="default"/>
        <w:lang w:val="en-US" w:eastAsia="zh-CN" w:bidi="ar-SA"/>
      </w:rPr>
    </w:lvl>
    <w:lvl w:ilvl="8">
      <w:start w:val="0"/>
      <w:numFmt w:val="bullet"/>
      <w:lvlText w:val="•"/>
      <w:lvlJc w:val="left"/>
      <w:pPr>
        <w:ind w:left="7777" w:hanging="840"/>
      </w:pPr>
      <w:rPr>
        <w:rFonts w:hint="default"/>
        <w:lang w:val="en-US" w:eastAsia="zh-CN" w:bidi="ar-SA"/>
      </w:rPr>
    </w:lvl>
  </w:abstractNum>
  <w:abstractNum w:abstractNumId="3">
    <w:nsid w:val="207FE844"/>
    <w:multiLevelType w:val="hybridMultilevel"/>
    <w:tmpl w:val="00000000"/>
    <w:lvl w:ilvl="0">
      <w:start w:val="3"/>
      <w:numFmt w:val="decimal"/>
      <w:lvlText w:val="%1"/>
      <w:lvlJc w:val="left"/>
      <w:pPr>
        <w:ind w:left="100" w:hanging="840"/>
        <w:jc w:val="left"/>
      </w:pPr>
      <w:rPr>
        <w:rFonts w:hint="default"/>
        <w:lang w:val="en-US" w:eastAsia="zh-CN" w:bidi="ar-SA"/>
      </w:rPr>
    </w:lvl>
    <w:lvl w:ilvl="1">
      <w:start w:val="0"/>
      <w:numFmt w:val="decimal"/>
      <w:lvlText w:val="%1.%2"/>
      <w:lvlJc w:val="left"/>
      <w:pPr>
        <w:ind w:left="100" w:hanging="840"/>
        <w:jc w:val="left"/>
      </w:pPr>
      <w:rPr>
        <w:rFonts w:hint="default"/>
        <w:lang w:val="en-US" w:eastAsia="zh-CN" w:bidi="ar-SA"/>
      </w:rPr>
    </w:lvl>
    <w:lvl w:ilvl="2">
      <w:start w:val="2"/>
      <w:numFmt w:val="decimal"/>
      <w:lvlText w:val="%1.%2.%3"/>
      <w:lvlJc w:val="left"/>
      <w:pPr>
        <w:ind w:left="100" w:hanging="840"/>
        <w:jc w:val="left"/>
      </w:pPr>
      <w:rPr>
        <w:rFonts w:ascii="Times New Roman" w:eastAsia="Times New Roman" w:hAnsi="Times New Roman" w:cs="Times New Roman" w:hint="default"/>
        <w:w w:val="100"/>
        <w:sz w:val="24"/>
        <w:szCs w:val="24"/>
        <w:lang w:val="en-US" w:eastAsia="zh-CN" w:bidi="ar-SA"/>
      </w:rPr>
    </w:lvl>
    <w:lvl w:ilvl="3">
      <w:start w:val="0"/>
      <w:numFmt w:val="bullet"/>
      <w:lvlText w:val="•"/>
      <w:lvlJc w:val="left"/>
      <w:pPr>
        <w:ind w:left="2915" w:hanging="840"/>
      </w:pPr>
      <w:rPr>
        <w:rFonts w:hint="default"/>
        <w:lang w:val="en-US" w:eastAsia="zh-CN" w:bidi="ar-SA"/>
      </w:rPr>
    </w:lvl>
    <w:lvl w:ilvl="4">
      <w:start w:val="0"/>
      <w:numFmt w:val="bullet"/>
      <w:lvlText w:val="•"/>
      <w:lvlJc w:val="left"/>
      <w:pPr>
        <w:ind w:left="3854" w:hanging="840"/>
      </w:pPr>
      <w:rPr>
        <w:rFonts w:hint="default"/>
        <w:lang w:val="en-US" w:eastAsia="zh-CN" w:bidi="ar-SA"/>
      </w:rPr>
    </w:lvl>
    <w:lvl w:ilvl="5">
      <w:start w:val="0"/>
      <w:numFmt w:val="bullet"/>
      <w:lvlText w:val="•"/>
      <w:lvlJc w:val="left"/>
      <w:pPr>
        <w:ind w:left="4793" w:hanging="840"/>
      </w:pPr>
      <w:rPr>
        <w:rFonts w:hint="default"/>
        <w:lang w:val="en-US" w:eastAsia="zh-CN" w:bidi="ar-SA"/>
      </w:rPr>
    </w:lvl>
    <w:lvl w:ilvl="6">
      <w:start w:val="0"/>
      <w:numFmt w:val="bullet"/>
      <w:lvlText w:val="•"/>
      <w:lvlJc w:val="left"/>
      <w:pPr>
        <w:ind w:left="5731" w:hanging="840"/>
      </w:pPr>
      <w:rPr>
        <w:rFonts w:hint="default"/>
        <w:lang w:val="en-US" w:eastAsia="zh-CN" w:bidi="ar-SA"/>
      </w:rPr>
    </w:lvl>
    <w:lvl w:ilvl="7">
      <w:start w:val="0"/>
      <w:numFmt w:val="bullet"/>
      <w:lvlText w:val="•"/>
      <w:lvlJc w:val="left"/>
      <w:pPr>
        <w:ind w:left="6670" w:hanging="840"/>
      </w:pPr>
      <w:rPr>
        <w:rFonts w:hint="default"/>
        <w:lang w:val="en-US" w:eastAsia="zh-CN" w:bidi="ar-SA"/>
      </w:rPr>
    </w:lvl>
    <w:lvl w:ilvl="8">
      <w:start w:val="0"/>
      <w:numFmt w:val="bullet"/>
      <w:lvlText w:val="•"/>
      <w:lvlJc w:val="left"/>
      <w:pPr>
        <w:ind w:left="7609" w:hanging="840"/>
      </w:pPr>
      <w:rPr>
        <w:rFonts w:hint="default"/>
        <w:lang w:val="en-US" w:eastAsia="zh-CN" w:bidi="ar-SA"/>
      </w:rPr>
    </w:lvl>
  </w:abstractNum>
  <w:abstractNum w:abstractNumId="4">
    <w:nsid w:val="25D2EFF5"/>
    <w:multiLevelType w:val="hybridMultilevel"/>
    <w:tmpl w:val="00000000"/>
    <w:lvl w:ilvl="0">
      <w:start w:val="2"/>
      <w:numFmt w:val="upperLetter"/>
      <w:lvlText w:val="%1"/>
      <w:lvlJc w:val="left"/>
      <w:pPr>
        <w:ind w:left="100" w:hanging="840"/>
        <w:jc w:val="left"/>
      </w:pPr>
      <w:rPr>
        <w:rFonts w:hint="default"/>
        <w:lang w:val="en-US" w:eastAsia="zh-CN" w:bidi="ar-SA"/>
      </w:rPr>
    </w:lvl>
    <w:lvl w:ilvl="1">
      <w:start w:val="2"/>
      <w:numFmt w:val="decimal"/>
      <w:lvlText w:val="%1.%2"/>
      <w:lvlJc w:val="left"/>
      <w:pPr>
        <w:ind w:left="100" w:hanging="840"/>
        <w:jc w:val="left"/>
      </w:pPr>
      <w:rPr>
        <w:rFonts w:hint="default"/>
        <w:lang w:val="en-US" w:eastAsia="zh-CN" w:bidi="ar-SA"/>
      </w:rPr>
    </w:lvl>
    <w:lvl w:ilvl="2">
      <w:start w:val="1"/>
      <w:numFmt w:val="decimal"/>
      <w:lvlText w:val="%1.%2.%3"/>
      <w:lvlJc w:val="left"/>
      <w:pPr>
        <w:ind w:left="100" w:hanging="840"/>
        <w:jc w:val="left"/>
      </w:pPr>
      <w:rPr>
        <w:rFonts w:ascii="Times New Roman" w:eastAsia="Times New Roman" w:hAnsi="Times New Roman" w:cs="Times New Roman" w:hint="default"/>
        <w:w w:val="100"/>
        <w:sz w:val="24"/>
        <w:szCs w:val="24"/>
        <w:lang w:val="en-US" w:eastAsia="zh-CN" w:bidi="ar-SA"/>
      </w:rPr>
    </w:lvl>
    <w:lvl w:ilvl="3">
      <w:start w:val="0"/>
      <w:numFmt w:val="bullet"/>
      <w:lvlText w:val="•"/>
      <w:lvlJc w:val="left"/>
      <w:pPr>
        <w:ind w:left="2915" w:hanging="840"/>
      </w:pPr>
      <w:rPr>
        <w:rFonts w:hint="default"/>
        <w:lang w:val="en-US" w:eastAsia="zh-CN" w:bidi="ar-SA"/>
      </w:rPr>
    </w:lvl>
    <w:lvl w:ilvl="4">
      <w:start w:val="0"/>
      <w:numFmt w:val="bullet"/>
      <w:lvlText w:val="•"/>
      <w:lvlJc w:val="left"/>
      <w:pPr>
        <w:ind w:left="3854" w:hanging="840"/>
      </w:pPr>
      <w:rPr>
        <w:rFonts w:hint="default"/>
        <w:lang w:val="en-US" w:eastAsia="zh-CN" w:bidi="ar-SA"/>
      </w:rPr>
    </w:lvl>
    <w:lvl w:ilvl="5">
      <w:start w:val="0"/>
      <w:numFmt w:val="bullet"/>
      <w:lvlText w:val="•"/>
      <w:lvlJc w:val="left"/>
      <w:pPr>
        <w:ind w:left="4793" w:hanging="840"/>
      </w:pPr>
      <w:rPr>
        <w:rFonts w:hint="default"/>
        <w:lang w:val="en-US" w:eastAsia="zh-CN" w:bidi="ar-SA"/>
      </w:rPr>
    </w:lvl>
    <w:lvl w:ilvl="6">
      <w:start w:val="0"/>
      <w:numFmt w:val="bullet"/>
      <w:lvlText w:val="•"/>
      <w:lvlJc w:val="left"/>
      <w:pPr>
        <w:ind w:left="5731" w:hanging="840"/>
      </w:pPr>
      <w:rPr>
        <w:rFonts w:hint="default"/>
        <w:lang w:val="en-US" w:eastAsia="zh-CN" w:bidi="ar-SA"/>
      </w:rPr>
    </w:lvl>
    <w:lvl w:ilvl="7">
      <w:start w:val="0"/>
      <w:numFmt w:val="bullet"/>
      <w:lvlText w:val="•"/>
      <w:lvlJc w:val="left"/>
      <w:pPr>
        <w:ind w:left="6670" w:hanging="840"/>
      </w:pPr>
      <w:rPr>
        <w:rFonts w:hint="default"/>
        <w:lang w:val="en-US" w:eastAsia="zh-CN" w:bidi="ar-SA"/>
      </w:rPr>
    </w:lvl>
    <w:lvl w:ilvl="8">
      <w:start w:val="0"/>
      <w:numFmt w:val="bullet"/>
      <w:lvlText w:val="•"/>
      <w:lvlJc w:val="left"/>
      <w:pPr>
        <w:ind w:left="7609" w:hanging="840"/>
      </w:pPr>
      <w:rPr>
        <w:rFonts w:hint="default"/>
        <w:lang w:val="en-US" w:eastAsia="zh-CN" w:bidi="ar-SA"/>
      </w:rPr>
    </w:lvl>
  </w:abstractNum>
  <w:abstractNum w:abstractNumId="5">
    <w:nsid w:val="311179B7"/>
    <w:multiLevelType w:val="hybridMultilevel"/>
    <w:tmpl w:val="00000000"/>
    <w:lvl w:ilvl="0">
      <w:start w:val="4"/>
      <w:numFmt w:val="decimal"/>
      <w:lvlText w:val="%1"/>
      <w:lvlJc w:val="left"/>
      <w:pPr>
        <w:ind w:left="100" w:hanging="840"/>
        <w:jc w:val="left"/>
      </w:pPr>
      <w:rPr>
        <w:rFonts w:hint="default"/>
        <w:lang w:val="en-US" w:eastAsia="zh-CN" w:bidi="ar-SA"/>
      </w:rPr>
    </w:lvl>
    <w:lvl w:ilvl="1">
      <w:start w:val="2"/>
      <w:numFmt w:val="decimal"/>
      <w:lvlText w:val="%1.%2"/>
      <w:lvlJc w:val="left"/>
      <w:pPr>
        <w:ind w:left="100" w:hanging="840"/>
        <w:jc w:val="left"/>
      </w:pPr>
      <w:rPr>
        <w:rFonts w:hint="default"/>
        <w:lang w:val="en-US" w:eastAsia="zh-CN" w:bidi="ar-SA"/>
      </w:rPr>
    </w:lvl>
    <w:lvl w:ilvl="2">
      <w:start w:val="1"/>
      <w:numFmt w:val="decimal"/>
      <w:lvlText w:val="%1.%2.%3"/>
      <w:lvlJc w:val="left"/>
      <w:pPr>
        <w:ind w:left="100" w:hanging="840"/>
        <w:jc w:val="left"/>
      </w:pPr>
      <w:rPr>
        <w:rFonts w:ascii="Times New Roman" w:eastAsia="Times New Roman" w:hAnsi="Times New Roman" w:cs="Times New Roman" w:hint="default"/>
        <w:w w:val="100"/>
        <w:sz w:val="24"/>
        <w:szCs w:val="24"/>
        <w:lang w:val="en-US" w:eastAsia="zh-CN" w:bidi="ar-SA"/>
      </w:rPr>
    </w:lvl>
    <w:lvl w:ilvl="3">
      <w:start w:val="0"/>
      <w:numFmt w:val="bullet"/>
      <w:lvlText w:val="•"/>
      <w:lvlJc w:val="left"/>
      <w:pPr>
        <w:ind w:left="2915" w:hanging="840"/>
      </w:pPr>
      <w:rPr>
        <w:rFonts w:hint="default"/>
        <w:lang w:val="en-US" w:eastAsia="zh-CN" w:bidi="ar-SA"/>
      </w:rPr>
    </w:lvl>
    <w:lvl w:ilvl="4">
      <w:start w:val="0"/>
      <w:numFmt w:val="bullet"/>
      <w:lvlText w:val="•"/>
      <w:lvlJc w:val="left"/>
      <w:pPr>
        <w:ind w:left="3854" w:hanging="840"/>
      </w:pPr>
      <w:rPr>
        <w:rFonts w:hint="default"/>
        <w:lang w:val="en-US" w:eastAsia="zh-CN" w:bidi="ar-SA"/>
      </w:rPr>
    </w:lvl>
    <w:lvl w:ilvl="5">
      <w:start w:val="0"/>
      <w:numFmt w:val="bullet"/>
      <w:lvlText w:val="•"/>
      <w:lvlJc w:val="left"/>
      <w:pPr>
        <w:ind w:left="4793" w:hanging="840"/>
      </w:pPr>
      <w:rPr>
        <w:rFonts w:hint="default"/>
        <w:lang w:val="en-US" w:eastAsia="zh-CN" w:bidi="ar-SA"/>
      </w:rPr>
    </w:lvl>
    <w:lvl w:ilvl="6">
      <w:start w:val="0"/>
      <w:numFmt w:val="bullet"/>
      <w:lvlText w:val="•"/>
      <w:lvlJc w:val="left"/>
      <w:pPr>
        <w:ind w:left="5731" w:hanging="840"/>
      </w:pPr>
      <w:rPr>
        <w:rFonts w:hint="default"/>
        <w:lang w:val="en-US" w:eastAsia="zh-CN" w:bidi="ar-SA"/>
      </w:rPr>
    </w:lvl>
    <w:lvl w:ilvl="7">
      <w:start w:val="0"/>
      <w:numFmt w:val="bullet"/>
      <w:lvlText w:val="•"/>
      <w:lvlJc w:val="left"/>
      <w:pPr>
        <w:ind w:left="6670" w:hanging="840"/>
      </w:pPr>
      <w:rPr>
        <w:rFonts w:hint="default"/>
        <w:lang w:val="en-US" w:eastAsia="zh-CN" w:bidi="ar-SA"/>
      </w:rPr>
    </w:lvl>
    <w:lvl w:ilvl="8">
      <w:start w:val="0"/>
      <w:numFmt w:val="bullet"/>
      <w:lvlText w:val="•"/>
      <w:lvlJc w:val="left"/>
      <w:pPr>
        <w:ind w:left="7609" w:hanging="840"/>
      </w:pPr>
      <w:rPr>
        <w:rFonts w:hint="default"/>
        <w:lang w:val="en-US" w:eastAsia="zh-CN" w:bidi="ar-SA"/>
      </w:rPr>
    </w:lvl>
  </w:abstractNum>
  <w:abstractNum w:abstractNumId="6">
    <w:nsid w:val="34708702"/>
    <w:multiLevelType w:val="hybridMultilevel"/>
    <w:tmpl w:val="00000000"/>
    <w:lvl w:ilvl="0">
      <w:start w:val="2"/>
      <w:numFmt w:val="decimal"/>
      <w:lvlText w:val="%1"/>
      <w:lvlJc w:val="left"/>
      <w:pPr>
        <w:ind w:left="940" w:hanging="840"/>
        <w:jc w:val="left"/>
      </w:pPr>
      <w:rPr>
        <w:rFonts w:hint="default"/>
        <w:lang w:val="en-US" w:eastAsia="zh-CN" w:bidi="ar-SA"/>
      </w:rPr>
    </w:lvl>
    <w:lvl w:ilvl="1">
      <w:start w:val="0"/>
      <w:numFmt w:val="decimal"/>
      <w:lvlText w:val="%1.%2"/>
      <w:lvlJc w:val="left"/>
      <w:pPr>
        <w:ind w:left="940" w:hanging="840"/>
        <w:jc w:val="left"/>
      </w:pPr>
      <w:rPr>
        <w:rFonts w:hint="default"/>
        <w:lang w:val="en-US" w:eastAsia="zh-CN" w:bidi="ar-SA"/>
      </w:rPr>
    </w:lvl>
    <w:lvl w:ilvl="2">
      <w:start w:val="1"/>
      <w:numFmt w:val="decimal"/>
      <w:lvlText w:val="%1.%2.%3"/>
      <w:lvlJc w:val="left"/>
      <w:pPr>
        <w:ind w:left="940" w:hanging="840"/>
        <w:jc w:val="left"/>
      </w:pPr>
      <w:rPr>
        <w:rFonts w:ascii="Times New Roman" w:eastAsia="Times New Roman" w:hAnsi="Times New Roman" w:cs="Times New Roman" w:hint="default"/>
        <w:w w:val="100"/>
        <w:sz w:val="24"/>
        <w:szCs w:val="24"/>
        <w:lang w:val="en-US" w:eastAsia="zh-CN" w:bidi="ar-SA"/>
      </w:rPr>
    </w:lvl>
    <w:lvl w:ilvl="3">
      <w:start w:val="0"/>
      <w:numFmt w:val="bullet"/>
      <w:lvlText w:val="•"/>
      <w:lvlJc w:val="left"/>
      <w:pPr>
        <w:ind w:left="3503" w:hanging="840"/>
      </w:pPr>
      <w:rPr>
        <w:rFonts w:hint="default"/>
        <w:lang w:val="en-US" w:eastAsia="zh-CN" w:bidi="ar-SA"/>
      </w:rPr>
    </w:lvl>
    <w:lvl w:ilvl="4">
      <w:start w:val="0"/>
      <w:numFmt w:val="bullet"/>
      <w:lvlText w:val="•"/>
      <w:lvlJc w:val="left"/>
      <w:pPr>
        <w:ind w:left="4358" w:hanging="840"/>
      </w:pPr>
      <w:rPr>
        <w:rFonts w:hint="default"/>
        <w:lang w:val="en-US" w:eastAsia="zh-CN" w:bidi="ar-SA"/>
      </w:rPr>
    </w:lvl>
    <w:lvl w:ilvl="5">
      <w:start w:val="0"/>
      <w:numFmt w:val="bullet"/>
      <w:lvlText w:val="•"/>
      <w:lvlJc w:val="left"/>
      <w:pPr>
        <w:ind w:left="5213" w:hanging="840"/>
      </w:pPr>
      <w:rPr>
        <w:rFonts w:hint="default"/>
        <w:lang w:val="en-US" w:eastAsia="zh-CN" w:bidi="ar-SA"/>
      </w:rPr>
    </w:lvl>
    <w:lvl w:ilvl="6">
      <w:start w:val="0"/>
      <w:numFmt w:val="bullet"/>
      <w:lvlText w:val="•"/>
      <w:lvlJc w:val="left"/>
      <w:pPr>
        <w:ind w:left="6067" w:hanging="840"/>
      </w:pPr>
      <w:rPr>
        <w:rFonts w:hint="default"/>
        <w:lang w:val="en-US" w:eastAsia="zh-CN" w:bidi="ar-SA"/>
      </w:rPr>
    </w:lvl>
    <w:lvl w:ilvl="7">
      <w:start w:val="0"/>
      <w:numFmt w:val="bullet"/>
      <w:lvlText w:val="•"/>
      <w:lvlJc w:val="left"/>
      <w:pPr>
        <w:ind w:left="6922" w:hanging="840"/>
      </w:pPr>
      <w:rPr>
        <w:rFonts w:hint="default"/>
        <w:lang w:val="en-US" w:eastAsia="zh-CN" w:bidi="ar-SA"/>
      </w:rPr>
    </w:lvl>
    <w:lvl w:ilvl="8">
      <w:start w:val="0"/>
      <w:numFmt w:val="bullet"/>
      <w:lvlText w:val="•"/>
      <w:lvlJc w:val="left"/>
      <w:pPr>
        <w:ind w:left="7777" w:hanging="840"/>
      </w:pPr>
      <w:rPr>
        <w:rFonts w:hint="default"/>
        <w:lang w:val="en-US" w:eastAsia="zh-CN" w:bidi="ar-SA"/>
      </w:rPr>
    </w:lvl>
  </w:abstractNum>
  <w:abstractNum w:abstractNumId="7">
    <w:nsid w:val="4224CC78"/>
    <w:multiLevelType w:val="hybridMultilevel"/>
    <w:tmpl w:val="00000000"/>
    <w:lvl w:ilvl="0">
      <w:start w:val="2"/>
      <w:numFmt w:val="upperLetter"/>
      <w:lvlText w:val="%1"/>
      <w:lvlJc w:val="left"/>
      <w:pPr>
        <w:ind w:left="3492" w:hanging="567"/>
        <w:jc w:val="left"/>
      </w:pPr>
      <w:rPr>
        <w:rFonts w:hint="default"/>
        <w:lang w:val="en-US" w:eastAsia="zh-CN" w:bidi="ar-SA"/>
      </w:rPr>
    </w:lvl>
    <w:lvl w:ilvl="1">
      <w:start w:val="1"/>
      <w:numFmt w:val="decimal"/>
      <w:lvlText w:val="%1.%2"/>
      <w:lvlJc w:val="left"/>
      <w:pPr>
        <w:ind w:left="3492" w:hanging="567"/>
        <w:jc w:val="right"/>
      </w:pPr>
      <w:rPr>
        <w:rFonts w:ascii="Times New Roman" w:eastAsia="Times New Roman" w:hAnsi="Times New Roman" w:cs="Times New Roman" w:hint="default"/>
        <w:w w:val="100"/>
        <w:sz w:val="24"/>
        <w:szCs w:val="24"/>
        <w:lang w:val="en-US" w:eastAsia="zh-CN" w:bidi="ar-SA"/>
      </w:rPr>
    </w:lvl>
    <w:lvl w:ilvl="2">
      <w:start w:val="0"/>
      <w:numFmt w:val="bullet"/>
      <w:lvlText w:val="•"/>
      <w:lvlJc w:val="left"/>
      <w:pPr>
        <w:ind w:left="4697" w:hanging="567"/>
      </w:pPr>
      <w:rPr>
        <w:rFonts w:hint="default"/>
        <w:lang w:val="en-US" w:eastAsia="zh-CN" w:bidi="ar-SA"/>
      </w:rPr>
    </w:lvl>
    <w:lvl w:ilvl="3">
      <w:start w:val="0"/>
      <w:numFmt w:val="bullet"/>
      <w:lvlText w:val="•"/>
      <w:lvlJc w:val="left"/>
      <w:pPr>
        <w:ind w:left="5295" w:hanging="567"/>
      </w:pPr>
      <w:rPr>
        <w:rFonts w:hint="default"/>
        <w:lang w:val="en-US" w:eastAsia="zh-CN" w:bidi="ar-SA"/>
      </w:rPr>
    </w:lvl>
    <w:lvl w:ilvl="4">
      <w:start w:val="0"/>
      <w:numFmt w:val="bullet"/>
      <w:lvlText w:val="•"/>
      <w:lvlJc w:val="left"/>
      <w:pPr>
        <w:ind w:left="5894" w:hanging="567"/>
      </w:pPr>
      <w:rPr>
        <w:rFonts w:hint="default"/>
        <w:lang w:val="en-US" w:eastAsia="zh-CN" w:bidi="ar-SA"/>
      </w:rPr>
    </w:lvl>
    <w:lvl w:ilvl="5">
      <w:start w:val="0"/>
      <w:numFmt w:val="bullet"/>
      <w:lvlText w:val="•"/>
      <w:lvlJc w:val="left"/>
      <w:pPr>
        <w:ind w:left="6493" w:hanging="567"/>
      </w:pPr>
      <w:rPr>
        <w:rFonts w:hint="default"/>
        <w:lang w:val="en-US" w:eastAsia="zh-CN" w:bidi="ar-SA"/>
      </w:rPr>
    </w:lvl>
    <w:lvl w:ilvl="6">
      <w:start w:val="0"/>
      <w:numFmt w:val="bullet"/>
      <w:lvlText w:val="•"/>
      <w:lvlJc w:val="left"/>
      <w:pPr>
        <w:ind w:left="7091" w:hanging="567"/>
      </w:pPr>
      <w:rPr>
        <w:rFonts w:hint="default"/>
        <w:lang w:val="en-US" w:eastAsia="zh-CN" w:bidi="ar-SA"/>
      </w:rPr>
    </w:lvl>
    <w:lvl w:ilvl="7">
      <w:start w:val="0"/>
      <w:numFmt w:val="bullet"/>
      <w:lvlText w:val="•"/>
      <w:lvlJc w:val="left"/>
      <w:pPr>
        <w:ind w:left="7690" w:hanging="567"/>
      </w:pPr>
      <w:rPr>
        <w:rFonts w:hint="default"/>
        <w:lang w:val="en-US" w:eastAsia="zh-CN" w:bidi="ar-SA"/>
      </w:rPr>
    </w:lvl>
    <w:lvl w:ilvl="8">
      <w:start w:val="0"/>
      <w:numFmt w:val="bullet"/>
      <w:lvlText w:val="•"/>
      <w:lvlJc w:val="left"/>
      <w:pPr>
        <w:ind w:left="8289" w:hanging="567"/>
      </w:pPr>
      <w:rPr>
        <w:rFonts w:hint="default"/>
        <w:lang w:val="en-US" w:eastAsia="zh-CN" w:bidi="ar-SA"/>
      </w:rPr>
    </w:lvl>
  </w:abstractNum>
  <w:abstractNum w:abstractNumId="8">
    <w:nsid w:val="52A8F096"/>
    <w:multiLevelType w:val="hybridMultilevel"/>
    <w:tmpl w:val="00000000"/>
    <w:lvl w:ilvl="0">
      <w:start w:val="4"/>
      <w:numFmt w:val="decimal"/>
      <w:lvlText w:val="%1"/>
      <w:lvlJc w:val="left"/>
      <w:pPr>
        <w:ind w:left="4209" w:hanging="548"/>
        <w:jc w:val="left"/>
      </w:pPr>
      <w:rPr>
        <w:rFonts w:hint="default"/>
        <w:lang w:val="en-US" w:eastAsia="zh-CN" w:bidi="ar-SA"/>
      </w:rPr>
    </w:lvl>
    <w:lvl w:ilvl="1">
      <w:start w:val="1"/>
      <w:numFmt w:val="decimal"/>
      <w:lvlText w:val="%1.%2"/>
      <w:lvlJc w:val="left"/>
      <w:pPr>
        <w:ind w:left="4209" w:hanging="548"/>
        <w:jc w:val="right"/>
      </w:pPr>
      <w:rPr>
        <w:rFonts w:ascii="Times New Roman" w:eastAsia="Times New Roman" w:hAnsi="Times New Roman" w:cs="Times New Roman" w:hint="default"/>
        <w:b/>
        <w:bCs/>
        <w:w w:val="100"/>
        <w:sz w:val="24"/>
        <w:szCs w:val="24"/>
        <w:lang w:val="en-US" w:eastAsia="zh-CN" w:bidi="ar-SA"/>
      </w:rPr>
    </w:lvl>
    <w:lvl w:ilvl="2">
      <w:start w:val="0"/>
      <w:numFmt w:val="bullet"/>
      <w:lvlText w:val="•"/>
      <w:lvlJc w:val="left"/>
      <w:pPr>
        <w:ind w:left="5257" w:hanging="548"/>
      </w:pPr>
      <w:rPr>
        <w:rFonts w:hint="default"/>
        <w:lang w:val="en-US" w:eastAsia="zh-CN" w:bidi="ar-SA"/>
      </w:rPr>
    </w:lvl>
    <w:lvl w:ilvl="3">
      <w:start w:val="0"/>
      <w:numFmt w:val="bullet"/>
      <w:lvlText w:val="•"/>
      <w:lvlJc w:val="left"/>
      <w:pPr>
        <w:ind w:left="5785" w:hanging="548"/>
      </w:pPr>
      <w:rPr>
        <w:rFonts w:hint="default"/>
        <w:lang w:val="en-US" w:eastAsia="zh-CN" w:bidi="ar-SA"/>
      </w:rPr>
    </w:lvl>
    <w:lvl w:ilvl="4">
      <w:start w:val="0"/>
      <w:numFmt w:val="bullet"/>
      <w:lvlText w:val="•"/>
      <w:lvlJc w:val="left"/>
      <w:pPr>
        <w:ind w:left="6314" w:hanging="548"/>
      </w:pPr>
      <w:rPr>
        <w:rFonts w:hint="default"/>
        <w:lang w:val="en-US" w:eastAsia="zh-CN" w:bidi="ar-SA"/>
      </w:rPr>
    </w:lvl>
    <w:lvl w:ilvl="5">
      <w:start w:val="0"/>
      <w:numFmt w:val="bullet"/>
      <w:lvlText w:val="•"/>
      <w:lvlJc w:val="left"/>
      <w:pPr>
        <w:ind w:left="6843" w:hanging="548"/>
      </w:pPr>
      <w:rPr>
        <w:rFonts w:hint="default"/>
        <w:lang w:val="en-US" w:eastAsia="zh-CN" w:bidi="ar-SA"/>
      </w:rPr>
    </w:lvl>
    <w:lvl w:ilvl="6">
      <w:start w:val="0"/>
      <w:numFmt w:val="bullet"/>
      <w:lvlText w:val="•"/>
      <w:lvlJc w:val="left"/>
      <w:pPr>
        <w:ind w:left="7371" w:hanging="548"/>
      </w:pPr>
      <w:rPr>
        <w:rFonts w:hint="default"/>
        <w:lang w:val="en-US" w:eastAsia="zh-CN" w:bidi="ar-SA"/>
      </w:rPr>
    </w:lvl>
    <w:lvl w:ilvl="7">
      <w:start w:val="0"/>
      <w:numFmt w:val="bullet"/>
      <w:lvlText w:val="•"/>
      <w:lvlJc w:val="left"/>
      <w:pPr>
        <w:ind w:left="7900" w:hanging="548"/>
      </w:pPr>
      <w:rPr>
        <w:rFonts w:hint="default"/>
        <w:lang w:val="en-US" w:eastAsia="zh-CN" w:bidi="ar-SA"/>
      </w:rPr>
    </w:lvl>
    <w:lvl w:ilvl="8">
      <w:start w:val="0"/>
      <w:numFmt w:val="bullet"/>
      <w:lvlText w:val="•"/>
      <w:lvlJc w:val="left"/>
      <w:pPr>
        <w:ind w:left="8429" w:hanging="548"/>
      </w:pPr>
      <w:rPr>
        <w:rFonts w:hint="default"/>
        <w:lang w:val="en-US" w:eastAsia="zh-CN" w:bidi="ar-SA"/>
      </w:rPr>
    </w:lvl>
  </w:abstractNum>
  <w:abstractNum w:abstractNumId="9">
    <w:nsid w:val="551A9020"/>
    <w:multiLevelType w:val="hybridMultilevel"/>
    <w:tmpl w:val="00000000"/>
    <w:lvl w:ilvl="0">
      <w:start w:val="4"/>
      <w:numFmt w:val="decimal"/>
      <w:lvlText w:val="%1"/>
      <w:lvlJc w:val="left"/>
      <w:pPr>
        <w:ind w:left="4209" w:hanging="548"/>
        <w:jc w:val="left"/>
      </w:pPr>
      <w:rPr>
        <w:rFonts w:hint="default"/>
        <w:lang w:val="en-US" w:eastAsia="zh-CN" w:bidi="ar-SA"/>
      </w:rPr>
    </w:lvl>
    <w:lvl w:ilvl="1">
      <w:start w:val="1"/>
      <w:numFmt w:val="decimal"/>
      <w:lvlText w:val="%1.%2"/>
      <w:lvlJc w:val="left"/>
      <w:pPr>
        <w:ind w:left="4209" w:hanging="548"/>
        <w:jc w:val="right"/>
      </w:pPr>
      <w:rPr>
        <w:rFonts w:ascii="Times New Roman" w:eastAsia="Times New Roman" w:hAnsi="Times New Roman" w:cs="Times New Roman" w:hint="default"/>
        <w:b/>
        <w:bCs/>
        <w:w w:val="100"/>
        <w:sz w:val="24"/>
        <w:szCs w:val="24"/>
        <w:lang w:val="en-US" w:eastAsia="zh-CN" w:bidi="ar-SA"/>
      </w:rPr>
    </w:lvl>
    <w:lvl w:ilvl="2">
      <w:start w:val="0"/>
      <w:numFmt w:val="bullet"/>
      <w:lvlText w:val="•"/>
      <w:lvlJc w:val="left"/>
      <w:pPr>
        <w:ind w:left="5257" w:hanging="548"/>
      </w:pPr>
      <w:rPr>
        <w:rFonts w:hint="default"/>
        <w:lang w:val="en-US" w:eastAsia="zh-CN" w:bidi="ar-SA"/>
      </w:rPr>
    </w:lvl>
    <w:lvl w:ilvl="3">
      <w:start w:val="0"/>
      <w:numFmt w:val="bullet"/>
      <w:lvlText w:val="•"/>
      <w:lvlJc w:val="left"/>
      <w:pPr>
        <w:ind w:left="5785" w:hanging="548"/>
      </w:pPr>
      <w:rPr>
        <w:rFonts w:hint="default"/>
        <w:lang w:val="en-US" w:eastAsia="zh-CN" w:bidi="ar-SA"/>
      </w:rPr>
    </w:lvl>
    <w:lvl w:ilvl="4">
      <w:start w:val="0"/>
      <w:numFmt w:val="bullet"/>
      <w:lvlText w:val="•"/>
      <w:lvlJc w:val="left"/>
      <w:pPr>
        <w:ind w:left="6314" w:hanging="548"/>
      </w:pPr>
      <w:rPr>
        <w:rFonts w:hint="default"/>
        <w:lang w:val="en-US" w:eastAsia="zh-CN" w:bidi="ar-SA"/>
      </w:rPr>
    </w:lvl>
    <w:lvl w:ilvl="5">
      <w:start w:val="0"/>
      <w:numFmt w:val="bullet"/>
      <w:lvlText w:val="•"/>
      <w:lvlJc w:val="left"/>
      <w:pPr>
        <w:ind w:left="6843" w:hanging="548"/>
      </w:pPr>
      <w:rPr>
        <w:rFonts w:hint="default"/>
        <w:lang w:val="en-US" w:eastAsia="zh-CN" w:bidi="ar-SA"/>
      </w:rPr>
    </w:lvl>
    <w:lvl w:ilvl="6">
      <w:start w:val="0"/>
      <w:numFmt w:val="bullet"/>
      <w:lvlText w:val="•"/>
      <w:lvlJc w:val="left"/>
      <w:pPr>
        <w:ind w:left="7371" w:hanging="548"/>
      </w:pPr>
      <w:rPr>
        <w:rFonts w:hint="default"/>
        <w:lang w:val="en-US" w:eastAsia="zh-CN" w:bidi="ar-SA"/>
      </w:rPr>
    </w:lvl>
    <w:lvl w:ilvl="7">
      <w:start w:val="0"/>
      <w:numFmt w:val="bullet"/>
      <w:lvlText w:val="•"/>
      <w:lvlJc w:val="left"/>
      <w:pPr>
        <w:ind w:left="7900" w:hanging="548"/>
      </w:pPr>
      <w:rPr>
        <w:rFonts w:hint="default"/>
        <w:lang w:val="en-US" w:eastAsia="zh-CN" w:bidi="ar-SA"/>
      </w:rPr>
    </w:lvl>
    <w:lvl w:ilvl="8">
      <w:start w:val="0"/>
      <w:numFmt w:val="bullet"/>
      <w:lvlText w:val="•"/>
      <w:lvlJc w:val="left"/>
      <w:pPr>
        <w:ind w:left="8429" w:hanging="548"/>
      </w:pPr>
      <w:rPr>
        <w:rFonts w:hint="default"/>
        <w:lang w:val="en-US" w:eastAsia="zh-CN" w:bidi="ar-SA"/>
      </w:rPr>
    </w:lvl>
  </w:abstractNum>
  <w:abstractNum w:abstractNumId="10">
    <w:nsid w:val="6A66E0E3"/>
    <w:multiLevelType w:val="hybridMultilevel"/>
    <w:tmpl w:val="00000000"/>
    <w:lvl w:ilvl="0">
      <w:start w:val="1"/>
      <w:numFmt w:val="decimal"/>
      <w:lvlText w:val="%1"/>
      <w:lvlJc w:val="left"/>
      <w:pPr>
        <w:ind w:left="100" w:hanging="840"/>
        <w:jc w:val="left"/>
      </w:pPr>
      <w:rPr>
        <w:rFonts w:hint="default"/>
        <w:lang w:val="en-US" w:eastAsia="zh-CN" w:bidi="ar-SA"/>
      </w:rPr>
    </w:lvl>
    <w:lvl w:ilvl="1">
      <w:start w:val="0"/>
      <w:numFmt w:val="decimal"/>
      <w:lvlText w:val="%1.%2"/>
      <w:lvlJc w:val="left"/>
      <w:pPr>
        <w:ind w:left="100" w:hanging="840"/>
        <w:jc w:val="left"/>
      </w:pPr>
      <w:rPr>
        <w:rFonts w:hint="default"/>
        <w:lang w:val="en-US" w:eastAsia="zh-CN" w:bidi="ar-SA"/>
      </w:rPr>
    </w:lvl>
    <w:lvl w:ilvl="2">
      <w:start w:val="1"/>
      <w:numFmt w:val="decimal"/>
      <w:lvlText w:val="%1.%2.%3"/>
      <w:lvlJc w:val="left"/>
      <w:pPr>
        <w:ind w:left="100" w:hanging="840"/>
        <w:jc w:val="left"/>
      </w:pPr>
      <w:rPr>
        <w:rFonts w:ascii="Times New Roman" w:eastAsia="Times New Roman" w:hAnsi="Times New Roman" w:cs="Times New Roman" w:hint="default"/>
        <w:w w:val="100"/>
        <w:sz w:val="24"/>
        <w:szCs w:val="24"/>
        <w:lang w:val="en-US" w:eastAsia="zh-CN" w:bidi="ar-SA"/>
      </w:rPr>
    </w:lvl>
    <w:lvl w:ilvl="3">
      <w:start w:val="0"/>
      <w:numFmt w:val="bullet"/>
      <w:lvlText w:val="•"/>
      <w:lvlJc w:val="left"/>
      <w:pPr>
        <w:ind w:left="2915" w:hanging="840"/>
      </w:pPr>
      <w:rPr>
        <w:rFonts w:hint="default"/>
        <w:lang w:val="en-US" w:eastAsia="zh-CN" w:bidi="ar-SA"/>
      </w:rPr>
    </w:lvl>
    <w:lvl w:ilvl="4">
      <w:start w:val="0"/>
      <w:numFmt w:val="bullet"/>
      <w:lvlText w:val="•"/>
      <w:lvlJc w:val="left"/>
      <w:pPr>
        <w:ind w:left="3854" w:hanging="840"/>
      </w:pPr>
      <w:rPr>
        <w:rFonts w:hint="default"/>
        <w:lang w:val="en-US" w:eastAsia="zh-CN" w:bidi="ar-SA"/>
      </w:rPr>
    </w:lvl>
    <w:lvl w:ilvl="5">
      <w:start w:val="0"/>
      <w:numFmt w:val="bullet"/>
      <w:lvlText w:val="•"/>
      <w:lvlJc w:val="left"/>
      <w:pPr>
        <w:ind w:left="4793" w:hanging="840"/>
      </w:pPr>
      <w:rPr>
        <w:rFonts w:hint="default"/>
        <w:lang w:val="en-US" w:eastAsia="zh-CN" w:bidi="ar-SA"/>
      </w:rPr>
    </w:lvl>
    <w:lvl w:ilvl="6">
      <w:start w:val="0"/>
      <w:numFmt w:val="bullet"/>
      <w:lvlText w:val="•"/>
      <w:lvlJc w:val="left"/>
      <w:pPr>
        <w:ind w:left="5731" w:hanging="840"/>
      </w:pPr>
      <w:rPr>
        <w:rFonts w:hint="default"/>
        <w:lang w:val="en-US" w:eastAsia="zh-CN" w:bidi="ar-SA"/>
      </w:rPr>
    </w:lvl>
    <w:lvl w:ilvl="7">
      <w:start w:val="0"/>
      <w:numFmt w:val="bullet"/>
      <w:lvlText w:val="•"/>
      <w:lvlJc w:val="left"/>
      <w:pPr>
        <w:ind w:left="6670" w:hanging="840"/>
      </w:pPr>
      <w:rPr>
        <w:rFonts w:hint="default"/>
        <w:lang w:val="en-US" w:eastAsia="zh-CN" w:bidi="ar-SA"/>
      </w:rPr>
    </w:lvl>
    <w:lvl w:ilvl="8">
      <w:start w:val="0"/>
      <w:numFmt w:val="bullet"/>
      <w:lvlText w:val="•"/>
      <w:lvlJc w:val="left"/>
      <w:pPr>
        <w:ind w:left="7609" w:hanging="840"/>
      </w:pPr>
      <w:rPr>
        <w:rFonts w:hint="default"/>
        <w:lang w:val="en-US" w:eastAsia="zh-CN" w:bidi="ar-SA"/>
      </w:rPr>
    </w:lvl>
  </w:abstractNum>
  <w:abstractNum w:abstractNumId="11">
    <w:nsid w:val="6CF7F997"/>
    <w:multiLevelType w:val="hybridMultilevel"/>
    <w:tmpl w:val="00000000"/>
    <w:lvl w:ilvl="0">
      <w:start w:val="1"/>
      <w:numFmt w:val="decimal"/>
      <w:lvlText w:val="%1"/>
      <w:lvlJc w:val="left"/>
      <w:pPr>
        <w:ind w:left="100" w:hanging="840"/>
        <w:jc w:val="left"/>
      </w:pPr>
      <w:rPr>
        <w:rFonts w:hint="default"/>
        <w:lang w:val="en-US" w:eastAsia="zh-CN" w:bidi="ar-SA"/>
      </w:rPr>
    </w:lvl>
    <w:lvl w:ilvl="1">
      <w:start w:val="0"/>
      <w:numFmt w:val="decimal"/>
      <w:lvlText w:val="%1.%2"/>
      <w:lvlJc w:val="left"/>
      <w:pPr>
        <w:ind w:left="100" w:hanging="840"/>
        <w:jc w:val="left"/>
      </w:pPr>
      <w:rPr>
        <w:rFonts w:hint="default"/>
        <w:lang w:val="en-US" w:eastAsia="zh-CN" w:bidi="ar-SA"/>
      </w:rPr>
    </w:lvl>
    <w:lvl w:ilvl="2">
      <w:start w:val="2"/>
      <w:numFmt w:val="decimal"/>
      <w:lvlText w:val="%1.%2.%3"/>
      <w:lvlJc w:val="left"/>
      <w:pPr>
        <w:ind w:left="100" w:hanging="840"/>
        <w:jc w:val="left"/>
      </w:pPr>
      <w:rPr>
        <w:rFonts w:ascii="Times New Roman" w:eastAsia="Times New Roman" w:hAnsi="Times New Roman" w:cs="Times New Roman" w:hint="default"/>
        <w:w w:val="100"/>
        <w:sz w:val="24"/>
        <w:szCs w:val="24"/>
        <w:lang w:val="en-US" w:eastAsia="zh-CN" w:bidi="ar-SA"/>
      </w:rPr>
    </w:lvl>
    <w:lvl w:ilvl="3">
      <w:start w:val="0"/>
      <w:numFmt w:val="bullet"/>
      <w:lvlText w:val="•"/>
      <w:lvlJc w:val="left"/>
      <w:pPr>
        <w:ind w:left="2915" w:hanging="840"/>
      </w:pPr>
      <w:rPr>
        <w:rFonts w:hint="default"/>
        <w:lang w:val="en-US" w:eastAsia="zh-CN" w:bidi="ar-SA"/>
      </w:rPr>
    </w:lvl>
    <w:lvl w:ilvl="4">
      <w:start w:val="0"/>
      <w:numFmt w:val="bullet"/>
      <w:lvlText w:val="•"/>
      <w:lvlJc w:val="left"/>
      <w:pPr>
        <w:ind w:left="3854" w:hanging="840"/>
      </w:pPr>
      <w:rPr>
        <w:rFonts w:hint="default"/>
        <w:lang w:val="en-US" w:eastAsia="zh-CN" w:bidi="ar-SA"/>
      </w:rPr>
    </w:lvl>
    <w:lvl w:ilvl="5">
      <w:start w:val="0"/>
      <w:numFmt w:val="bullet"/>
      <w:lvlText w:val="•"/>
      <w:lvlJc w:val="left"/>
      <w:pPr>
        <w:ind w:left="4793" w:hanging="840"/>
      </w:pPr>
      <w:rPr>
        <w:rFonts w:hint="default"/>
        <w:lang w:val="en-US" w:eastAsia="zh-CN" w:bidi="ar-SA"/>
      </w:rPr>
    </w:lvl>
    <w:lvl w:ilvl="6">
      <w:start w:val="0"/>
      <w:numFmt w:val="bullet"/>
      <w:lvlText w:val="•"/>
      <w:lvlJc w:val="left"/>
      <w:pPr>
        <w:ind w:left="5731" w:hanging="840"/>
      </w:pPr>
      <w:rPr>
        <w:rFonts w:hint="default"/>
        <w:lang w:val="en-US" w:eastAsia="zh-CN" w:bidi="ar-SA"/>
      </w:rPr>
    </w:lvl>
    <w:lvl w:ilvl="7">
      <w:start w:val="0"/>
      <w:numFmt w:val="bullet"/>
      <w:lvlText w:val="•"/>
      <w:lvlJc w:val="left"/>
      <w:pPr>
        <w:ind w:left="6670" w:hanging="840"/>
      </w:pPr>
      <w:rPr>
        <w:rFonts w:hint="default"/>
        <w:lang w:val="en-US" w:eastAsia="zh-CN" w:bidi="ar-SA"/>
      </w:rPr>
    </w:lvl>
    <w:lvl w:ilvl="8">
      <w:start w:val="0"/>
      <w:numFmt w:val="bullet"/>
      <w:lvlText w:val="•"/>
      <w:lvlJc w:val="left"/>
      <w:pPr>
        <w:ind w:left="7609" w:hanging="840"/>
      </w:pPr>
      <w:rPr>
        <w:rFonts w:hint="default"/>
        <w:lang w:val="en-US" w:eastAsia="zh-CN" w:bidi="ar-SA"/>
      </w:rPr>
    </w:lvl>
  </w:abstractNum>
  <w:abstractNum w:abstractNumId="12">
    <w:nsid w:val="79940D18"/>
    <w:multiLevelType w:val="hybridMultilevel"/>
    <w:tmpl w:val="00000000"/>
    <w:lvl w:ilvl="0">
      <w:start w:val="4"/>
      <w:numFmt w:val="decimal"/>
      <w:lvlText w:val="%1"/>
      <w:lvlJc w:val="left"/>
      <w:pPr>
        <w:ind w:left="100" w:hanging="840"/>
        <w:jc w:val="left"/>
      </w:pPr>
      <w:rPr>
        <w:rFonts w:hint="default"/>
        <w:lang w:val="en-US" w:eastAsia="zh-CN" w:bidi="ar-SA"/>
      </w:rPr>
    </w:lvl>
    <w:lvl w:ilvl="1">
      <w:start w:val="1"/>
      <w:numFmt w:val="decimal"/>
      <w:lvlText w:val="%1.%2"/>
      <w:lvlJc w:val="left"/>
      <w:pPr>
        <w:ind w:left="100" w:hanging="840"/>
        <w:jc w:val="left"/>
      </w:pPr>
      <w:rPr>
        <w:rFonts w:hint="default"/>
        <w:lang w:val="en-US" w:eastAsia="zh-CN" w:bidi="ar-SA"/>
      </w:rPr>
    </w:lvl>
    <w:lvl w:ilvl="2">
      <w:start w:val="1"/>
      <w:numFmt w:val="decimal"/>
      <w:lvlText w:val="%1.%2.%3"/>
      <w:lvlJc w:val="left"/>
      <w:pPr>
        <w:ind w:left="100" w:hanging="840"/>
        <w:jc w:val="left"/>
      </w:pPr>
      <w:rPr>
        <w:rFonts w:hint="default"/>
        <w:w w:val="100"/>
        <w:lang w:val="en-US" w:eastAsia="zh-CN" w:bidi="ar-SA"/>
      </w:rPr>
    </w:lvl>
    <w:lvl w:ilvl="3">
      <w:start w:val="0"/>
      <w:numFmt w:val="bullet"/>
      <w:lvlText w:val="•"/>
      <w:lvlJc w:val="left"/>
      <w:pPr>
        <w:ind w:left="2915" w:hanging="840"/>
      </w:pPr>
      <w:rPr>
        <w:rFonts w:hint="default"/>
        <w:lang w:val="en-US" w:eastAsia="zh-CN" w:bidi="ar-SA"/>
      </w:rPr>
    </w:lvl>
    <w:lvl w:ilvl="4">
      <w:start w:val="0"/>
      <w:numFmt w:val="bullet"/>
      <w:lvlText w:val="•"/>
      <w:lvlJc w:val="left"/>
      <w:pPr>
        <w:ind w:left="3854" w:hanging="840"/>
      </w:pPr>
      <w:rPr>
        <w:rFonts w:hint="default"/>
        <w:lang w:val="en-US" w:eastAsia="zh-CN" w:bidi="ar-SA"/>
      </w:rPr>
    </w:lvl>
    <w:lvl w:ilvl="5">
      <w:start w:val="0"/>
      <w:numFmt w:val="bullet"/>
      <w:lvlText w:val="•"/>
      <w:lvlJc w:val="left"/>
      <w:pPr>
        <w:ind w:left="4793" w:hanging="840"/>
      </w:pPr>
      <w:rPr>
        <w:rFonts w:hint="default"/>
        <w:lang w:val="en-US" w:eastAsia="zh-CN" w:bidi="ar-SA"/>
      </w:rPr>
    </w:lvl>
    <w:lvl w:ilvl="6">
      <w:start w:val="0"/>
      <w:numFmt w:val="bullet"/>
      <w:lvlText w:val="•"/>
      <w:lvlJc w:val="left"/>
      <w:pPr>
        <w:ind w:left="5731" w:hanging="840"/>
      </w:pPr>
      <w:rPr>
        <w:rFonts w:hint="default"/>
        <w:lang w:val="en-US" w:eastAsia="zh-CN" w:bidi="ar-SA"/>
      </w:rPr>
    </w:lvl>
    <w:lvl w:ilvl="7">
      <w:start w:val="0"/>
      <w:numFmt w:val="bullet"/>
      <w:lvlText w:val="•"/>
      <w:lvlJc w:val="left"/>
      <w:pPr>
        <w:ind w:left="6670" w:hanging="840"/>
      </w:pPr>
      <w:rPr>
        <w:rFonts w:hint="default"/>
        <w:lang w:val="en-US" w:eastAsia="zh-CN" w:bidi="ar-SA"/>
      </w:rPr>
    </w:lvl>
    <w:lvl w:ilvl="8">
      <w:start w:val="0"/>
      <w:numFmt w:val="bullet"/>
      <w:lvlText w:val="•"/>
      <w:lvlJc w:val="left"/>
      <w:pPr>
        <w:ind w:left="7609" w:hanging="840"/>
      </w:pPr>
      <w:rPr>
        <w:rFonts w:hint="default"/>
        <w:lang w:val="en-US" w:eastAsia="zh-CN" w:bidi="ar-SA"/>
      </w:rPr>
    </w:lvl>
  </w:abstractNum>
  <w:abstractNum w:abstractNumId="13">
    <w:nsid w:val="7B1EB5B8"/>
    <w:multiLevelType w:val="hybridMultilevel"/>
    <w:tmpl w:val="00000000"/>
    <w:lvl w:ilvl="0">
      <w:start w:val="4"/>
      <w:numFmt w:val="decimal"/>
      <w:lvlText w:val="%1"/>
      <w:lvlJc w:val="left"/>
      <w:pPr>
        <w:ind w:left="100" w:hanging="840"/>
        <w:jc w:val="left"/>
      </w:pPr>
      <w:rPr>
        <w:rFonts w:hint="default"/>
        <w:lang w:val="en-US" w:eastAsia="zh-CN" w:bidi="ar-SA"/>
      </w:rPr>
    </w:lvl>
    <w:lvl w:ilvl="1">
      <w:start w:val="2"/>
      <w:numFmt w:val="decimal"/>
      <w:lvlText w:val="%1.%2"/>
      <w:lvlJc w:val="left"/>
      <w:pPr>
        <w:ind w:left="100" w:hanging="840"/>
        <w:jc w:val="left"/>
      </w:pPr>
      <w:rPr>
        <w:rFonts w:hint="default"/>
        <w:lang w:val="en-US" w:eastAsia="zh-CN" w:bidi="ar-SA"/>
      </w:rPr>
    </w:lvl>
    <w:lvl w:ilvl="2">
      <w:start w:val="1"/>
      <w:numFmt w:val="decimal"/>
      <w:lvlText w:val="%1.%2.%3"/>
      <w:lvlJc w:val="left"/>
      <w:pPr>
        <w:ind w:left="100" w:hanging="840"/>
        <w:jc w:val="left"/>
      </w:pPr>
      <w:rPr>
        <w:rFonts w:ascii="Times New Roman" w:eastAsia="Times New Roman" w:hAnsi="Times New Roman" w:cs="Times New Roman" w:hint="default"/>
        <w:w w:val="100"/>
        <w:sz w:val="24"/>
        <w:szCs w:val="24"/>
        <w:lang w:val="en-US" w:eastAsia="zh-CN" w:bidi="ar-SA"/>
      </w:rPr>
    </w:lvl>
    <w:lvl w:ilvl="3">
      <w:start w:val="1"/>
      <w:numFmt w:val="decimal"/>
      <w:lvlText w:val="%4."/>
      <w:lvlJc w:val="left"/>
      <w:pPr>
        <w:ind w:left="940" w:hanging="420"/>
        <w:jc w:val="left"/>
      </w:pPr>
      <w:rPr>
        <w:rFonts w:ascii="Times New Roman" w:eastAsia="Times New Roman" w:hAnsi="Times New Roman" w:cs="Times New Roman" w:hint="default"/>
        <w:w w:val="100"/>
        <w:sz w:val="24"/>
        <w:szCs w:val="24"/>
        <w:lang w:val="en-US" w:eastAsia="zh-CN" w:bidi="ar-SA"/>
      </w:rPr>
    </w:lvl>
    <w:lvl w:ilvl="4">
      <w:start w:val="0"/>
      <w:numFmt w:val="bullet"/>
      <w:lvlText w:val="•"/>
      <w:lvlJc w:val="left"/>
      <w:pPr>
        <w:ind w:left="3788" w:hanging="420"/>
      </w:pPr>
      <w:rPr>
        <w:rFonts w:hint="default"/>
        <w:lang w:val="en-US" w:eastAsia="zh-CN" w:bidi="ar-SA"/>
      </w:rPr>
    </w:lvl>
    <w:lvl w:ilvl="5">
      <w:start w:val="0"/>
      <w:numFmt w:val="bullet"/>
      <w:lvlText w:val="•"/>
      <w:lvlJc w:val="left"/>
      <w:pPr>
        <w:ind w:left="4738" w:hanging="420"/>
      </w:pPr>
      <w:rPr>
        <w:rFonts w:hint="default"/>
        <w:lang w:val="en-US" w:eastAsia="zh-CN" w:bidi="ar-SA"/>
      </w:rPr>
    </w:lvl>
    <w:lvl w:ilvl="6">
      <w:start w:val="0"/>
      <w:numFmt w:val="bullet"/>
      <w:lvlText w:val="•"/>
      <w:lvlJc w:val="left"/>
      <w:pPr>
        <w:ind w:left="5688" w:hanging="420"/>
      </w:pPr>
      <w:rPr>
        <w:rFonts w:hint="default"/>
        <w:lang w:val="en-US" w:eastAsia="zh-CN" w:bidi="ar-SA"/>
      </w:rPr>
    </w:lvl>
    <w:lvl w:ilvl="7">
      <w:start w:val="0"/>
      <w:numFmt w:val="bullet"/>
      <w:lvlText w:val="•"/>
      <w:lvlJc w:val="left"/>
      <w:pPr>
        <w:ind w:left="6637" w:hanging="420"/>
      </w:pPr>
      <w:rPr>
        <w:rFonts w:hint="default"/>
        <w:lang w:val="en-US" w:eastAsia="zh-CN" w:bidi="ar-SA"/>
      </w:rPr>
    </w:lvl>
    <w:lvl w:ilvl="8">
      <w:start w:val="0"/>
      <w:numFmt w:val="bullet"/>
      <w:lvlText w:val="•"/>
      <w:lvlJc w:val="left"/>
      <w:pPr>
        <w:ind w:left="7587" w:hanging="420"/>
      </w:pPr>
      <w:rPr>
        <w:rFonts w:hint="default"/>
        <w:lang w:val="en-US" w:eastAsia="zh-CN" w:bidi="ar-SA"/>
      </w:rPr>
    </w:lvl>
  </w:abstractNum>
  <w:abstractNum w:abstractNumId="14">
    <w:nsid w:val="7E9BAF9F"/>
    <w:multiLevelType w:val="hybridMultilevel"/>
    <w:tmpl w:val="00000000"/>
    <w:lvl w:ilvl="0">
      <w:start w:val="1"/>
      <w:numFmt w:val="decimal"/>
      <w:lvlText w:val="%1."/>
      <w:lvlJc w:val="left"/>
      <w:pPr>
        <w:ind w:left="731" w:hanging="632"/>
        <w:jc w:val="left"/>
      </w:pPr>
      <w:rPr>
        <w:rFonts w:ascii="宋体" w:eastAsia="宋体" w:hAnsi="宋体" w:cs="宋体" w:hint="default"/>
        <w:w w:val="100"/>
        <w:sz w:val="21"/>
        <w:szCs w:val="21"/>
        <w:lang w:val="en-US" w:eastAsia="zh-CN" w:bidi="ar-SA"/>
      </w:rPr>
    </w:lvl>
    <w:lvl w:ilvl="1">
      <w:start w:val="1"/>
      <w:numFmt w:val="decimal"/>
      <w:lvlText w:val="%2."/>
      <w:lvlJc w:val="left"/>
      <w:pPr>
        <w:ind w:left="4581" w:hanging="420"/>
        <w:jc w:val="right"/>
      </w:pPr>
      <w:rPr>
        <w:rFonts w:ascii="Times New Roman" w:eastAsia="Times New Roman" w:hAnsi="Times New Roman" w:cs="Times New Roman" w:hint="default"/>
        <w:b/>
        <w:bCs/>
        <w:w w:val="100"/>
        <w:sz w:val="24"/>
        <w:szCs w:val="24"/>
        <w:lang w:val="en-US" w:eastAsia="zh-CN" w:bidi="ar-SA"/>
      </w:rPr>
    </w:lvl>
    <w:lvl w:ilvl="2">
      <w:start w:val="0"/>
      <w:numFmt w:val="bullet"/>
      <w:lvlText w:val="•"/>
      <w:lvlJc w:val="left"/>
      <w:pPr>
        <w:ind w:left="5125" w:hanging="420"/>
      </w:pPr>
      <w:rPr>
        <w:rFonts w:hint="default"/>
        <w:lang w:val="en-US" w:eastAsia="zh-CN" w:bidi="ar-SA"/>
      </w:rPr>
    </w:lvl>
    <w:lvl w:ilvl="3">
      <w:start w:val="0"/>
      <w:numFmt w:val="bullet"/>
      <w:lvlText w:val="•"/>
      <w:lvlJc w:val="left"/>
      <w:pPr>
        <w:ind w:left="5670" w:hanging="420"/>
      </w:pPr>
      <w:rPr>
        <w:rFonts w:hint="default"/>
        <w:lang w:val="en-US" w:eastAsia="zh-CN" w:bidi="ar-SA"/>
      </w:rPr>
    </w:lvl>
    <w:lvl w:ilvl="4">
      <w:start w:val="0"/>
      <w:numFmt w:val="bullet"/>
      <w:lvlText w:val="•"/>
      <w:lvlJc w:val="left"/>
      <w:pPr>
        <w:ind w:left="6215" w:hanging="420"/>
      </w:pPr>
      <w:rPr>
        <w:rFonts w:hint="default"/>
        <w:lang w:val="en-US" w:eastAsia="zh-CN" w:bidi="ar-SA"/>
      </w:rPr>
    </w:lvl>
    <w:lvl w:ilvl="5">
      <w:start w:val="0"/>
      <w:numFmt w:val="bullet"/>
      <w:lvlText w:val="•"/>
      <w:lvlJc w:val="left"/>
      <w:pPr>
        <w:ind w:left="6760" w:hanging="420"/>
      </w:pPr>
      <w:rPr>
        <w:rFonts w:hint="default"/>
        <w:lang w:val="en-US" w:eastAsia="zh-CN" w:bidi="ar-SA"/>
      </w:rPr>
    </w:lvl>
    <w:lvl w:ilvl="6">
      <w:start w:val="0"/>
      <w:numFmt w:val="bullet"/>
      <w:lvlText w:val="•"/>
      <w:lvlJc w:val="left"/>
      <w:pPr>
        <w:ind w:left="7305" w:hanging="420"/>
      </w:pPr>
      <w:rPr>
        <w:rFonts w:hint="default"/>
        <w:lang w:val="en-US" w:eastAsia="zh-CN" w:bidi="ar-SA"/>
      </w:rPr>
    </w:lvl>
    <w:lvl w:ilvl="7">
      <w:start w:val="0"/>
      <w:numFmt w:val="bullet"/>
      <w:lvlText w:val="•"/>
      <w:lvlJc w:val="left"/>
      <w:pPr>
        <w:ind w:left="7850" w:hanging="420"/>
      </w:pPr>
      <w:rPr>
        <w:rFonts w:hint="default"/>
        <w:lang w:val="en-US" w:eastAsia="zh-CN" w:bidi="ar-SA"/>
      </w:rPr>
    </w:lvl>
    <w:lvl w:ilvl="8">
      <w:start w:val="0"/>
      <w:numFmt w:val="bullet"/>
      <w:lvlText w:val="•"/>
      <w:lvlJc w:val="left"/>
      <w:pPr>
        <w:ind w:left="8396" w:hanging="420"/>
      </w:pPr>
      <w:rPr>
        <w:rFonts w:hint="default"/>
        <w:lang w:val="en-US" w:eastAsia="zh-CN" w:bidi="ar-SA"/>
      </w:rPr>
    </w:lvl>
  </w:abstractNum>
  <w:num w:numId="1">
    <w:abstractNumId w:val="4"/>
  </w:num>
  <w:num w:numId="2">
    <w:abstractNumId w:val="2"/>
  </w:num>
  <w:num w:numId="3">
    <w:abstractNumId w:val="7"/>
  </w:num>
  <w:num w:numId="4">
    <w:abstractNumId w:val="5"/>
  </w:num>
  <w:num w:numId="5">
    <w:abstractNumId w:val="13"/>
  </w:num>
  <w:num w:numId="6">
    <w:abstractNumId w:val="12"/>
  </w:num>
  <w:num w:numId="7">
    <w:abstractNumId w:val="8"/>
  </w:num>
  <w:num w:numId="8">
    <w:abstractNumId w:val="3"/>
  </w:num>
  <w:num w:numId="9">
    <w:abstractNumId w:val="1"/>
  </w:num>
  <w:num w:numId="10">
    <w:abstractNumId w:val="0"/>
  </w:num>
  <w:num w:numId="11">
    <w:abstractNumId w:val="6"/>
  </w:num>
  <w:num w:numId="12">
    <w:abstractNumId w:val="11"/>
  </w:num>
  <w:num w:numId="13">
    <w:abstractNumId w:val="10"/>
  </w:num>
  <w:num w:numId="14">
    <w:abstractNumId w:val="14"/>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en-US" w:eastAsia="zh-CN" w:bidi="ar-SA"/>
    </w:rPr>
  </w:style>
  <w:style w:type="paragraph" w:styleId="Heading1">
    <w:name w:val="heading 1"/>
    <w:basedOn w:val="Normal"/>
    <w:uiPriority w:val="1"/>
    <w:qFormat/>
    <w:pPr>
      <w:spacing w:before="60"/>
      <w:ind w:left="4581" w:hanging="421"/>
      <w:outlineLvl w:val="0"/>
    </w:pPr>
    <w:rPr>
      <w:rFonts w:ascii="宋体" w:eastAsia="宋体" w:hAnsi="宋体" w:cs="宋体"/>
      <w:b/>
      <w:bCs/>
      <w:sz w:val="24"/>
      <w:szCs w:val="24"/>
      <w:lang w:val="en-US" w:eastAsia="zh-CN"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276"/>
      <w:ind w:left="731" w:hanging="632"/>
    </w:pPr>
    <w:rPr>
      <w:rFonts w:ascii="宋体" w:eastAsia="宋体" w:hAnsi="宋体" w:cs="宋体"/>
      <w:sz w:val="21"/>
      <w:szCs w:val="21"/>
      <w:lang w:val="en-US" w:eastAsia="zh-CN" w:bidi="ar-SA"/>
    </w:rPr>
  </w:style>
  <w:style w:type="paragraph" w:styleId="BodyText">
    <w:name w:val="Body Text"/>
    <w:basedOn w:val="Normal"/>
    <w:uiPriority w:val="1"/>
    <w:qFormat/>
    <w:rPr>
      <w:rFonts w:ascii="仿宋" w:eastAsia="仿宋" w:hAnsi="仿宋" w:cs="仿宋"/>
      <w:sz w:val="24"/>
      <w:szCs w:val="24"/>
      <w:lang w:val="en-US" w:eastAsia="zh-CN" w:bidi="ar-SA"/>
    </w:rPr>
  </w:style>
  <w:style w:type="paragraph" w:styleId="Title">
    <w:name w:val="Title"/>
    <w:basedOn w:val="Normal"/>
    <w:uiPriority w:val="1"/>
    <w:qFormat/>
    <w:pPr>
      <w:spacing w:before="33"/>
      <w:ind w:left="1502" w:right="719"/>
      <w:jc w:val="center"/>
    </w:pPr>
    <w:rPr>
      <w:rFonts w:ascii="黑体" w:eastAsia="黑体" w:hAnsi="黑体" w:cs="黑体"/>
      <w:b/>
      <w:bCs/>
      <w:sz w:val="48"/>
      <w:szCs w:val="48"/>
      <w:lang w:val="en-US" w:eastAsia="zh-CN" w:bidi="ar-SA"/>
    </w:rPr>
  </w:style>
  <w:style w:type="paragraph" w:styleId="ListParagraph">
    <w:name w:val="List Paragraph"/>
    <w:basedOn w:val="Normal"/>
    <w:uiPriority w:val="1"/>
    <w:qFormat/>
    <w:pPr>
      <w:spacing w:before="63"/>
      <w:ind w:left="940" w:hanging="841"/>
    </w:pPr>
    <w:rPr>
      <w:rFonts w:ascii="仿宋" w:eastAsia="仿宋" w:hAnsi="仿宋" w:cs="仿宋"/>
      <w:lang w:val="en-US" w:eastAsia="zh-CN" w:bidi="ar-SA"/>
    </w:rPr>
  </w:style>
  <w:style w:type="paragraph" w:customStyle="1" w:styleId="TableParagraph">
    <w:name w:val="Table Paragraph"/>
    <w:basedOn w:val="Normal"/>
    <w:uiPriority w:val="1"/>
    <w:qFormat/>
    <w:pPr>
      <w:spacing w:before="68"/>
      <w:jc w:val="center"/>
    </w:pPr>
    <w:rPr>
      <w:rFonts w:ascii="Times New Roman" w:eastAsia="Times New Roman" w:hAnsi="Times New Roman" w:cs="Times New Roman"/>
      <w:lang w:val="en-US" w:eastAsia="zh-CN" w:bidi="ar-SA"/>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 w:type="table" w:customStyle="1" w:styleId="TableNormal4">
    <w:name w:val="Table Normal_4"/>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image" Target="media/image1.png" /><Relationship Id="rId12" Type="http://schemas.openxmlformats.org/officeDocument/2006/relationships/image" Target="media/image2.jpeg" /><Relationship Id="rId13" Type="http://schemas.openxmlformats.org/officeDocument/2006/relationships/image" Target="media/image3.jpeg" /><Relationship Id="rId14" Type="http://schemas.openxmlformats.org/officeDocument/2006/relationships/image" Target="media/image4.png" /><Relationship Id="rId15" Type="http://schemas.openxmlformats.org/officeDocument/2006/relationships/image" Target="media/image5.jpeg" /><Relationship Id="rId16" Type="http://schemas.openxmlformats.org/officeDocument/2006/relationships/footer" Target="footer8.xml" /><Relationship Id="rId17" Type="http://schemas.openxmlformats.org/officeDocument/2006/relationships/footer" Target="footer9.xml" /><Relationship Id="rId18" Type="http://schemas.openxmlformats.org/officeDocument/2006/relationships/image" Target="media/image6.jpeg" /><Relationship Id="rId19" Type="http://schemas.openxmlformats.org/officeDocument/2006/relationships/image" Target="media/image7.jpeg" /><Relationship Id="rId2" Type="http://schemas.openxmlformats.org/officeDocument/2006/relationships/webSettings" Target="webSettings.xml" /><Relationship Id="rId20" Type="http://schemas.openxmlformats.org/officeDocument/2006/relationships/footer" Target="footer10.xml" /><Relationship Id="rId21" Type="http://schemas.openxmlformats.org/officeDocument/2006/relationships/footer" Target="footer11.xml" /><Relationship Id="rId22" Type="http://schemas.openxmlformats.org/officeDocument/2006/relationships/hyperlink" Target="https://d.book118.com/598134017124006040" TargetMode="External" /><Relationship Id="rId23" Type="http://schemas.openxmlformats.org/officeDocument/2006/relationships/footer" Target="footer12.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WAG</dc:creator>
  <cp:revision>0</cp:revision>
  <dcterms:created xsi:type="dcterms:W3CDTF">2024-02-27T15:28:01Z</dcterms:created>
  <dcterms:modified xsi:type="dcterms:W3CDTF">2024-02-27T15:28:01Z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2020-03-11T00:00:00Z</vt:filetime>
  </property>
  <property fmtid="{D5CDD505-2E9C-101B-9397-08002B2CF9AE}" pid="3" name="Creator">
    <vt:lpwstr>Microsoft® Word 2016</vt:lpwstr>
  </property>
  <property fmtid="{D5CDD505-2E9C-101B-9397-08002B2CF9AE}" pid="4" name="LastSaved">
    <vt:filetime>2024-02-27T00:00:00Z</vt:filetime>
  </property>
</Properties>
</file>