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69" w:line="159" w:lineRule="auto"/>
        <w:ind w:left="9"/>
        <w:rPr>
          <w:rFonts w:ascii="宋体" w:eastAsia="宋体" w:hAnsi="宋体" w:cs="宋体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818515</wp:posOffset>
            </wp:positionH>
            <wp:positionV relativeFrom="page">
              <wp:posOffset>2494915</wp:posOffset>
            </wp:positionV>
            <wp:extent cx="5651500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818515</wp:posOffset>
            </wp:positionH>
            <wp:positionV relativeFrom="page">
              <wp:posOffset>8514715</wp:posOffset>
            </wp:positionV>
            <wp:extent cx="5651500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3"/>
          <w:sz w:val="21"/>
          <w:szCs w:val="21"/>
        </w:rPr>
        <w:t>ICS</w:t>
      </w:r>
      <w:r>
        <w:rPr>
          <w:rFonts w:ascii="宋体" w:eastAsia="宋体" w:hAnsi="宋体" w:cs="宋体"/>
          <w:spacing w:val="18"/>
          <w:sz w:val="21"/>
          <w:szCs w:val="21"/>
        </w:rPr>
        <w:t xml:space="preserve"> </w:t>
      </w:r>
      <w:r>
        <w:rPr>
          <w:rFonts w:ascii="宋体" w:eastAsia="宋体" w:hAnsi="宋体" w:cs="宋体"/>
          <w:spacing w:val="-13"/>
          <w:sz w:val="21"/>
          <w:szCs w:val="21"/>
        </w:rPr>
        <w:t>13.240</w:t>
      </w:r>
    </w:p>
    <w:p>
      <w:pPr>
        <w:spacing w:line="188" w:lineRule="auto"/>
        <w:ind w:left="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CCS</w:t>
      </w:r>
      <w:r>
        <w:rPr>
          <w:rFonts w:ascii="Times New Roman" w:eastAsia="Times New Roman" w:hAnsi="Times New Roman" w:cs="Times New Roman"/>
          <w:spacing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1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65</w:t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5"/>
      </w:pPr>
    </w:p>
    <w:p/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91" w:line="227" w:lineRule="auto"/>
        <w:ind w:left="924"/>
        <w:rPr>
          <w:rFonts w:ascii="宋体" w:eastAsia="宋体" w:hAnsi="宋体" w:cs="宋体"/>
          <w:sz w:val="85"/>
          <w:szCs w:val="85"/>
        </w:rPr>
      </w:pPr>
      <w:r>
        <w:rPr>
          <w:rFonts w:ascii="宋体" w:eastAsia="宋体" w:hAnsi="宋体" w:cs="宋体"/>
          <w:sz w:val="85"/>
          <w:szCs w:val="85"/>
        </w:rPr>
        <w:t>「</w:t>
      </w:r>
    </w:p>
    <w:p>
      <w:pPr>
        <w:pStyle w:val="BodyText"/>
        <w:spacing w:before="342" w:line="225" w:lineRule="auto"/>
        <w:rPr>
          <w:sz w:val="46"/>
          <w:szCs w:val="46"/>
        </w:rPr>
      </w:pPr>
      <w:r>
        <w:rPr>
          <w:rFonts w:hint="eastAsia"/>
          <w:spacing w:val="-5"/>
          <w:position w:val="-1"/>
          <w:sz w:val="46"/>
          <w:szCs w:val="46"/>
          <w:lang w:val="en-US" w:eastAsia="zh-CN"/>
        </w:rPr>
        <w:t>团体标准</w:t>
      </w:r>
      <w:r>
        <w:rPr>
          <w:spacing w:val="22"/>
          <w:position w:val="-1"/>
          <w:sz w:val="46"/>
          <w:szCs w:val="46"/>
        </w:rPr>
        <w:t xml:space="preserve">         </w:t>
      </w:r>
    </w:p>
    <w:p>
      <w:pPr>
        <w:spacing w:line="381" w:lineRule="auto"/>
      </w:pPr>
    </w:p>
    <w:p>
      <w:pPr>
        <w:spacing w:before="68" w:line="184" w:lineRule="auto"/>
        <w:ind w:left="719"/>
        <w:rPr>
          <w:rFonts w:ascii="宋体" w:eastAsia="宋体" w:hAnsi="宋体" w:cs="宋体"/>
        </w:rPr>
      </w:pPr>
      <w:r>
        <w:rPr>
          <w:rFonts w:ascii="宋体" w:eastAsia="宋体" w:hAnsi="宋体" w:cs="宋体"/>
          <w:spacing w:val="-1"/>
          <w:sz w:val="21"/>
          <w:szCs w:val="21"/>
        </w:rPr>
        <w:t>T/CCSAS</w:t>
      </w:r>
      <w:r>
        <w:rPr>
          <w:rFonts w:ascii="宋体" w:eastAsia="宋体" w:hAnsi="宋体" w:cs="宋体"/>
          <w:spacing w:val="16"/>
          <w:sz w:val="21"/>
          <w:szCs w:val="21"/>
        </w:rPr>
        <w:t xml:space="preserve">     </w:t>
      </w:r>
      <w:r>
        <w:rPr>
          <w:rFonts w:ascii="宋体" w:eastAsia="宋体" w:hAnsi="宋体" w:cs="宋体"/>
          <w:spacing w:val="-1"/>
          <w:sz w:val="21"/>
          <w:szCs w:val="21"/>
        </w:rPr>
        <w:t>049.1—2023</w:t>
      </w:r>
    </w:p>
    <w:p>
      <w:pPr>
        <w:spacing w:line="184" w:lineRule="auto"/>
        <w:rPr>
          <w:rFonts w:ascii="宋体" w:eastAsia="宋体" w:hAnsi="宋体" w:cs="宋体"/>
        </w:rPr>
        <w:sectPr>
          <w:pgSz w:w="11900" w:h="16840"/>
          <w:pgMar w:top="392" w:right="1710" w:bottom="0" w:left="1289" w:header="0" w:footer="0" w:gutter="0"/>
          <w:cols w:num="2" w:space="708" w:equalWidth="0">
            <w:col w:w="5321" w:space="100"/>
            <w:col w:w="3480" w:space="0"/>
          </w:cols>
        </w:sectPr>
      </w:pPr>
    </w:p>
    <w:p>
      <w:pPr>
        <w:spacing w:line="259" w:lineRule="auto"/>
      </w:pPr>
    </w:p>
    <w:p>
      <w:pPr>
        <w:spacing w:line="259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spacing w:line="260" w:lineRule="auto"/>
      </w:pPr>
    </w:p>
    <w:p>
      <w:pPr>
        <w:pStyle w:val="BodyText"/>
        <w:spacing w:before="150" w:line="680" w:lineRule="exact"/>
        <w:ind w:left="460"/>
        <w:rPr>
          <w:sz w:val="46"/>
          <w:szCs w:val="46"/>
        </w:rPr>
      </w:pPr>
      <w:r>
        <w:rPr>
          <w:spacing w:val="40"/>
          <w:position w:val="14"/>
          <w:sz w:val="46"/>
          <w:szCs w:val="46"/>
        </w:rPr>
        <w:t>石油化工企业安全泄放评估技术规范</w:t>
      </w:r>
    </w:p>
    <w:p>
      <w:pPr>
        <w:pStyle w:val="BodyText"/>
        <w:spacing w:before="1" w:line="221" w:lineRule="auto"/>
        <w:ind w:left="1860"/>
        <w:rPr>
          <w:sz w:val="46"/>
          <w:szCs w:val="46"/>
        </w:rPr>
      </w:pPr>
      <w:r>
        <w:rPr>
          <w:spacing w:val="6"/>
          <w:sz w:val="46"/>
          <w:szCs w:val="46"/>
        </w:rPr>
        <w:t>第 1</w:t>
      </w:r>
      <w:r>
        <w:rPr>
          <w:spacing w:val="-129"/>
          <w:sz w:val="46"/>
          <w:szCs w:val="46"/>
        </w:rPr>
        <w:t xml:space="preserve"> </w:t>
      </w:r>
      <w:r>
        <w:rPr>
          <w:spacing w:val="6"/>
          <w:sz w:val="46"/>
          <w:szCs w:val="46"/>
        </w:rPr>
        <w:t>部分：泄放评估总则</w:t>
      </w:r>
    </w:p>
    <w:p>
      <w:pPr>
        <w:spacing w:line="330" w:lineRule="auto"/>
      </w:pPr>
    </w:p>
    <w:p>
      <w:pPr>
        <w:spacing w:before="72" w:line="189" w:lineRule="auto"/>
        <w:ind w:left="139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Technical</w:t>
      </w:r>
      <w:r>
        <w:rPr>
          <w:rFonts w:ascii="Times New Roman" w:eastAsia="Times New Roman" w:hAnsi="Times New Roman" w:cs="Times New Roman"/>
          <w:b/>
          <w:bCs/>
          <w:spacing w:val="30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specification</w:t>
      </w:r>
      <w:r>
        <w:rPr>
          <w:rFonts w:ascii="Times New Roman" w:eastAsia="Times New Roman" w:hAnsi="Times New Roman" w:cs="Times New Roman"/>
          <w:b/>
          <w:bCs/>
          <w:spacing w:val="25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for</w:t>
      </w:r>
      <w:r>
        <w:rPr>
          <w:rFonts w:ascii="Times New Roman" w:eastAsia="Times New Roman" w:hAnsi="Times New Roman" w:cs="Times New Roman"/>
          <w:b/>
          <w:bCs/>
          <w:spacing w:val="21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pressure-relieving</w:t>
      </w:r>
      <w:r>
        <w:rPr>
          <w:rFonts w:ascii="Times New Roman" w:eastAsia="Times New Roman" w:hAnsi="Times New Roman" w:cs="Times New Roman"/>
          <w:b/>
          <w:bCs/>
          <w:spacing w:val="2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assessment</w:t>
      </w:r>
    </w:p>
    <w:p>
      <w:pPr>
        <w:spacing w:before="211" w:line="189" w:lineRule="auto"/>
        <w:ind w:left="280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of</w:t>
      </w:r>
      <w:r>
        <w:rPr>
          <w:rFonts w:ascii="Times New Roman" w:eastAsia="Times New Roman" w:hAnsi="Times New Roman" w:cs="Times New Roman"/>
          <w:b/>
          <w:bCs/>
          <w:spacing w:val="9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petrochemical</w:t>
      </w: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enterprises</w:t>
      </w: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>—</w:t>
      </w:r>
    </w:p>
    <w:p>
      <w:pPr>
        <w:spacing w:before="143" w:line="189" w:lineRule="auto"/>
        <w:ind w:left="1180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Part</w:t>
      </w:r>
      <w:r>
        <w:rPr>
          <w:rFonts w:ascii="Times New Roman" w:eastAsia="Times New Roman" w:hAnsi="Times New Roman" w:cs="Times New Roman"/>
          <w:b/>
          <w:bCs/>
          <w:spacing w:val="56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1:General</w:t>
      </w:r>
      <w:r>
        <w:rPr>
          <w:rFonts w:ascii="Times New Roman" w:eastAsia="Times New Roman" w:hAnsi="Times New Roman" w:cs="Times New Roman"/>
          <w:b/>
          <w:bCs/>
          <w:spacing w:val="44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principles</w:t>
      </w:r>
      <w:r>
        <w:rPr>
          <w:rFonts w:ascii="Times New Roman" w:eastAsia="Times New Roman" w:hAnsi="Times New Roman" w:cs="Times New Roman"/>
          <w:b/>
          <w:bCs/>
          <w:spacing w:val="48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for</w:t>
      </w:r>
      <w:r>
        <w:rPr>
          <w:rFonts w:ascii="Times New Roman" w:eastAsia="Times New Roman" w:hAnsi="Times New Roman" w:cs="Times New Roman"/>
          <w:b/>
          <w:bCs/>
          <w:spacing w:val="44"/>
          <w:w w:val="10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pressure-relieving</w:t>
      </w:r>
      <w:r>
        <w:rPr>
          <w:rFonts w:ascii="Times New Roman" w:eastAsia="Times New Roman" w:hAnsi="Times New Roman" w:cs="Times New Roman"/>
          <w:b/>
          <w:bCs/>
          <w:spacing w:val="51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5"/>
          <w:szCs w:val="25"/>
        </w:rPr>
        <w:t>assess</w:t>
      </w:r>
      <w:r>
        <w:rPr>
          <w:rFonts w:ascii="Times New Roman" w:eastAsia="Times New Roman" w:hAnsi="Times New Roman" w:cs="Times New Roman"/>
          <w:b/>
          <w:bCs/>
          <w:spacing w:val="-2"/>
          <w:sz w:val="25"/>
          <w:szCs w:val="25"/>
        </w:rPr>
        <w:t>ment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ectPr>
          <w:type w:val="continuous"/>
          <w:pgSz w:w="11900" w:h="16840"/>
          <w:pgMar w:top="392" w:right="1710" w:bottom="0" w:left="1289" w:header="0" w:footer="0" w:gutter="0"/>
          <w:pgNumType w:start="2"/>
          <w:cols w:num="1" w:space="708" w:equalWidth="0">
            <w:col w:w="8901" w:space="0"/>
          </w:cols>
        </w:sectPr>
      </w:pPr>
    </w:p>
    <w:p>
      <w:pPr>
        <w:pStyle w:val="BodyText"/>
        <w:spacing w:before="45" w:line="187" w:lineRule="auto"/>
        <w:ind w:left="9"/>
      </w:pPr>
      <w:r>
        <w:rPr>
          <w:spacing w:val="22"/>
        </w:rPr>
        <w:t>2023-12-25发布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2" w:line="189" w:lineRule="auto"/>
      </w:pPr>
      <w:r>
        <w:rPr>
          <w:b/>
          <w:bCs/>
        </w:rPr>
        <w:t>2023-12-25</w:t>
      </w:r>
      <w:r>
        <w:rPr>
          <w:spacing w:val="13"/>
        </w:rPr>
        <w:t xml:space="preserve">  </w:t>
      </w:r>
      <w:r>
        <w:rPr>
          <w:b/>
          <w:bCs/>
        </w:rPr>
        <w:t>实施</w:t>
      </w:r>
    </w:p>
    <w:p>
      <w:pPr>
        <w:spacing w:line="189" w:lineRule="auto"/>
        <w:sectPr>
          <w:type w:val="continuous"/>
          <w:pgSz w:w="11900" w:h="16840"/>
          <w:pgMar w:top="392" w:right="1710" w:bottom="0" w:left="1289" w:header="0" w:footer="0" w:gutter="0"/>
          <w:pgNumType w:start="3"/>
          <w:cols w:num="2" w:space="708" w:equalWidth="0">
            <w:col w:w="7034" w:space="100"/>
            <w:col w:w="1768" w:space="0"/>
          </w:cols>
        </w:sectPr>
      </w:pPr>
    </w:p>
    <w:p>
      <w:pPr>
        <w:spacing w:line="360" w:lineRule="auto"/>
      </w:pPr>
    </w:p>
    <w:p>
      <w:pPr>
        <w:pStyle w:val="BodyText"/>
        <w:spacing w:before="82" w:line="221" w:lineRule="auto"/>
        <w:ind w:left="2613"/>
        <w:rPr>
          <w:sz w:val="25"/>
          <w:szCs w:val="25"/>
        </w:rPr>
      </w:pPr>
      <w:r>
        <w:rPr>
          <w:b/>
          <w:bCs/>
          <w:spacing w:val="24"/>
          <w:sz w:val="25"/>
          <w:szCs w:val="25"/>
        </w:rPr>
        <w:t>中国化学品安全协会</w:t>
      </w:r>
      <w:r>
        <w:rPr>
          <w:spacing w:val="5"/>
          <w:sz w:val="25"/>
          <w:szCs w:val="25"/>
        </w:rPr>
        <w:t xml:space="preserve">    </w:t>
      </w:r>
      <w:r>
        <w:rPr>
          <w:b/>
          <w:bCs/>
          <w:spacing w:val="24"/>
          <w:sz w:val="25"/>
          <w:szCs w:val="25"/>
        </w:rPr>
        <w:t>发</w:t>
      </w:r>
      <w:r>
        <w:rPr>
          <w:spacing w:val="24"/>
          <w:sz w:val="25"/>
          <w:szCs w:val="25"/>
        </w:rPr>
        <w:t xml:space="preserve"> </w:t>
      </w:r>
      <w:r>
        <w:rPr>
          <w:b/>
          <w:bCs/>
          <w:spacing w:val="24"/>
          <w:sz w:val="25"/>
          <w:szCs w:val="25"/>
        </w:rPr>
        <w:t>布</w:t>
      </w:r>
    </w:p>
    <w:p>
      <w:pPr>
        <w:pStyle w:val="BodyText"/>
        <w:spacing w:before="211" w:line="187" w:lineRule="auto"/>
        <w:ind w:left="2623"/>
      </w:pPr>
      <w:r>
        <w:rPr>
          <w:b/>
          <w:bCs/>
          <w:spacing w:val="-9"/>
        </w:rPr>
        <w:t>中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国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标</w:t>
      </w:r>
      <w:r>
        <w:rPr>
          <w:spacing w:val="93"/>
        </w:rPr>
        <w:t xml:space="preserve"> </w:t>
      </w:r>
      <w:r>
        <w:rPr>
          <w:b/>
          <w:bCs/>
          <w:spacing w:val="-9"/>
        </w:rPr>
        <w:t>准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出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版</w:t>
      </w:r>
      <w:r>
        <w:rPr>
          <w:spacing w:val="-9"/>
        </w:rPr>
        <w:t xml:space="preserve">  </w:t>
      </w:r>
      <w:r>
        <w:rPr>
          <w:b/>
          <w:bCs/>
          <w:spacing w:val="-9"/>
        </w:rPr>
        <w:t>社</w:t>
      </w:r>
      <w:r>
        <w:rPr>
          <w:spacing w:val="-9"/>
        </w:rPr>
        <w:t xml:space="preserve">     </w:t>
      </w:r>
      <w:r>
        <w:rPr>
          <w:b/>
          <w:bCs/>
          <w:spacing w:val="-9"/>
        </w:rPr>
        <w:t>出</w:t>
      </w:r>
      <w:r>
        <w:rPr>
          <w:spacing w:val="12"/>
        </w:rPr>
        <w:t xml:space="preserve">  </w:t>
      </w:r>
      <w:r>
        <w:rPr>
          <w:b/>
          <w:bCs/>
          <w:spacing w:val="-9"/>
        </w:rPr>
        <w:t>版</w:t>
      </w:r>
    </w:p>
    <w:p>
      <w:pPr>
        <w:spacing w:line="187" w:lineRule="auto"/>
        <w:sectPr>
          <w:type w:val="continuous"/>
          <w:pgSz w:w="11900" w:h="16840"/>
          <w:pgMar w:top="392" w:right="1710" w:bottom="0" w:left="1289" w:header="0" w:footer="0" w:gutter="0"/>
          <w:pgNumType w:start="4"/>
          <w:cols w:num="1" w:space="708" w:equalWidth="0">
            <w:col w:w="8901" w:space="0"/>
          </w:cols>
        </w:sectPr>
      </w:pPr>
    </w:p>
    <w:p>
      <w:pPr>
        <w:spacing w:before="25" w:line="188" w:lineRule="auto"/>
        <w:ind w:left="1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T/</w:t>
      </w:r>
      <w:r>
        <w:rPr>
          <w:rFonts w:ascii="Times New Roman" w:eastAsia="Times New Roman" w:hAnsi="Times New Roman" w:cs="Times New Roman"/>
          <w:b/>
          <w:bCs/>
          <w:spacing w:val="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CCSAS</w:t>
      </w:r>
      <w:r>
        <w:rPr>
          <w:rFonts w:ascii="Times New Roman" w:eastAsia="Times New Roman" w:hAnsi="Times New Roman" w:cs="Times New Roman"/>
          <w:b/>
          <w:bCs/>
          <w:spacing w:val="8"/>
          <w:sz w:val="18"/>
          <w:szCs w:val="1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18"/>
          <w:szCs w:val="18"/>
        </w:rPr>
        <w:t>049.1—2023</w:t>
      </w:r>
    </w:p>
    <w:p>
      <w:pPr>
        <w:spacing w:line="326" w:lineRule="auto"/>
      </w:pPr>
    </w:p>
    <w:p>
      <w:pPr>
        <w:spacing w:line="326" w:lineRule="auto"/>
      </w:pPr>
    </w:p>
    <w:p>
      <w:pPr>
        <w:spacing w:before="84" w:line="219" w:lineRule="auto"/>
        <w:ind w:left="3743"/>
        <w:rPr>
          <w:rFonts w:ascii="宋体" w:eastAsia="宋体" w:hAnsi="宋体" w:cs="宋体"/>
          <w:sz w:val="26"/>
          <w:szCs w:val="26"/>
        </w:rPr>
      </w:pPr>
      <w:bookmarkStart w:id="0" w:name="bookmark1"/>
      <w:bookmarkEnd w:id="0"/>
      <w:r>
        <w:rPr>
          <w:rFonts w:ascii="宋体" w:eastAsia="宋体" w:hAnsi="宋体" w:cs="宋体"/>
          <w:b/>
          <w:bCs/>
          <w:spacing w:val="-33"/>
          <w:sz w:val="26"/>
          <w:szCs w:val="26"/>
        </w:rPr>
        <w:t>目</w:t>
      </w:r>
      <w:r>
        <w:rPr>
          <w:rFonts w:ascii="宋体" w:eastAsia="宋体" w:hAnsi="宋体" w:cs="宋体"/>
          <w:spacing w:val="32"/>
          <w:sz w:val="26"/>
          <w:szCs w:val="26"/>
        </w:rPr>
        <w:t xml:space="preserve">    </w:t>
      </w:r>
      <w:r>
        <w:rPr>
          <w:rFonts w:ascii="宋体" w:eastAsia="宋体" w:hAnsi="宋体" w:cs="宋体"/>
          <w:b/>
          <w:bCs/>
          <w:spacing w:val="-33"/>
          <w:sz w:val="26"/>
          <w:szCs w:val="26"/>
        </w:rPr>
        <w:t>次</w:t>
      </w:r>
    </w:p>
    <w:p>
      <w:pPr>
        <w:spacing w:line="268" w:lineRule="auto"/>
      </w:pPr>
    </w:p>
    <w:p>
      <w:pPr>
        <w:spacing w:line="269" w:lineRule="auto"/>
      </w:pPr>
    </w:p>
    <w:sdt>
      <w:sdtPr>
        <w:rPr>
          <w:rFonts w:ascii="仿宋" w:eastAsia="仿宋" w:hAnsi="仿宋" w:cs="仿宋"/>
          <w:sz w:val="18"/>
          <w:szCs w:val="18"/>
        </w:rPr>
        <w:id w:val="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8"/>
          <w:szCs w:val="18"/>
        </w:rPr>
      </w:sdtEndPr>
      <w:sdtContent>
        <w:p>
          <w:pPr>
            <w:tabs>
              <w:tab w:val="right" w:leader="dot" w:pos="8415"/>
            </w:tabs>
            <w:spacing w:before="58" w:line="222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-8"/>
              <w:sz w:val="18"/>
              <w:szCs w:val="18"/>
            </w:rPr>
            <w:t>前言</w:t>
          </w:r>
          <w:r>
            <w:rPr>
              <w:rFonts w:ascii="仿宋" w:eastAsia="仿宋" w:hAnsi="仿宋" w:cs="仿宋"/>
              <w:spacing w:val="34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Times New Roman" w:eastAsia="Times New Roman" w:hAnsi="Times New Roman" w:cs="Times New Roman"/>
              <w:sz w:val="18"/>
              <w:szCs w:val="18"/>
            </w:rPr>
            <w:t>I</w:t>
          </w:r>
        </w:p>
        <w:p>
          <w:pPr>
            <w:tabs>
              <w:tab w:val="right" w:leader="dot" w:pos="8460"/>
            </w:tabs>
            <w:spacing w:before="135" w:line="222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-10"/>
              <w:sz w:val="18"/>
              <w:szCs w:val="18"/>
            </w:rPr>
            <w:t>引言</w:t>
          </w:r>
          <w:r>
            <w:rPr>
              <w:rFonts w:ascii="仿宋" w:eastAsia="仿宋" w:hAnsi="仿宋" w:cs="仿宋"/>
              <w:spacing w:val="38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Times New Roman" w:eastAsia="Times New Roman" w:hAnsi="Times New Roman" w:cs="Times New Roman"/>
              <w:spacing w:val="5"/>
              <w:sz w:val="18"/>
              <w:szCs w:val="18"/>
            </w:rPr>
            <w:t>Ⅱ</w:t>
          </w:r>
        </w:p>
        <w:p>
          <w:pPr>
            <w:tabs>
              <w:tab w:val="right" w:leader="dot" w:pos="8477"/>
            </w:tabs>
            <w:spacing w:before="104" w:line="223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-4"/>
              <w:sz w:val="18"/>
              <w:szCs w:val="18"/>
            </w:rPr>
            <w:t>1</w:t>
          </w:r>
          <w:r>
            <w:rPr>
              <w:rFonts w:ascii="Times New Roman" w:eastAsia="Times New Roman" w:hAnsi="Times New Roman" w:cs="Times New Roman"/>
              <w:spacing w:val="5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-4"/>
              <w:sz w:val="18"/>
              <w:szCs w:val="18"/>
            </w:rPr>
            <w:t>范围</w:t>
          </w:r>
          <w:r>
            <w:rPr>
              <w:rFonts w:ascii="仿宋" w:eastAsia="仿宋" w:hAnsi="仿宋" w:cs="仿宋"/>
              <w:spacing w:val="6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10"/>
              <w:sz w:val="18"/>
              <w:szCs w:val="1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hyperlink>
        </w:p>
        <w:p>
          <w:pPr>
            <w:tabs>
              <w:tab w:val="right" w:leader="dot" w:pos="8467"/>
            </w:tabs>
            <w:spacing w:before="120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0"/>
              <w:sz w:val="18"/>
              <w:szCs w:val="18"/>
            </w:rPr>
            <w:t>2</w:t>
          </w: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10"/>
              <w:sz w:val="18"/>
              <w:szCs w:val="18"/>
            </w:rPr>
            <w:t>规范性引用文件</w:t>
          </w:r>
          <w:r>
            <w:rPr>
              <w:rFonts w:ascii="仿宋" w:eastAsia="仿宋" w:hAnsi="仿宋" w:cs="仿宋"/>
              <w:spacing w:val="49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hyperlink>
        </w:p>
        <w:p>
          <w:pPr>
            <w:tabs>
              <w:tab w:val="right" w:leader="dot" w:pos="8457"/>
            </w:tabs>
            <w:spacing w:before="128" w:line="222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5"/>
              <w:sz w:val="18"/>
              <w:szCs w:val="18"/>
            </w:rPr>
            <w:t>3</w:t>
          </w:r>
          <w:r>
            <w:rPr>
              <w:rFonts w:ascii="Times New Roman" w:eastAsia="Times New Roman" w:hAnsi="Times New Roman" w:cs="Times New Roman"/>
              <w:spacing w:val="4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5"/>
              <w:sz w:val="18"/>
              <w:szCs w:val="18"/>
            </w:rPr>
            <w:t>术语和定义</w:t>
          </w:r>
          <w:r>
            <w:rPr>
              <w:rFonts w:ascii="仿宋" w:eastAsia="仿宋" w:hAnsi="仿宋" w:cs="仿宋"/>
              <w:spacing w:val="42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50"/>
              <w:sz w:val="18"/>
              <w:szCs w:val="18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hyperlink>
        </w:p>
        <w:p>
          <w:pPr>
            <w:tabs>
              <w:tab w:val="right" w:leader="dot" w:pos="8475"/>
            </w:tabs>
            <w:spacing w:before="121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1"/>
              <w:sz w:val="18"/>
              <w:szCs w:val="18"/>
            </w:rPr>
            <w:t>4</w:t>
          </w:r>
          <w:r>
            <w:rPr>
              <w:rFonts w:ascii="Times New Roman" w:eastAsia="Times New Roman" w:hAnsi="Times New Roman" w:cs="Times New Roman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11"/>
              <w:sz w:val="18"/>
              <w:szCs w:val="18"/>
            </w:rPr>
            <w:t>安全泄放评估原则</w:t>
          </w:r>
          <w:r>
            <w:rPr>
              <w:rFonts w:ascii="仿宋" w:eastAsia="仿宋" w:hAnsi="仿宋" w:cs="仿宋"/>
              <w:spacing w:val="49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pacing w:val="6"/>
                <w:sz w:val="18"/>
                <w:szCs w:val="18"/>
              </w:rPr>
              <w:t>2</w:t>
            </w:r>
          </w:hyperlink>
        </w:p>
        <w:p>
          <w:pPr>
            <w:tabs>
              <w:tab w:val="right" w:leader="dot" w:pos="8472"/>
            </w:tabs>
            <w:spacing w:before="115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10"/>
              <w:sz w:val="18"/>
              <w:szCs w:val="18"/>
            </w:rPr>
            <w:t>5</w:t>
          </w:r>
          <w:r>
            <w:rPr>
              <w:rFonts w:ascii="Times New Roman" w:eastAsia="Times New Roman" w:hAnsi="Times New Roman" w:cs="Times New Roman"/>
              <w:spacing w:val="8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10"/>
              <w:sz w:val="18"/>
              <w:szCs w:val="18"/>
            </w:rPr>
            <w:t>安全泄放能力评估</w:t>
          </w:r>
          <w:r>
            <w:rPr>
              <w:rFonts w:ascii="仿宋" w:eastAsia="仿宋" w:hAnsi="仿宋" w:cs="仿宋"/>
              <w:spacing w:val="46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</w:rPr>
              <w:t>3</w:t>
            </w:r>
          </w:hyperlink>
        </w:p>
        <w:p>
          <w:pPr>
            <w:tabs>
              <w:tab w:val="right" w:leader="dot" w:pos="8460"/>
            </w:tabs>
            <w:spacing w:before="126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spacing w:val="9"/>
              <w:sz w:val="18"/>
              <w:szCs w:val="18"/>
            </w:rPr>
            <w:t>6</w:t>
          </w:r>
          <w:r>
            <w:rPr>
              <w:rFonts w:ascii="Times New Roman" w:eastAsia="Times New Roman" w:hAnsi="Times New Roman" w:cs="Times New Roman"/>
              <w:spacing w:val="3"/>
              <w:sz w:val="18"/>
              <w:szCs w:val="18"/>
            </w:rPr>
            <w:t xml:space="preserve">    </w:t>
          </w:r>
          <w:r>
            <w:rPr>
              <w:rFonts w:ascii="仿宋" w:eastAsia="仿宋" w:hAnsi="仿宋" w:cs="仿宋"/>
              <w:spacing w:val="9"/>
              <w:sz w:val="18"/>
              <w:szCs w:val="18"/>
            </w:rPr>
            <w:t>安全泄放评估报告</w:t>
          </w:r>
          <w:r>
            <w:rPr>
              <w:rFonts w:ascii="仿宋" w:eastAsia="仿宋" w:hAnsi="仿宋" w:cs="仿宋"/>
              <w:spacing w:val="45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5</w:t>
            </w:r>
          </w:hyperlink>
        </w:p>
        <w:p>
          <w:pPr>
            <w:tabs>
              <w:tab w:val="right" w:leader="dot" w:pos="8472"/>
            </w:tabs>
            <w:spacing w:before="125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13"/>
              <w:sz w:val="18"/>
              <w:szCs w:val="18"/>
            </w:rPr>
            <w:t>附录</w:t>
          </w:r>
          <w:r>
            <w:rPr>
              <w:rFonts w:ascii="Times New Roman" w:eastAsia="Times New Roman" w:hAnsi="Times New Roman" w:cs="Times New Roman"/>
              <w:spacing w:val="13"/>
              <w:sz w:val="18"/>
              <w:szCs w:val="18"/>
            </w:rPr>
            <w:t xml:space="preserve">A  </w:t>
          </w:r>
          <w:r>
            <w:rPr>
              <w:rFonts w:ascii="仿宋" w:eastAsia="仿宋" w:hAnsi="仿宋" w:cs="仿宋"/>
              <w:spacing w:val="13"/>
              <w:sz w:val="18"/>
              <w:szCs w:val="18"/>
            </w:rPr>
            <w:t>(规范性)</w:t>
          </w:r>
          <w:r>
            <w:rPr>
              <w:rFonts w:ascii="仿宋" w:eastAsia="仿宋" w:hAnsi="仿宋" w:cs="仿宋"/>
              <w:spacing w:val="67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3"/>
              <w:sz w:val="18"/>
              <w:szCs w:val="18"/>
            </w:rPr>
            <w:t>安全泄放系统评估流程</w:t>
          </w:r>
          <w:r>
            <w:rPr>
              <w:rFonts w:ascii="仿宋" w:eastAsia="仿宋" w:hAnsi="仿宋" w:cs="仿宋"/>
              <w:spacing w:val="51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20"/>
              <w:sz w:val="18"/>
              <w:szCs w:val="1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hyperlink>
        </w:p>
        <w:p>
          <w:pPr>
            <w:tabs>
              <w:tab w:val="right" w:leader="dot" w:pos="8467"/>
            </w:tabs>
            <w:spacing w:before="126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15"/>
              <w:sz w:val="18"/>
              <w:szCs w:val="18"/>
            </w:rPr>
            <w:t>附录</w:t>
          </w:r>
          <w:r>
            <w:rPr>
              <w:rFonts w:ascii="Times New Roman" w:eastAsia="Times New Roman" w:hAnsi="Times New Roman" w:cs="Times New Roman"/>
              <w:spacing w:val="15"/>
              <w:sz w:val="18"/>
              <w:szCs w:val="18"/>
            </w:rPr>
            <w:t>B</w:t>
          </w:r>
          <w:r>
            <w:rPr>
              <w:rFonts w:ascii="Times New Roman" w:eastAsia="Times New Roman" w:hAnsi="Times New Roman" w:cs="Times New Roman"/>
              <w:spacing w:val="39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5"/>
              <w:sz w:val="18"/>
              <w:szCs w:val="18"/>
            </w:rPr>
            <w:t>(资料性)</w:t>
          </w:r>
          <w:r>
            <w:rPr>
              <w:rFonts w:ascii="仿宋" w:eastAsia="仿宋" w:hAnsi="仿宋" w:cs="仿宋"/>
              <w:spacing w:val="46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5"/>
              <w:sz w:val="18"/>
              <w:szCs w:val="18"/>
            </w:rPr>
            <w:t>基于物料平衡或热平衡原理的工</w:t>
          </w:r>
          <w:r>
            <w:rPr>
              <w:rFonts w:ascii="仿宋" w:eastAsia="仿宋" w:hAnsi="仿宋" w:cs="仿宋"/>
              <w:spacing w:val="14"/>
              <w:sz w:val="18"/>
              <w:szCs w:val="18"/>
            </w:rPr>
            <w:t>艺分析法或经验公式进行泄放量计算方法</w:t>
          </w:r>
          <w:r>
            <w:rPr>
              <w:rFonts w:ascii="仿宋" w:eastAsia="仿宋" w:hAnsi="仿宋" w:cs="仿宋"/>
              <w:spacing w:val="46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hyperlink>
        </w:p>
        <w:p>
          <w:pPr>
            <w:tabs>
              <w:tab w:val="right" w:leader="dot" w:pos="8472"/>
            </w:tabs>
            <w:spacing w:before="125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11"/>
              <w:sz w:val="18"/>
              <w:szCs w:val="18"/>
            </w:rPr>
            <w:t>附</w:t>
          </w:r>
          <w:r>
            <w:rPr>
              <w:rFonts w:ascii="仿宋" w:eastAsia="仿宋" w:hAnsi="仿宋" w:cs="仿宋"/>
              <w:spacing w:val="-17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1"/>
              <w:sz w:val="18"/>
              <w:szCs w:val="18"/>
            </w:rPr>
            <w:t>录</w:t>
          </w:r>
          <w:r>
            <w:rPr>
              <w:rFonts w:ascii="Times New Roman" w:eastAsia="Times New Roman" w:hAnsi="Times New Roman" w:cs="Times New Roman"/>
              <w:spacing w:val="11"/>
              <w:sz w:val="18"/>
              <w:szCs w:val="18"/>
            </w:rPr>
            <w:t>C</w:t>
          </w:r>
          <w:r>
            <w:rPr>
              <w:rFonts w:ascii="Times New Roman" w:eastAsia="Times New Roman" w:hAnsi="Times New Roman" w:cs="Times New Roman"/>
              <w:spacing w:val="41"/>
              <w:w w:val="10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1"/>
              <w:sz w:val="18"/>
              <w:szCs w:val="18"/>
            </w:rPr>
            <w:t>(规范性)</w:t>
          </w:r>
          <w:r>
            <w:rPr>
              <w:rFonts w:ascii="仿宋" w:eastAsia="仿宋" w:hAnsi="仿宋" w:cs="仿宋"/>
              <w:spacing w:val="60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pacing w:val="11"/>
              <w:sz w:val="18"/>
              <w:szCs w:val="18"/>
            </w:rPr>
            <w:t>泄压设施合规性检查表</w:t>
          </w:r>
          <w:r>
            <w:rPr>
              <w:rFonts w:ascii="仿宋" w:eastAsia="仿宋" w:hAnsi="仿宋" w:cs="仿宋"/>
              <w:spacing w:val="51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10"/>
              <w:sz w:val="18"/>
              <w:szCs w:val="18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hyperlink>
        </w:p>
        <w:p>
          <w:pPr>
            <w:tabs>
              <w:tab w:val="right" w:leader="dot" w:pos="8457"/>
            </w:tabs>
            <w:spacing w:before="116" w:line="220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22"/>
              <w:sz w:val="18"/>
              <w:szCs w:val="18"/>
            </w:rPr>
            <w:t>附录</w:t>
          </w:r>
          <w:r>
            <w:rPr>
              <w:rFonts w:ascii="Times New Roman" w:eastAsia="Times New Roman" w:hAnsi="Times New Roman" w:cs="Times New Roman"/>
              <w:spacing w:val="22"/>
              <w:sz w:val="18"/>
              <w:szCs w:val="18"/>
            </w:rPr>
            <w:t>D</w:t>
          </w:r>
          <w:r>
            <w:rPr>
              <w:rFonts w:ascii="Times New Roman" w:eastAsia="Times New Roman" w:hAnsi="Times New Roman" w:cs="Times New Roman"/>
              <w:spacing w:val="8"/>
              <w:sz w:val="18"/>
              <w:szCs w:val="18"/>
            </w:rPr>
            <w:t xml:space="preserve">  </w:t>
          </w:r>
          <w:r>
            <w:rPr>
              <w:rFonts w:ascii="仿宋" w:eastAsia="仿宋" w:hAnsi="仿宋" w:cs="仿宋"/>
              <w:spacing w:val="22"/>
              <w:sz w:val="18"/>
              <w:szCs w:val="18"/>
            </w:rPr>
            <w:t>(规范性)排放系统合规性检查表</w:t>
          </w:r>
          <w:r>
            <w:rPr>
              <w:rFonts w:ascii="仿宋" w:eastAsia="仿宋" w:hAnsi="仿宋" w:cs="仿宋"/>
              <w:spacing w:val="-73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13</w:t>
            </w:r>
          </w:hyperlink>
        </w:p>
        <w:p>
          <w:pPr>
            <w:tabs>
              <w:tab w:val="right" w:leader="dot" w:pos="8457"/>
            </w:tabs>
            <w:spacing w:before="148" w:line="222" w:lineRule="auto"/>
            <w:rPr>
              <w:rFonts w:ascii="Times New Roman" w:eastAsia="Times New Roman" w:hAnsi="Times New Roman" w:cs="Times New Roman"/>
              <w:sz w:val="18"/>
              <w:szCs w:val="18"/>
            </w:rPr>
          </w:pPr>
          <w:r>
            <w:rPr>
              <w:rFonts w:ascii="仿宋" w:eastAsia="仿宋" w:hAnsi="仿宋" w:cs="仿宋"/>
              <w:spacing w:val="6"/>
              <w:sz w:val="18"/>
              <w:szCs w:val="18"/>
            </w:rPr>
            <w:t>参考文献</w:t>
          </w:r>
          <w:r>
            <w:rPr>
              <w:rFonts w:ascii="仿宋" w:eastAsia="仿宋" w:hAnsi="仿宋" w:cs="仿宋"/>
              <w:spacing w:val="45"/>
              <w:sz w:val="18"/>
              <w:szCs w:val="18"/>
            </w:rPr>
            <w:t xml:space="preserve"> </w:t>
          </w:r>
          <w:r>
            <w:rPr>
              <w:rFonts w:ascii="仿宋" w:eastAsia="仿宋" w:hAnsi="仿宋" w:cs="仿宋"/>
              <w:sz w:val="18"/>
              <w:szCs w:val="18"/>
            </w:rPr>
            <w:tab/>
          </w:r>
          <w:r>
            <w:rPr>
              <w:rFonts w:ascii="仿宋" w:eastAsia="仿宋" w:hAnsi="仿宋" w:cs="仿宋"/>
              <w:spacing w:val="-29"/>
              <w:sz w:val="18"/>
              <w:szCs w:val="18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19</w:t>
            </w:r>
          </w:hyperlink>
        </w:p>
      </w:sdtContent>
    </w:sdt>
    <w:p>
      <w:pPr>
        <w:spacing w:line="222" w:lineRule="auto"/>
        <w:rPr>
          <w:rFonts w:ascii="Times New Roman" w:eastAsia="Times New Roman" w:hAnsi="Times New Roman" w:cs="Times New Roman"/>
          <w:sz w:val="18"/>
          <w:szCs w:val="18"/>
        </w:rPr>
        <w:sectPr>
          <w:pgSz w:w="11900" w:h="16840"/>
          <w:pgMar w:top="1338" w:right="1785" w:bottom="0" w:left="1150" w:header="0" w:footer="0" w:gutter="0"/>
          <w:pgNumType w:start="5"/>
          <w:cols w:num="1" w:space="720"/>
        </w:sectPr>
      </w:pPr>
    </w:p>
    <w:p>
      <w:pPr>
        <w:spacing w:before="34" w:line="224" w:lineRule="auto"/>
        <w:ind w:left="66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1"/>
          <w:sz w:val="17"/>
          <w:szCs w:val="17"/>
        </w:rPr>
        <w:t>T/CCSAS</w:t>
      </w:r>
      <w:r>
        <w:rPr>
          <w:rFonts w:ascii="宋体" w:eastAsia="宋体" w:hAnsi="宋体" w:cs="宋体"/>
          <w:spacing w:val="6"/>
          <w:sz w:val="17"/>
          <w:szCs w:val="17"/>
        </w:rPr>
        <w:t xml:space="preserve">    </w:t>
      </w:r>
      <w:r>
        <w:rPr>
          <w:rFonts w:ascii="宋体" w:eastAsia="宋体" w:hAnsi="宋体" w:cs="宋体"/>
          <w:spacing w:val="-1"/>
          <w:sz w:val="17"/>
          <w:szCs w:val="17"/>
        </w:rPr>
        <w:t>049.1—2023</w:t>
      </w:r>
    </w:p>
    <w:p>
      <w:pPr>
        <w:spacing w:line="355" w:lineRule="auto"/>
      </w:pPr>
    </w:p>
    <w:p>
      <w:pPr>
        <w:spacing w:line="355" w:lineRule="auto"/>
      </w:pPr>
    </w:p>
    <w:p>
      <w:pPr>
        <w:pStyle w:val="BodyText"/>
        <w:spacing w:before="84" w:line="222" w:lineRule="auto"/>
        <w:ind w:left="3693"/>
        <w:rPr>
          <w:sz w:val="26"/>
          <w:szCs w:val="26"/>
        </w:rPr>
      </w:pPr>
      <w:bookmarkStart w:id="1" w:name="bookmark5"/>
      <w:bookmarkEnd w:id="1"/>
      <w:r>
        <w:rPr>
          <w:b/>
          <w:bCs/>
          <w:spacing w:val="-8"/>
          <w:sz w:val="26"/>
          <w:szCs w:val="26"/>
        </w:rPr>
        <w:t>前</w:t>
      </w:r>
      <w:r>
        <w:rPr>
          <w:spacing w:val="20"/>
          <w:sz w:val="26"/>
          <w:szCs w:val="26"/>
        </w:rPr>
        <w:t xml:space="preserve">    </w:t>
      </w:r>
      <w:r>
        <w:rPr>
          <w:b/>
          <w:bCs/>
          <w:spacing w:val="-8"/>
          <w:sz w:val="26"/>
          <w:szCs w:val="26"/>
        </w:rPr>
        <w:t>言</w:t>
      </w:r>
    </w:p>
    <w:p>
      <w:pPr>
        <w:spacing w:line="273" w:lineRule="auto"/>
      </w:pPr>
    </w:p>
    <w:p>
      <w:pPr>
        <w:spacing w:line="274" w:lineRule="auto"/>
      </w:pPr>
    </w:p>
    <w:p>
      <w:pPr>
        <w:spacing w:before="56" w:line="380" w:lineRule="exact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4"/>
          <w:position w:val="16"/>
          <w:sz w:val="17"/>
          <w:szCs w:val="17"/>
        </w:rPr>
        <w:t>本文件按照</w:t>
      </w:r>
      <w:r>
        <w:rPr>
          <w:rFonts w:ascii="宋体" w:eastAsia="宋体" w:hAnsi="宋体" w:cs="宋体"/>
          <w:spacing w:val="-1"/>
          <w:position w:val="16"/>
          <w:sz w:val="17"/>
          <w:szCs w:val="17"/>
        </w:rPr>
        <w:t xml:space="preserve"> </w:t>
      </w:r>
      <w:r>
        <w:rPr>
          <w:rFonts w:ascii="宋体" w:eastAsia="宋体" w:hAnsi="宋体" w:cs="宋体"/>
          <w:position w:val="16"/>
          <w:sz w:val="17"/>
          <w:szCs w:val="17"/>
        </w:rPr>
        <w:t>GB</w:t>
      </w:r>
      <w:r>
        <w:rPr>
          <w:rFonts w:ascii="宋体" w:eastAsia="宋体" w:hAnsi="宋体" w:cs="宋体"/>
          <w:spacing w:val="14"/>
          <w:position w:val="16"/>
          <w:sz w:val="17"/>
          <w:szCs w:val="17"/>
        </w:rPr>
        <w:t>/T1.1—2020《  标准化工作导则  第1部分：标准化文件的结构和起草规则》的规定</w:t>
      </w:r>
    </w:p>
    <w:p>
      <w:pPr>
        <w:spacing w:line="219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1"/>
          <w:sz w:val="17"/>
          <w:szCs w:val="17"/>
        </w:rPr>
        <w:t>起草。</w:t>
      </w:r>
    </w:p>
    <w:p>
      <w:pPr>
        <w:spacing w:before="104" w:line="353" w:lineRule="exact"/>
        <w:ind w:left="400"/>
        <w:rPr>
          <w:rFonts w:ascii="仿宋" w:eastAsia="仿宋" w:hAnsi="仿宋" w:cs="仿宋"/>
          <w:sz w:val="17"/>
          <w:szCs w:val="17"/>
        </w:rPr>
      </w:pPr>
      <w:r>
        <w:rPr>
          <w:rFonts w:ascii="仿宋" w:eastAsia="仿宋" w:hAnsi="仿宋" w:cs="仿宋"/>
          <w:spacing w:val="13"/>
          <w:position w:val="14"/>
          <w:sz w:val="17"/>
          <w:szCs w:val="17"/>
        </w:rPr>
        <w:t>本文件是</w:t>
      </w:r>
      <w:r>
        <w:rPr>
          <w:rFonts w:ascii="宋体" w:eastAsia="宋体" w:hAnsi="宋体" w:cs="宋体"/>
          <w:spacing w:val="13"/>
          <w:position w:val="14"/>
          <w:sz w:val="17"/>
          <w:szCs w:val="17"/>
        </w:rPr>
        <w:t>T/</w:t>
      </w:r>
      <w:r>
        <w:rPr>
          <w:rFonts w:ascii="宋体" w:eastAsia="宋体" w:hAnsi="宋体" w:cs="宋体"/>
          <w:position w:val="14"/>
          <w:sz w:val="17"/>
          <w:szCs w:val="17"/>
        </w:rPr>
        <w:t>CCSAS</w:t>
      </w:r>
      <w:r>
        <w:rPr>
          <w:rFonts w:ascii="宋体" w:eastAsia="宋体" w:hAnsi="宋体" w:cs="宋体"/>
          <w:spacing w:val="13"/>
          <w:position w:val="14"/>
          <w:sz w:val="17"/>
          <w:szCs w:val="17"/>
        </w:rPr>
        <w:t xml:space="preserve">049《   </w:t>
      </w:r>
      <w:r>
        <w:rPr>
          <w:rFonts w:ascii="仿宋" w:eastAsia="仿宋" w:hAnsi="仿宋" w:cs="仿宋"/>
          <w:spacing w:val="13"/>
          <w:position w:val="14"/>
          <w:sz w:val="17"/>
          <w:szCs w:val="17"/>
        </w:rPr>
        <w:t>石油化工企业安全泄放评估技术规范》的第1部分。</w:t>
      </w:r>
      <w:r>
        <w:rPr>
          <w:rFonts w:ascii="宋体" w:eastAsia="宋体" w:hAnsi="宋体" w:cs="宋体"/>
          <w:spacing w:val="13"/>
          <w:position w:val="14"/>
          <w:sz w:val="17"/>
          <w:szCs w:val="17"/>
        </w:rPr>
        <w:t>T/</w:t>
      </w:r>
      <w:r>
        <w:rPr>
          <w:rFonts w:ascii="宋体" w:eastAsia="宋体" w:hAnsi="宋体" w:cs="宋体"/>
          <w:position w:val="14"/>
          <w:sz w:val="17"/>
          <w:szCs w:val="17"/>
        </w:rPr>
        <w:t>CCSAS</w:t>
      </w:r>
      <w:r>
        <w:rPr>
          <w:rFonts w:ascii="宋体" w:eastAsia="宋体" w:hAnsi="宋体" w:cs="宋体"/>
          <w:spacing w:val="13"/>
          <w:position w:val="14"/>
          <w:sz w:val="17"/>
          <w:szCs w:val="17"/>
        </w:rPr>
        <w:t xml:space="preserve">    049 </w:t>
      </w:r>
      <w:r>
        <w:rPr>
          <w:rFonts w:ascii="仿宋" w:eastAsia="仿宋" w:hAnsi="仿宋" w:cs="仿宋"/>
          <w:spacing w:val="13"/>
          <w:position w:val="14"/>
          <w:sz w:val="17"/>
          <w:szCs w:val="17"/>
        </w:rPr>
        <w:t>已</w:t>
      </w:r>
      <w:r>
        <w:rPr>
          <w:rFonts w:ascii="仿宋" w:eastAsia="仿宋" w:hAnsi="仿宋" w:cs="仿宋"/>
          <w:spacing w:val="-12"/>
          <w:position w:val="14"/>
          <w:sz w:val="17"/>
          <w:szCs w:val="17"/>
        </w:rPr>
        <w:t xml:space="preserve"> </w:t>
      </w:r>
      <w:r>
        <w:rPr>
          <w:rFonts w:ascii="仿宋" w:eastAsia="仿宋" w:hAnsi="仿宋" w:cs="仿宋"/>
          <w:spacing w:val="13"/>
          <w:position w:val="14"/>
          <w:sz w:val="17"/>
          <w:szCs w:val="17"/>
        </w:rPr>
        <w:t>经</w:t>
      </w:r>
    </w:p>
    <w:p>
      <w:pPr>
        <w:spacing w:before="1" w:line="218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5"/>
          <w:sz w:val="17"/>
          <w:szCs w:val="17"/>
        </w:rPr>
        <w:t>发布了以下部分：</w:t>
      </w:r>
    </w:p>
    <w:p>
      <w:pPr>
        <w:spacing w:before="147" w:line="218" w:lineRule="auto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3"/>
          <w:sz w:val="17"/>
          <w:szCs w:val="17"/>
        </w:rPr>
        <w:t>—</w:t>
      </w:r>
      <w:r>
        <w:rPr>
          <w:rFonts w:ascii="宋体" w:eastAsia="宋体" w:hAnsi="宋体" w:cs="宋体"/>
          <w:spacing w:val="-48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13"/>
          <w:sz w:val="17"/>
          <w:szCs w:val="17"/>
        </w:rPr>
        <w:t>—</w:t>
      </w:r>
      <w:r>
        <w:rPr>
          <w:rFonts w:ascii="宋体" w:eastAsia="宋体" w:hAnsi="宋体" w:cs="宋体"/>
          <w:spacing w:val="-55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13"/>
          <w:sz w:val="17"/>
          <w:szCs w:val="17"/>
        </w:rPr>
        <w:t>第1部分：泄放评估总则；</w:t>
      </w:r>
    </w:p>
    <w:p>
      <w:pPr>
        <w:spacing w:before="131" w:line="219" w:lineRule="auto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6"/>
          <w:sz w:val="17"/>
          <w:szCs w:val="17"/>
        </w:rPr>
        <w:t>—</w:t>
      </w:r>
      <w:r>
        <w:rPr>
          <w:rFonts w:ascii="宋体" w:eastAsia="宋体" w:hAnsi="宋体" w:cs="宋体"/>
          <w:spacing w:val="-41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16"/>
          <w:sz w:val="17"/>
          <w:szCs w:val="17"/>
        </w:rPr>
        <w:t>—</w:t>
      </w:r>
      <w:r>
        <w:rPr>
          <w:rFonts w:ascii="宋体" w:eastAsia="宋体" w:hAnsi="宋体" w:cs="宋体"/>
          <w:spacing w:val="-56"/>
          <w:sz w:val="17"/>
          <w:szCs w:val="17"/>
        </w:rPr>
        <w:t xml:space="preserve"> </w:t>
      </w:r>
      <w:r>
        <w:rPr>
          <w:rFonts w:ascii="宋体" w:eastAsia="宋体" w:hAnsi="宋体" w:cs="宋体"/>
          <w:spacing w:val="16"/>
          <w:sz w:val="17"/>
          <w:szCs w:val="17"/>
        </w:rPr>
        <w:t>第2部分：气液两相流安全泄放技术要求。</w:t>
      </w:r>
    </w:p>
    <w:p>
      <w:pPr>
        <w:spacing w:before="118" w:line="350" w:lineRule="exact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22"/>
          <w:position w:val="13"/>
          <w:sz w:val="17"/>
          <w:szCs w:val="17"/>
        </w:rPr>
        <w:t>请注意本文件的某些内容可能涉及专利。本文件的发布机构不</w:t>
      </w:r>
      <w:r>
        <w:rPr>
          <w:rFonts w:ascii="宋体" w:eastAsia="宋体" w:hAnsi="宋体" w:cs="宋体"/>
          <w:spacing w:val="21"/>
          <w:position w:val="13"/>
          <w:sz w:val="17"/>
          <w:szCs w:val="17"/>
        </w:rPr>
        <w:t>承担识别专利的责任。</w:t>
      </w:r>
    </w:p>
    <w:p>
      <w:pPr>
        <w:spacing w:line="218" w:lineRule="auto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9"/>
          <w:sz w:val="17"/>
          <w:szCs w:val="17"/>
        </w:rPr>
        <w:t>本文件由中国化学品安全协会提出并归口。</w:t>
      </w:r>
    </w:p>
    <w:p>
      <w:pPr>
        <w:spacing w:before="118" w:line="361" w:lineRule="exact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8"/>
          <w:position w:val="14"/>
          <w:sz w:val="17"/>
          <w:szCs w:val="17"/>
        </w:rPr>
        <w:t>本文件起草单位：中石化安全工程研究院有限公司、中石化国家石化项目风险评估技</w:t>
      </w:r>
      <w:r>
        <w:rPr>
          <w:rFonts w:ascii="宋体" w:eastAsia="宋体" w:hAnsi="宋体" w:cs="宋体"/>
          <w:spacing w:val="17"/>
          <w:position w:val="14"/>
          <w:sz w:val="17"/>
          <w:szCs w:val="17"/>
        </w:rPr>
        <w:t>术中心有限公</w:t>
      </w:r>
    </w:p>
    <w:p>
      <w:pPr>
        <w:spacing w:before="1" w:line="218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15"/>
          <w:sz w:val="17"/>
          <w:szCs w:val="17"/>
        </w:rPr>
        <w:t>司、中国化学品安全协会、中石化宁波工程有限公司、中国石油化工股份有限公司北京</w:t>
      </w:r>
      <w:r>
        <w:rPr>
          <w:rFonts w:ascii="宋体" w:eastAsia="宋体" w:hAnsi="宋体" w:cs="宋体"/>
          <w:spacing w:val="14"/>
          <w:sz w:val="17"/>
          <w:szCs w:val="17"/>
        </w:rPr>
        <w:t>燕山分公司。</w:t>
      </w:r>
    </w:p>
    <w:p>
      <w:pPr>
        <w:spacing w:before="108" w:line="371" w:lineRule="exact"/>
        <w:ind w:left="400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7"/>
          <w:position w:val="15"/>
          <w:sz w:val="17"/>
          <w:szCs w:val="17"/>
        </w:rPr>
        <w:t>本文件主要起草人：党文义、于安峰、葛春涛、张杰东、刘迪、张武涛、孙峰、邢涛、胡晓昕、张启云、</w:t>
      </w:r>
    </w:p>
    <w:p>
      <w:pPr>
        <w:spacing w:line="219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pacing w:val="-4"/>
          <w:sz w:val="17"/>
          <w:szCs w:val="17"/>
        </w:rPr>
        <w:t>严明、张健、吴岩、王达、马兴亮、刘毅、凌晓东、刘永强、辛保泉。</w:t>
      </w:r>
    </w:p>
    <w:p>
      <w:pPr>
        <w:spacing w:line="219" w:lineRule="auto"/>
        <w:rPr>
          <w:rFonts w:ascii="宋体" w:eastAsia="宋体" w:hAnsi="宋体" w:cs="宋体"/>
          <w:sz w:val="17"/>
          <w:szCs w:val="17"/>
        </w:rPr>
      </w:pPr>
      <w:r>
        <w:rPr>
          <w:rFonts w:ascii="宋体" w:eastAsia="宋体" w:hAnsi="宋体" w:cs="宋体"/>
          <w:sz w:val="17"/>
          <w:szCs w:val="17"/>
        </w:rPr>
        <w:br/>
      </w:r>
      <w:r>
        <w:rPr>
          <w:rFonts w:ascii="宋体" w:eastAsia="宋体" w:hAnsi="宋体" w:cs="宋体"/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https://d.book118.com/598140032140006027</w:t>
        </w:r>
      </w:hyperlink>
    </w:p>
    <w:p>
      <w:pPr>
        <w:spacing w:line="219" w:lineRule="auto"/>
        <w:rPr>
          <w:rFonts w:ascii="宋体" w:eastAsia="宋体" w:hAnsi="宋体" w:cs="宋体"/>
          <w:sz w:val="17"/>
          <w:szCs w:val="17"/>
        </w:rPr>
      </w:pPr>
    </w:p>
    <w:sectPr>
      <w:footerReference w:type="default" r:id="rId8"/>
      <w:pgSz w:w="11900" w:h="16840"/>
      <w:pgMar w:top="1297" w:right="1785" w:bottom="2544" w:left="1299" w:header="0" w:footer="2393" w:gutter="0"/>
      <w:pgNumType w:start="6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8170"/>
      <w:rPr>
        <w:rFonts w:ascii="Times New Roman" w:eastAsia="Times New Roman" w:hAnsi="Times New Roman" w:cs="Times New Roman"/>
        <w:sz w:val="17"/>
        <w:szCs w:val="17"/>
      </w:rPr>
    </w:pPr>
    <w:r>
      <w:rPr>
        <w:rFonts w:ascii="Times New Roman" w:eastAsia="Times New Roman" w:hAnsi="Times New Roman" w:cs="Times New Roman"/>
        <w:sz w:val="17"/>
        <w:szCs w:val="17"/>
      </w:rPr>
      <w:t>I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7EF63AE"/>
  </w:rsids>
  <w:docVars>
    <w:docVar w:name="commondata" w:val="eyJoZGlkIjoiMDljYzUzMWQ4OWI0YzBkYjYzMDRhZTY5ZjZkYmFmYT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黑体" w:eastAsia="黑体" w:hAnsi="黑体" w:cs="黑体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宋体" w:eastAsia="宋体" w:hAnsi="宋体" w:cs="宋体"/>
      <w:sz w:val="17"/>
      <w:szCs w:val="1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hyperlink" Target="https://d.book118.com/598140032140006027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婷</cp:lastModifiedBy>
  <cp:revision>0</cp:revision>
  <dcterms:created xsi:type="dcterms:W3CDTF">2024-01-19T11:13:00Z</dcterms:created>
  <dcterms:modified xsi:type="dcterms:W3CDTF">2024-01-21T01:02:26Z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2024-01-19T11:13:20Z</vt:filetime>
  </property>
  <property fmtid="{D5CDD505-2E9C-101B-9397-08002B2CF9AE}" pid="3" name="CRO">
    <vt:lpwstr>wqlLaW5nc29mdCBQREYgdG8gV1BTIDkw</vt:lpwstr>
  </property>
  <property fmtid="{D5CDD505-2E9C-101B-9397-08002B2CF9AE}" pid="4" name="ICV">
    <vt:lpwstr>F20DF6B1D38241F4BF99A0DB2FD66E02_12</vt:lpwstr>
  </property>
  <property fmtid="{D5CDD505-2E9C-101B-9397-08002B2CF9AE}" pid="5" name="KSOProductBuildVer">
    <vt:lpwstr>2052-12.1.0.16120</vt:lpwstr>
  </property>
  <property fmtid="{D5CDD505-2E9C-101B-9397-08002B2CF9AE}" pid="6" name="UsrData">
    <vt:lpwstr>65a9e8c3b80a39001fec3144wl</vt:lpwstr>
  </property>
</Properties>
</file>