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泡打粉行业企业战略风险管理报告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eastAsia="zh-CN"/>
          </w:rPr>
          <w:t>一、建设规划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三、人力资源风险管理的主要内容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四、薪酬制度管理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_Toc25079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2" w:history="1">
        <w:r>
          <w:rPr>
            <w:rFonts w:ascii="仿宋" w:eastAsia="仿宋" w:hAnsi="仿宋" w:cs="仿宋" w:hint="eastAsia"/>
            <w:lang w:eastAsia="zh-CN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(二)、泡打粉项目技术工艺分析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七、发展规划分析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4" w:history="1">
        <w:r>
          <w:rPr>
            <w:rFonts w:ascii="仿宋" w:eastAsia="仿宋" w:hAnsi="仿宋" w:cs="仿宋" w:hint="eastAsia"/>
            <w:lang w:eastAsia="zh-CN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_Toc6974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九、行业趋势与未来发展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_Toc2350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十一、社会效益评价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14" w:history="1">
        <w:r>
          <w:rPr>
            <w:rFonts w:ascii="仿宋" w:eastAsia="仿宋" w:hAnsi="仿宋" w:cs="仿宋" w:hint="eastAsia"/>
            <w:lang w:eastAsia="zh-CN"/>
          </w:rPr>
          <w:t>十二、建设规划方案</w:t>
        </w:r>
        <w:r>
          <w:tab/>
        </w:r>
        <w:r>
          <w:fldChar w:fldCharType="begin"/>
        </w:r>
        <w:r>
          <w:instrText xml:space="preserve"> PAGEREF _Toc9114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(一)、泡打粉项目风险分析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十四、泡打粉制度建设与执行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十五、泡打粉项目总结与展望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(一)、泡打粉项目总结回顾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2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3" w:history="1">
        <w:r>
          <w:rPr>
            <w:rFonts w:ascii="仿宋" w:eastAsia="仿宋" w:hAnsi="仿宋" w:cs="仿宋" w:hint="eastAsia"/>
            <w:lang w:eastAsia="zh-CN"/>
          </w:rPr>
          <w:t>(四)、泡打粉项目总结报告</w:t>
        </w:r>
        <w:r>
          <w:tab/>
        </w:r>
        <w:r>
          <w:fldChar w:fldCharType="begin"/>
        </w:r>
        <w:r>
          <w:instrText xml:space="preserve"> PAGEREF _Toc4473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eastAsia="zh-CN"/>
          </w:rPr>
          <w:t>十六、管理团队</w:t>
        </w:r>
        <w:r>
          <w:tab/>
        </w:r>
        <w:r>
          <w:fldChar w:fldCharType="begin"/>
        </w:r>
        <w:r>
          <w:instrText xml:space="preserve"> PAGEREF _Toc23425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十七、泡打粉行业发展方向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2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_Toc23162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(三)、泡打粉行业生态系统构建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eastAsia="zh-CN"/>
          </w:rPr>
          <w:t>十九、泡打粉项目可行性风险分析</w:t>
        </w:r>
        <w:r>
          <w:tab/>
        </w:r>
        <w:r>
          <w:fldChar w:fldCharType="begin"/>
        </w:r>
        <w:r>
          <w:instrText xml:space="preserve"> PAGEREF _Toc11632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(一)、泡打粉项目风险识别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9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_Toc23219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二十、第四十三章员工参与决策与公司治理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二十一、泡打粉项目职业保护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_Toc30543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0" w:history="1">
        <w:r>
          <w:rPr>
            <w:rFonts w:ascii="仿宋" w:eastAsia="仿宋" w:hAnsi="仿宋" w:cs="仿宋" w:hint="eastAsia"/>
            <w:lang w:eastAsia="zh-CN"/>
          </w:rPr>
          <w:t>二十二知识管理与技术创新</w:t>
        </w:r>
        <w:r>
          <w:tab/>
        </w:r>
        <w:r>
          <w:fldChar w:fldCharType="begin"/>
        </w:r>
        <w:r>
          <w:instrText xml:space="preserve"> PAGEREF _Toc15820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79"/>
      <w:r>
        <w:rPr>
          <w:rFonts w:ascii="仿宋" w:eastAsia="仿宋" w:hAnsi="仿宋" w:cs="仿宋" w:hint="eastAsia"/>
          <w:sz w:val="28"/>
          <w:lang w:eastAsia="zh-CN"/>
        </w:rPr>
        <w:t>一、建设规划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7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https://d.book118.com/598142017014006043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泡打粉行业企业战略风险管理报告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泡打粉行业企业战略风险管理报告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泡打粉行业企业战略风险管理报告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泡打粉行业企业战略风险管理报告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泡打粉行业企业战略风险管理报告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2271C7"/>
    <w:rsid w:val="372271C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142017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2024-02-26T09:52:00Z</dcterms:created>
  <dcterms:modified xsi:type="dcterms:W3CDTF">2024-02-26T09:52:36Z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5E446C1713FC4266A7BAE50E2935D5F1_11</vt:lpwstr>
  </property>
  <property fmtid="{D5CDD505-2E9C-101B-9397-08002B2CF9AE}" pid="3" name="KSOProductBuildVer">
    <vt:lpwstr>2052-12.1.0.16250</vt:lpwstr>
  </property>
</Properties>
</file>