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OC5"/>
        <w:wordWrap/>
        <w:spacing w:line="360" w:lineRule="auto"/>
        <w:ind w:left="0"/>
        <w:jc w:val="center"/>
        <w:rPr>
          <w:rFonts w:eastAsia="宋体" w:cs="宋体" w:hint="eastAsia"/>
          <w:b/>
          <w:bCs/>
          <w:color w:val="00B050"/>
          <w:sz w:val="28"/>
          <w:szCs w:val="28"/>
        </w:rPr>
      </w:pPr>
      <w:r>
        <w:rPr>
          <w:rFonts w:eastAsia="宋体" w:cs="宋体" w:hint="eastAsia"/>
          <w:b/>
          <w:bCs/>
          <w:color w:val="00B050"/>
          <w:sz w:val="28"/>
          <w:szCs w:val="28"/>
          <w:lang w:val="en-US" w:eastAsia="zh-CN"/>
        </w:rPr>
        <w:drawing>
          <wp:anchor simplePos="0" relativeHeight="251658240" behindDoc="0" locked="0" layoutInCell="1" allowOverlap="1">
            <wp:simplePos x="0" y="0"/>
            <wp:positionH relativeFrom="page">
              <wp:posOffset>11353800</wp:posOffset>
            </wp:positionH>
            <wp:positionV relativeFrom="topMargin">
              <wp:posOffset>12687300</wp:posOffset>
            </wp:positionV>
            <wp:extent cx="304800" cy="419100"/>
            <wp:wrapNone/>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
                    <a:stretch>
                      <a:fillRect/>
                    </a:stretch>
                  </pic:blipFill>
                  <pic:spPr>
                    <a:xfrm>
                      <a:off x="0" y="0"/>
                      <a:ext cx="304800" cy="419100"/>
                    </a:xfrm>
                    <a:prstGeom prst="rect">
                      <a:avLst/>
                    </a:prstGeom>
                  </pic:spPr>
                </pic:pic>
              </a:graphicData>
            </a:graphic>
          </wp:anchor>
        </w:drawing>
      </w:r>
      <w:r>
        <w:rPr>
          <w:rFonts w:eastAsia="宋体" w:cs="宋体" w:hint="eastAsia"/>
          <w:b/>
          <w:bCs/>
          <w:color w:val="00B050"/>
          <w:sz w:val="28"/>
          <w:szCs w:val="28"/>
          <w:lang w:val="en-US" w:eastAsia="zh-CN"/>
        </w:rPr>
        <w:t>论述类</w:t>
      </w:r>
      <w:r>
        <w:rPr>
          <w:rFonts w:eastAsia="宋体" w:cs="宋体" w:hint="eastAsia"/>
          <w:b/>
          <w:bCs/>
          <w:color w:val="00B050"/>
          <w:sz w:val="28"/>
          <w:szCs w:val="28"/>
        </w:rPr>
        <w:t>类文本阅读</w:t>
      </w:r>
    </w:p>
    <w:p>
      <w:pPr>
        <w:spacing w:line="360" w:lineRule="auto"/>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四川省成都市2024届高中毕业班第一次诊断性检测语文试题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(一)论述类文本阅读(本题共 3 小题，9分)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阅读下面的文字，完成1~3题。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中国语境下的红色诗歌，指在中国共产党的领导或引领下的红色诗人创作的政治诗歌形态。回顾历史，中国红色诗歌与时俱进，随着中国革命、建设和改革的时代变迁而不断演进，形成了连续不断的红色诗潮。就文艺的人民性而言，中国红色诗潮在不同历史时期的人民性含量是有多寡高下之别的，因为不同历史时期的红色诗人所要表现的人民群众的现实生活和时代愿望是不同的，他们运用的为人民服务的文艺形式必然也会存在差异。从红色诗歌的经典化效果来看，只有在形式上具有口传性、在内容上具有确定性、在接受方式上具有共享性的红色诗歌作品才能成为红色诗歌经典。</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首先是口传性，这是红色诗歌经典在艺术形式美学上的根本取向。一般而言，现代派诗歌因为追求语言和形式上的陌生化，更适合书面阅读，而红色诗歌追求口语化的语言和节奏，更适合口头传播，比如朗诵和歌唱，许多红色诗歌就是在口口相传中成为经典绝唱。 至于红色新诗，相对于欧化的现代派诗歌而言，其语言和节奏上的口传性同样十分明显。鲁迅曾为早期中国新诗大抵是</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眼看的</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而不是</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嘴唱的</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感到惋惜，他认为新诗要想</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将旧诗挤出</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，则必</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先要有节调，押大致相近的韵，给大家容易记，又顺口，唱得出来</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。随着抗战诗歌的兴起，鲁迅期待的那种具有口传性的新诗才大规模出现。</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我们的祖国呵/我是属于你的/一个紫黑色的/年轻的战士。</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这是才华横溢的晋察冀诗人陈辉写下的著名诗句，既有陌生化的颜色意象，又不失人民的泥土芬芳。这类红色诗歌朗读起来顺口顺耳，大大推进了红色新诗的人民性进程。</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从内容接受层面来说，红色诗歌经典的人民性特征主要表现为确定性。现代派诗歌普遍追求内容的含混性，而红色诗歌则往往具有确定性。虽然海德格尔说</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艺术的本质是诗。而诗的本质是真理的创建</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，但现代派诗歌所创建的</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真理</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与红色诗歌创建的真理之间还是有着明显的差异。海德格尔从荷尔德林、里尔克等人的现代派诗歌中所勘破的生命存在的真相(真理)，往往带有强烈的个体性、超验性、非理性色彩，而红色诗歌中抒发的真理(真实之本质)则带有更强烈的普遍性、社会性、革命理性色彩。所以与现代派诗歌评论中常见的多义性解读相比，红色诗歌的语义阐释具有鲜明的确定性特征。此外，红色诗歌能清晰明确地反映诗人的创作目的，借用瑙曼的术语，其</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接受指令</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具有明确的指引性，它引导读者或</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收件人</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从作品中掌握红色真理，而不像现代派诗歌那样刻意制造文本空白点，引导读者神秘地体验形而上学的哲理玄思。</w:t>
      </w:r>
    </w:p>
    <w:p>
      <w:pPr>
        <w:spacing w:line="360" w:lineRule="auto"/>
        <w:ind w:firstLine="420" w:firstLineChars="200"/>
        <w:textAlignment w:val="baseline"/>
        <w:rPr>
          <w:rFonts w:ascii="新宋体" w:eastAsia="新宋体" w:hAnsi="新宋体" w:cs="新宋体" w:hint="eastAsia"/>
          <w:bCs/>
          <w:szCs w:val="21"/>
        </w:rPr>
        <w:sectPr>
          <w:headerReference w:type="default" r:id="rId5"/>
          <w:footerReference w:type="default" r:id="rId6"/>
          <w:pgSz w:w="11906" w:h="16838"/>
          <w:pgMar w:top="1440" w:right="1080" w:bottom="1440" w:left="1080" w:header="851" w:footer="992" w:gutter="0"/>
          <w:cols w:space="708"/>
          <w:docGrid w:type="lines" w:linePitch="312"/>
        </w:sectPr>
      </w:pP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接受方式本身的共享性也体现了红色诗歌经典的人民性指向。通常来说，现代派诗歌更适合在私人空间或小众空间里进行个人化的接受(默读和静听)，而红色诗歌更适合在公共空间或大众空间里进行社会化的接受(朗读、歌唱等公众化的视听方式)，如此才能产生扩散性的传播效果或集群效应。虽然现代派诗歌也适于审美的分享，但毕竟拘囿在少数知识精英圈子中，与红色诗歌的审美共享性明显有别。</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(摘编自李遇春《人民性与中国红色诗歌的经典化问题》)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1. 下列关于原文内容的理解和分析，正确的一项是(3分)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A.红色诗歌的创作受多重因素影响，艺术形式不同，诗歌表现的人民性就有高下之别。</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B.一般而言，红色诗歌不适合书面阅读，但可以通过朗读、歌唱等传播方式成为经典。</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C.红色诗歌经典具有强烈的革命理性色彩，能明确地引导读者从作品中发现红色真理。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D.现代派诗歌内容含混难懂，大众不能理解认同和接受，只能在少数精英圈子中分享。</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2. 下列对原文论证的相关分析，不正确的一项是(3分)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A.文章首先诠释了中国红色诗歌的内涵，指出其人民性的特点，进而引出论述话题。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B.文章按照先总后分的思路展开论证，具体阐释了红色诗歌经典应该具有的三个特征。</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C.第二段引用鲁迅的观点，是为了证明具有口传性的抗战诗歌是红色经典出现的标志。</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D.第三段将红色诗歌与现代派诗歌对照，阐释了红色诗歌语义解读更具确定性的原因。</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3. 下列选项不适合作为论据支撑第三段</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红色诗歌内容具有确定性</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的一项是(3分)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A.在黑暗里/在重压下/在侮辱中/苦痛着/呻吟着/挣扎着是我底祖国/是我底受难的祖国(胡风《为祖国而歌》)</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B.但你的弟弟现在饥渴/饥渴着的是永久的真理/不要荣誉/不要功建/只望向真理的王国进礼(殷夫《别了，哥哥》)</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C.我用残损的手掌/摸索这广大的土地/这一角已变成灰烬/那一角只是血和泥/这一片湖该是我的家乡(戴望舒《我用残损的手掌》)</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D.在不认识的远处/月儿似钩心斗角的遍照/万人欢笑/万人悲哭/同躲在一具儿/模糊的黑影/辨不出是鲜血/是流萤(李金发《里昂车中》)</w:t>
      </w:r>
    </w:p>
    <w:p>
      <w:pPr>
        <w:spacing w:line="360" w:lineRule="auto"/>
        <w:rPr>
          <w:rFonts w:ascii="宋体" w:eastAsia="宋体" w:hAnsi="宋体" w:cs="宋体" w:hint="eastAsia"/>
          <w:b/>
          <w:bCs/>
          <w:color w:val="00B050"/>
          <w:szCs w:val="21"/>
        </w:rPr>
      </w:pPr>
    </w:p>
    <w:p>
      <w:pPr>
        <w:spacing w:line="360" w:lineRule="auto"/>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四川省德阳市2024届高三12月第一次诊断考试语文试卷</w:t>
      </w:r>
    </w:p>
    <w:p>
      <w:pPr>
        <w:spacing w:line="360" w:lineRule="auto"/>
        <w:rPr>
          <w:rFonts w:hint="eastAsia"/>
        </w:rPr>
      </w:pPr>
      <w:r>
        <w:rPr>
          <w:rFonts w:hint="eastAsia"/>
          <w:lang w:val="en-US" w:eastAsia="zh-CN"/>
        </w:rPr>
        <w:t>(一) 论述类文本阅读(本题每小题3分，共9分)</w:t>
      </w:r>
    </w:p>
    <w:p>
      <w:pPr>
        <w:spacing w:line="360" w:lineRule="auto"/>
        <w:rPr>
          <w:rFonts w:hint="eastAsia"/>
        </w:rPr>
      </w:pPr>
      <w:r>
        <w:rPr>
          <w:rFonts w:hint="eastAsia"/>
          <w:lang w:val="en-US" w:eastAsia="zh-CN"/>
        </w:rPr>
        <w:t>阅读下面的文字， 完成 1~3 题。</w:t>
      </w:r>
    </w:p>
    <w:p>
      <w:pPr>
        <w:spacing w:line="360" w:lineRule="auto"/>
        <w:ind w:firstLine="420" w:firstLineChars="200"/>
        <w:rPr>
          <w:rFonts w:hint="eastAsia"/>
        </w:rPr>
        <w:sectPr>
          <w:headerReference w:type="default" r:id="rId7"/>
          <w:footerReference w:type="default" r:id="rId8"/>
          <w:type w:val="nextPage"/>
          <w:pgSz w:w="11906" w:h="16838"/>
          <w:pgMar w:top="1440" w:right="1080" w:bottom="1440" w:left="1080" w:header="851" w:footer="992" w:gutter="0"/>
          <w:pgNumType w:start="2"/>
          <w:cols w:space="708"/>
          <w:titlePg w:val="0"/>
          <w:docGrid w:type="lines" w:linePitch="312"/>
        </w:sectPr>
      </w:pPr>
      <w:r>
        <w:rPr>
          <w:rFonts w:hint="eastAsia"/>
          <w:lang w:val="en-US" w:eastAsia="zh-CN"/>
        </w:rPr>
        <w:t>戏剧这种通过表演叙事的艺术形式，剧本最为合适的长度是在一个单位时间内讲述一个相对完整的故事，欧洲戏剧理论家提出的</w:t>
      </w:r>
      <w:r>
        <w:rPr>
          <w:rFonts w:hint="eastAsia"/>
          <w:lang w:val="en-US" w:eastAsia="zh-CN"/>
        </w:rPr>
        <w:t>“</w:t>
      </w:r>
      <w:r>
        <w:rPr>
          <w:rFonts w:hint="eastAsia"/>
          <w:lang w:val="en-US" w:eastAsia="zh-CN"/>
        </w:rPr>
        <w:t>情节整一性</w:t>
      </w:r>
      <w:r>
        <w:rPr>
          <w:rFonts w:hint="eastAsia"/>
          <w:lang w:val="en-US" w:eastAsia="zh-CN"/>
        </w:rPr>
        <w:t>”</w:t>
      </w:r>
      <w:r>
        <w:rPr>
          <w:rFonts w:hint="eastAsia"/>
          <w:lang w:val="en-US" w:eastAsia="zh-CN"/>
        </w:rPr>
        <w:t>原则和古典主义戏剧的</w:t>
      </w:r>
      <w:r>
        <w:rPr>
          <w:rFonts w:hint="eastAsia"/>
          <w:lang w:val="en-US" w:eastAsia="zh-CN"/>
        </w:rPr>
        <w:t>“</w:t>
      </w:r>
      <w:r>
        <w:rPr>
          <w:rFonts w:hint="eastAsia"/>
          <w:lang w:val="en-US" w:eastAsia="zh-CN"/>
        </w:rPr>
        <w:t>三一律</w:t>
      </w:r>
      <w:r>
        <w:rPr>
          <w:rFonts w:hint="eastAsia"/>
          <w:lang w:val="en-US" w:eastAsia="zh-CN"/>
        </w:rPr>
        <w:t>”</w:t>
      </w:r>
      <w:r>
        <w:rPr>
          <w:rFonts w:hint="eastAsia"/>
          <w:lang w:val="en-US" w:eastAsia="zh-CN"/>
        </w:rPr>
        <w:t>，都是基于这种理解。</w:t>
      </w:r>
      <w:r>
        <w:rPr>
          <w:rFonts w:hint="eastAsia"/>
          <w:lang w:val="en-US" w:eastAsia="zh-CN"/>
        </w:rPr>
        <w:t xml:space="preserve"> 但是中国的传统戏曲文本，</w:t>
      </w:r>
    </w:p>
    <w:p>
      <w:pPr>
        <w:spacing w:line="360" w:lineRule="auto"/>
        <w:ind w:firstLine="420" w:firstLineChars="200"/>
        <w:rPr>
          <w:rFonts w:hint="eastAsia"/>
        </w:rPr>
      </w:pPr>
      <w:r>
        <w:rPr>
          <w:rFonts w:hint="eastAsia"/>
          <w:lang w:val="en-US" w:eastAsia="zh-CN"/>
        </w:rPr>
        <w:t xml:space="preserve"> 尤其是解读明清传奇的文本结构特点，完全不适用于这种戏剧观念与思维方式。戏曲剧本的文人写作，无论是历史地看，还是从存留至今的作品数量看，明清年间的传奇作品最为集中。明清传奇是与中国传统绘画中的卷轴手卷最具可比性的剧本形态。</w:t>
      </w:r>
    </w:p>
    <w:p>
      <w:pPr>
        <w:spacing w:line="360" w:lineRule="auto"/>
        <w:ind w:firstLine="420" w:firstLineChars="200"/>
        <w:rPr>
          <w:rFonts w:hint="eastAsia"/>
        </w:rPr>
      </w:pPr>
      <w:r>
        <w:rPr>
          <w:rFonts w:hint="eastAsia"/>
          <w:lang w:val="en-US" w:eastAsia="zh-CN"/>
        </w:rPr>
        <w:t>戏曲中的传奇与绘画中的手卷最为直观的相似点，就是它们特殊的长度。正如手卷的长度超出了 一般意义上应该让欣赏者</w:t>
      </w:r>
      <w:r>
        <w:rPr>
          <w:rFonts w:hint="eastAsia"/>
          <w:lang w:val="en-US" w:eastAsia="zh-CN"/>
        </w:rPr>
        <w:t>“</w:t>
      </w:r>
      <w:r>
        <w:rPr>
          <w:rFonts w:hint="eastAsia"/>
          <w:lang w:val="en-US" w:eastAsia="zh-CN"/>
        </w:rPr>
        <w:t>一目 了 然</w:t>
      </w:r>
      <w:r>
        <w:rPr>
          <w:rFonts w:hint="eastAsia"/>
          <w:lang w:val="en-US" w:eastAsia="zh-CN"/>
        </w:rPr>
        <w:t>”</w:t>
      </w:r>
      <w:r>
        <w:rPr>
          <w:rFonts w:hint="eastAsia"/>
          <w:lang w:val="en-US" w:eastAsia="zh-CN"/>
        </w:rPr>
        <w:t>地完整欣赏的绘画应有的形态， 传奇的长度也和通常为实际演出撰写的剧本不同，明显超出了 在一个单位时间内讲述一个相对完整的故事的需要。 明清传奇均以数十出为常例， 这是因为多数传奇作家创作剧本的最初动机，主要是供案头阅读的文学读本， 他们要通过篇幅与容量证明其富于才情，所以竞相以长度争胜。</w:t>
      </w:r>
    </w:p>
    <w:p>
      <w:pPr>
        <w:spacing w:line="360" w:lineRule="auto"/>
        <w:ind w:firstLine="420" w:firstLineChars="200"/>
        <w:rPr>
          <w:rFonts w:hint="eastAsia"/>
        </w:rPr>
      </w:pPr>
      <w:r>
        <w:rPr>
          <w:rFonts w:hint="eastAsia"/>
          <w:lang w:val="en-US" w:eastAsia="zh-CN"/>
        </w:rPr>
        <w:t>文本的长度只是传奇结构的外在要素，戏剧是叙述事件进程的时间性艺术， 叙事逻辑一定会成为文本结构中更具影响力 的关键性要素。 确实如此， 传奇除了 长度远离一般对剧本文学的认知， 更重要的是传奇作者安置戏剧故事的铺排方式， 与从开端、冲突、高潮直至结局的</w:t>
      </w:r>
      <w:r>
        <w:rPr>
          <w:rFonts w:hint="eastAsia"/>
          <w:lang w:val="en-US" w:eastAsia="zh-CN"/>
        </w:rPr>
        <w:t>“</w:t>
      </w:r>
      <w:r>
        <w:rPr>
          <w:rFonts w:hint="eastAsia"/>
          <w:lang w:val="en-US" w:eastAsia="zh-CN"/>
        </w:rPr>
        <w:t>整一性</w:t>
      </w:r>
      <w:r>
        <w:rPr>
          <w:rFonts w:hint="eastAsia"/>
          <w:lang w:val="en-US" w:eastAsia="zh-CN"/>
        </w:rPr>
        <w:t>”</w:t>
      </w:r>
      <w:r>
        <w:rPr>
          <w:rFonts w:hint="eastAsia"/>
          <w:lang w:val="en-US" w:eastAsia="zh-CN"/>
        </w:rPr>
        <w:t>的西方戏剧理念大相径庭， 更缺乏作为</w:t>
      </w:r>
      <w:r>
        <w:rPr>
          <w:rFonts w:hint="eastAsia"/>
          <w:lang w:val="en-US" w:eastAsia="zh-CN"/>
        </w:rPr>
        <w:t>“</w:t>
      </w:r>
      <w:r>
        <w:rPr>
          <w:rFonts w:hint="eastAsia"/>
          <w:lang w:val="en-US" w:eastAsia="zh-CN"/>
        </w:rPr>
        <w:t>对立双方</w:t>
      </w:r>
      <w:r>
        <w:rPr>
          <w:rFonts w:hint="eastAsia"/>
          <w:lang w:val="en-US" w:eastAsia="zh-CN"/>
        </w:rPr>
        <w:t>”</w:t>
      </w:r>
      <w:r>
        <w:rPr>
          <w:rFonts w:hint="eastAsia"/>
          <w:lang w:val="en-US" w:eastAsia="zh-CN"/>
        </w:rPr>
        <w:t>之矛盾的戏剧冲突。从传奇的文本结构看， 尽管一部传奇叙述的故事本身是可以具有其完整性的，但是优秀的传奇作者，似乎都偏好于在故事发展过程的时间延展中， 有意地点缀着几个间隙性的段落，就像长卷中的山水起伏一样，时有枝蔓逸出， 形成有张有弛、 错落有致的节奏感。 就如汤显祖《牡丹亭》 杜丽娘的思春而亡是其主线， 但是在《闺塾》《惊梦》 中穿插了《劝农》。从高明《琵琶记》 直到清初的诸多传奇作品、 必会在情节主线中穿插一些看似毫无关联的出目 ， 然而， 这样的结构安排， 古代戏曲理论家和昆曲表演者称之为</w:t>
      </w:r>
      <w:r>
        <w:rPr>
          <w:rFonts w:hint="eastAsia"/>
          <w:lang w:val="en-US" w:eastAsia="zh-CN"/>
        </w:rPr>
        <w:t>“</w:t>
      </w:r>
      <w:r>
        <w:rPr>
          <w:rFonts w:hint="eastAsia"/>
          <w:lang w:val="en-US" w:eastAsia="zh-CN"/>
        </w:rPr>
        <w:t>冷热相剂</w:t>
      </w:r>
      <w:r>
        <w:rPr>
          <w:rFonts w:hint="eastAsia"/>
          <w:lang w:val="en-US" w:eastAsia="zh-CN"/>
        </w:rPr>
        <w:t>”</w:t>
      </w:r>
      <w:r>
        <w:rPr>
          <w:rFonts w:hint="eastAsia"/>
          <w:lang w:val="en-US" w:eastAsia="zh-CN"/>
        </w:rPr>
        <w:t xml:space="preserve"> ， 显然为传奇作家普遍认可， 它也强化了 传奇的文本结构与绘画手卷相似和相通的特征。</w:t>
      </w:r>
    </w:p>
    <w:p>
      <w:pPr>
        <w:spacing w:line="360" w:lineRule="auto"/>
        <w:ind w:firstLine="420" w:firstLineChars="200"/>
        <w:rPr>
          <w:rFonts w:hint="eastAsia"/>
        </w:rPr>
      </w:pPr>
      <w:r>
        <w:rPr>
          <w:rFonts w:hint="eastAsia"/>
          <w:lang w:val="en-US" w:eastAsia="zh-CN"/>
        </w:rPr>
        <w:t>明代传奇的结构对昆曲的演出形态有着决定性的影响。依据现有的零星资料，这些冗长的传奇作品多数都只以折子戏的形态上演，就像手卷通常并不是以全画完全展开的方式欣赏一样。 其实， 恰因传奇的叙事逻辑与手卷构图方式相似，所以传奇这种戏剧文本的篇幅才会如此之长， 正如手卷最适宜于创作长卷， 传奇手卷式的构成更宜于较长篇幅的创作， 这也是传奇剧目 动辄数十出的内在合理性之所在。 从另 一个角度看，中国传统绘画的手卷，最适宜的欣赏场合是在案头展阅， 这和传奇中有大量案头作品， 或许并非全是巧合。</w:t>
      </w:r>
    </w:p>
    <w:p>
      <w:pPr>
        <w:spacing w:line="360" w:lineRule="auto"/>
        <w:ind w:firstLine="420" w:firstLineChars="200"/>
        <w:rPr>
          <w:rFonts w:hint="eastAsia"/>
        </w:rPr>
      </w:pPr>
      <w:r>
        <w:rPr>
          <w:rFonts w:hint="eastAsia"/>
          <w:lang w:val="en-US" w:eastAsia="zh-CN"/>
        </w:rPr>
        <w:t>明清传奇以折子戏为主的演出形态与传奇的文体结构特点，简直是天作之合。传奇剧本虽以生旦戏为主，但一直有不成文的惯例，即每部传奇要为所有角 色安排其独立表现的出目，更导致传统戏曲在文本结构上，呈现出手卷式多中心的特点。一些次要角 色主演的出目，有时会逸出剧情的主线， 就像手卷的闲笔和留白，让作品增添了叙事中的弹性与变化。</w:t>
      </w:r>
    </w:p>
    <w:p>
      <w:pPr>
        <w:spacing w:line="360" w:lineRule="auto"/>
        <w:rPr>
          <w:rFonts w:hint="eastAsia"/>
        </w:rPr>
        <w:sectPr>
          <w:headerReference w:type="default" r:id="rId9"/>
          <w:footerReference w:type="default" r:id="rId10"/>
          <w:type w:val="nextPage"/>
          <w:pgSz w:w="11906" w:h="16838"/>
          <w:pgMar w:top="1440" w:right="1080" w:bottom="1440" w:left="1080" w:header="851" w:footer="992" w:gutter="0"/>
          <w:pgNumType w:start="3"/>
          <w:cols w:space="708"/>
          <w:titlePg w:val="0"/>
          <w:docGrid w:type="lines" w:linePitch="312"/>
        </w:sectPr>
      </w:pPr>
      <w:r>
        <w:rPr>
          <w:rFonts w:hint="eastAsia"/>
          <w:lang w:val="en-US" w:eastAsia="zh-CN"/>
        </w:rPr>
        <w:t xml:space="preserve">  </w:t>
      </w:r>
      <w:r>
        <w:rPr>
          <w:rFonts w:hint="eastAsia"/>
          <w:lang w:val="en-US" w:eastAsia="zh-CN"/>
        </w:rPr>
        <w:t xml:space="preserve"> </w:t>
      </w:r>
      <w:r>
        <w:rPr>
          <w:rFonts w:hint="eastAsia"/>
          <w:lang w:val="en-US" w:eastAsia="zh-CN"/>
        </w:rPr>
        <w:t xml:space="preserve"> 戏曲尤其是昆曲各行当表演艺术水平提升，</w:t>
      </w:r>
      <w:r>
        <w:rPr>
          <w:rFonts w:hint="eastAsia"/>
          <w:lang w:val="en-US" w:eastAsia="zh-CN"/>
        </w:rPr>
        <w:t xml:space="preserve"> 与传奇的体例有着内在的因果关系，</w:t>
      </w:r>
      <w:r>
        <w:rPr>
          <w:rFonts w:hint="eastAsia"/>
          <w:lang w:val="en-US" w:eastAsia="zh-CN"/>
        </w:rPr>
        <w:t xml:space="preserve"> 这是因为传奇不只关心作为主要脚色的生旦，</w:t>
      </w:r>
      <w:r>
        <w:rPr>
          <w:rFonts w:hint="eastAsia"/>
          <w:lang w:val="en-US" w:eastAsia="zh-CN"/>
        </w:rPr>
        <w:t xml:space="preserve"> 几乎是下意识地顾及所有的行当，在剧本中为他们设置可以展现其能力的段落。</w:t>
      </w:r>
      <w:r>
        <w:rPr>
          <w:rFonts w:hint="eastAsia"/>
          <w:lang w:val="en-US" w:eastAsia="zh-CN"/>
        </w:rPr>
        <w:t xml:space="preserve"> 反过来也可以说，</w:t>
      </w:r>
      <w:r>
        <w:rPr>
          <w:rFonts w:hint="eastAsia"/>
          <w:lang w:val="en-US" w:eastAsia="zh-CN"/>
        </w:rPr>
        <w:t xml:space="preserve"> 传奇的作家虽然不无对作品整体的把握，但是对局部的注意实不下于整体。</w:t>
      </w:r>
    </w:p>
    <w:p>
      <w:pPr>
        <w:spacing w:line="360" w:lineRule="auto"/>
        <w:rPr>
          <w:rFonts w:hint="eastAsia"/>
        </w:rPr>
      </w:pPr>
      <w:r>
        <w:rPr>
          <w:rFonts w:hint="eastAsia"/>
          <w:lang w:val="en-US" w:eastAsia="zh-CN"/>
        </w:rPr>
        <w:t xml:space="preserve"> 传奇和手卷本质上都可以被看成一个流动的整体，</w:t>
      </w:r>
      <w:r>
        <w:rPr>
          <w:rFonts w:hint="eastAsia"/>
          <w:lang w:val="en-US" w:eastAsia="zh-CN"/>
        </w:rPr>
        <w:t xml:space="preserve"> 其多中心的特点，赋予了演出和欣赏过程中的自</w:t>
      </w:r>
      <w:r>
        <w:rPr>
          <w:rFonts w:hint="eastAsia"/>
          <w:lang w:val="en-US" w:eastAsia="zh-CN"/>
        </w:rPr>
        <w:t xml:space="preserve"> 由裁量空间，</w:t>
      </w:r>
      <w:r>
        <w:rPr>
          <w:rFonts w:hint="eastAsia"/>
          <w:lang w:val="en-US" w:eastAsia="zh-CN"/>
        </w:rPr>
        <w:t xml:space="preserve"> 灵动又不随机。</w:t>
      </w:r>
      <w:r>
        <w:rPr>
          <w:rFonts w:hint="eastAsia"/>
          <w:lang w:val="en-US" w:eastAsia="zh-CN"/>
        </w:rPr>
        <w:t xml:space="preserve"> 其实当我们说中国画的手卷多中心或者散点透视的特点时，</w:t>
      </w:r>
      <w:r>
        <w:rPr>
          <w:rFonts w:hint="eastAsia"/>
          <w:lang w:val="en-US" w:eastAsia="zh-CN"/>
        </w:rPr>
        <w:t xml:space="preserve"> 还需要加以补充的是，</w:t>
      </w:r>
      <w:r>
        <w:rPr>
          <w:rFonts w:hint="eastAsia"/>
          <w:lang w:val="en-US" w:eastAsia="zh-CN"/>
        </w:rPr>
        <w:t xml:space="preserve"> 在每幅手卷里，</w:t>
      </w:r>
      <w:r>
        <w:rPr>
          <w:rFonts w:hint="eastAsia"/>
          <w:lang w:val="en-US" w:eastAsia="zh-CN"/>
        </w:rPr>
        <w:t xml:space="preserve"> 对具有相对完整性的局部的截取方式，并无固定模式，</w:t>
      </w:r>
      <w:r>
        <w:rPr>
          <w:rFonts w:hint="eastAsia"/>
          <w:lang w:val="en-US" w:eastAsia="zh-CN"/>
        </w:rPr>
        <w:t xml:space="preserve"> 恰如折子戏一样，实际上是可以由表演者定义的。</w:t>
      </w:r>
    </w:p>
    <w:p>
      <w:pPr>
        <w:spacing w:line="360" w:lineRule="auto"/>
        <w:rPr>
          <w:rFonts w:hint="eastAsia"/>
        </w:rPr>
      </w:pPr>
      <w:r>
        <w:rPr>
          <w:rFonts w:hint="eastAsia"/>
          <w:lang w:val="en-US" w:eastAsia="zh-CN"/>
        </w:rPr>
        <w:t>(摘编自傅谨《论传统戏曲与传奇的手卷式结构》 )</w:t>
      </w:r>
    </w:p>
    <w:p>
      <w:pPr>
        <w:spacing w:line="360" w:lineRule="auto"/>
        <w:rPr>
          <w:rFonts w:hint="eastAsia"/>
        </w:rPr>
      </w:pPr>
      <w:r>
        <w:rPr>
          <w:rFonts w:hint="eastAsia"/>
          <w:lang w:val="en-US" w:eastAsia="zh-CN"/>
        </w:rPr>
        <w:t>1.下列关于原文内容的理解和分析， 正确的一项是</w:t>
      </w:r>
    </w:p>
    <w:p>
      <w:pPr>
        <w:spacing w:line="360" w:lineRule="auto"/>
        <w:rPr>
          <w:rFonts w:hint="eastAsia"/>
        </w:rPr>
      </w:pPr>
      <w:r>
        <w:rPr>
          <w:rFonts w:hint="eastAsia"/>
          <w:lang w:val="en-US" w:eastAsia="zh-CN"/>
        </w:rPr>
        <w:t>A.明清时期的传奇作品， 在保存至今的中国传统戏剧作品中是数量最多的， 也是文人参与度最突出的。</w:t>
      </w:r>
    </w:p>
    <w:p>
      <w:pPr>
        <w:spacing w:line="360" w:lineRule="auto"/>
        <w:rPr>
          <w:rFonts w:hint="eastAsia"/>
        </w:rPr>
      </w:pPr>
      <w:r>
        <w:rPr>
          <w:rFonts w:hint="eastAsia"/>
          <w:lang w:val="en-US" w:eastAsia="zh-CN"/>
        </w:rPr>
        <w:t>B.明清传奇的大部分作者， 特意将故事的容量加大， 既为展示才华， 又为和其他作者比赛剧本的长度。</w:t>
      </w:r>
    </w:p>
    <w:p>
      <w:pPr>
        <w:spacing w:line="360" w:lineRule="auto"/>
        <w:rPr>
          <w:rFonts w:hint="eastAsia"/>
        </w:rPr>
      </w:pPr>
      <w:r>
        <w:rPr>
          <w:rFonts w:hint="eastAsia"/>
          <w:lang w:val="en-US" w:eastAsia="zh-CN"/>
        </w:rPr>
        <w:t>C.传奇作者讲述故事的方式， 和西方不同， 不以对立双方的矛盾冲突为核心叙事， 呈现出多中心的特</w:t>
      </w:r>
    </w:p>
    <w:p>
      <w:pPr>
        <w:spacing w:line="360" w:lineRule="auto"/>
        <w:rPr>
          <w:rFonts w:hint="eastAsia"/>
        </w:rPr>
      </w:pPr>
      <w:r>
        <w:rPr>
          <w:rFonts w:hint="eastAsia"/>
          <w:lang w:val="en-US" w:eastAsia="zh-CN"/>
        </w:rPr>
        <w:t>点。</w:t>
      </w:r>
    </w:p>
    <w:p>
      <w:pPr>
        <w:spacing w:line="360" w:lineRule="auto"/>
        <w:rPr>
          <w:rFonts w:hint="eastAsia"/>
        </w:rPr>
      </w:pPr>
      <w:r>
        <w:rPr>
          <w:rFonts w:hint="eastAsia"/>
          <w:lang w:val="en-US" w:eastAsia="zh-CN"/>
        </w:rPr>
        <w:t>D.中国传统画中的手卷， 是中国古代绘画的一种特殊的类型， 最适合案头渐次展阅， 无需全画完全展</w:t>
      </w:r>
    </w:p>
    <w:p>
      <w:pPr>
        <w:spacing w:line="360" w:lineRule="auto"/>
        <w:rPr>
          <w:rFonts w:hint="eastAsia"/>
        </w:rPr>
      </w:pPr>
      <w:r>
        <w:rPr>
          <w:rFonts w:hint="eastAsia"/>
          <w:lang w:val="en-US" w:eastAsia="zh-CN"/>
        </w:rPr>
        <w:t>开。</w:t>
      </w:r>
    </w:p>
    <w:p>
      <w:pPr>
        <w:spacing w:line="360" w:lineRule="auto"/>
        <w:rPr>
          <w:rFonts w:hint="eastAsia"/>
        </w:rPr>
      </w:pPr>
      <w:r>
        <w:rPr>
          <w:rFonts w:hint="eastAsia"/>
          <w:lang w:val="en-US" w:eastAsia="zh-CN"/>
        </w:rPr>
        <w:t>2.下列对原文论证的相关分析， 不正确的一项是</w:t>
      </w:r>
    </w:p>
    <w:p>
      <w:pPr>
        <w:spacing w:line="360" w:lineRule="auto"/>
        <w:rPr>
          <w:rFonts w:hint="eastAsia"/>
        </w:rPr>
      </w:pPr>
      <w:r>
        <w:rPr>
          <w:rFonts w:hint="eastAsia"/>
          <w:lang w:val="en-US" w:eastAsia="zh-CN"/>
        </w:rPr>
        <w:t>A.首段从西方戏剧和中国传统戏剧的不同入手， 以引出明清传奇是与传统的卷轴手卷最相似的剧本的</w:t>
      </w:r>
    </w:p>
    <w:p>
      <w:pPr>
        <w:spacing w:line="360" w:lineRule="auto"/>
        <w:rPr>
          <w:rFonts w:hint="eastAsia"/>
        </w:rPr>
      </w:pPr>
      <w:r>
        <w:rPr>
          <w:rFonts w:hint="eastAsia"/>
          <w:lang w:val="en-US" w:eastAsia="zh-CN"/>
        </w:rPr>
        <w:t>观点。</w:t>
      </w:r>
    </w:p>
    <w:p>
      <w:pPr>
        <w:spacing w:line="360" w:lineRule="auto"/>
        <w:rPr>
          <w:rFonts w:hint="eastAsia"/>
        </w:rPr>
      </w:pPr>
      <w:r>
        <w:rPr>
          <w:rFonts w:hint="eastAsia"/>
          <w:lang w:val="en-US" w:eastAsia="zh-CN"/>
        </w:rPr>
        <w:t>B.二、 三段具体地论述了明清传奇剧本的结构特点， 先从长度层面阐述， 再从叙事逻辑的层面深入探</w:t>
      </w:r>
    </w:p>
    <w:p>
      <w:pPr>
        <w:spacing w:line="360" w:lineRule="auto"/>
        <w:rPr>
          <w:rFonts w:hint="eastAsia"/>
        </w:rPr>
      </w:pPr>
      <w:r>
        <w:rPr>
          <w:rFonts w:hint="eastAsia"/>
          <w:lang w:val="en-US" w:eastAsia="zh-CN"/>
        </w:rPr>
        <w:t>究。</w:t>
      </w:r>
    </w:p>
    <w:p>
      <w:pPr>
        <w:spacing w:line="360" w:lineRule="auto"/>
        <w:rPr>
          <w:rFonts w:hint="default"/>
        </w:rPr>
      </w:pPr>
      <w:r>
        <w:rPr>
          <w:rFonts w:hint="default"/>
          <w:lang w:val="en-US" w:eastAsia="zh-CN"/>
        </w:rPr>
        <w:t>C、第五段将明清传香的一些配角上演的剧目 ， 称之以</w:t>
      </w:r>
      <w:r>
        <w:rPr>
          <w:rFonts w:hint="default"/>
          <w:lang w:val="en-US" w:eastAsia="zh-CN"/>
        </w:rPr>
        <w:t>“</w:t>
      </w:r>
      <w:r>
        <w:rPr>
          <w:rFonts w:hint="default"/>
          <w:lang w:val="en-US" w:eastAsia="zh-CN"/>
        </w:rPr>
        <w:t>附白</w:t>
      </w:r>
      <w:r>
        <w:rPr>
          <w:rFonts w:hint="default"/>
          <w:lang w:val="en-US" w:eastAsia="zh-CN"/>
        </w:rPr>
        <w:t>”“</w:t>
      </w:r>
      <w:r>
        <w:rPr>
          <w:rFonts w:hint="default"/>
          <w:lang w:val="en-US" w:eastAsia="zh-CN"/>
        </w:rPr>
        <w:t>闲笔</w:t>
      </w:r>
      <w:r>
        <w:rPr>
          <w:rFonts w:hint="default"/>
          <w:lang w:val="en-US" w:eastAsia="zh-CN"/>
        </w:rPr>
        <w:t>”</w:t>
      </w:r>
      <w:r>
        <w:rPr>
          <w:rFonts w:hint="default"/>
          <w:lang w:val="en-US" w:eastAsia="zh-CN"/>
        </w:rPr>
        <w:t>、 形象地写出其对</w:t>
      </w:r>
    </w:p>
    <w:p>
      <w:pPr>
        <w:spacing w:line="360" w:lineRule="auto"/>
        <w:rPr>
          <w:rFonts w:hint="default"/>
        </w:rPr>
      </w:pPr>
      <w:r>
        <w:rPr>
          <w:rFonts w:hint="default"/>
          <w:lang w:val="en-US" w:eastAsia="zh-CN"/>
        </w:rPr>
        <w:t>整部戏的价值、</w:t>
      </w:r>
    </w:p>
    <w:p>
      <w:pPr>
        <w:spacing w:line="360" w:lineRule="auto"/>
        <w:rPr>
          <w:rFonts w:hint="default"/>
        </w:rPr>
      </w:pPr>
      <w:r>
        <w:rPr>
          <w:rFonts w:hint="default"/>
          <w:lang w:val="en-US" w:eastAsia="zh-CN"/>
        </w:rPr>
        <w:t>D.文章最后一段由结果追溯原因， 从促进戏剧侧作据升的层面突出了明清传奇的手卷</w:t>
      </w:r>
    </w:p>
    <w:p>
      <w:pPr>
        <w:spacing w:line="360" w:lineRule="auto"/>
        <w:rPr>
          <w:rFonts w:hint="default"/>
        </w:rPr>
      </w:pPr>
      <w:r>
        <w:rPr>
          <w:rFonts w:hint="default"/>
          <w:lang w:val="en-US" w:eastAsia="zh-CN"/>
        </w:rPr>
        <w:t>式结构的积极意义。</w:t>
      </w:r>
    </w:p>
    <w:p>
      <w:pPr>
        <w:spacing w:line="360" w:lineRule="auto"/>
        <w:rPr>
          <w:rFonts w:hint="default"/>
        </w:rPr>
      </w:pPr>
      <w:r>
        <w:rPr>
          <w:rFonts w:hint="default"/>
          <w:lang w:val="en-US" w:eastAsia="zh-CN"/>
        </w:rPr>
        <w:t>3</w:t>
      </w:r>
      <w:r>
        <w:rPr>
          <w:rFonts w:hint="eastAsia"/>
          <w:lang w:val="en-US" w:eastAsia="zh-CN"/>
        </w:rPr>
        <w:t>.</w:t>
      </w:r>
      <w:r>
        <w:rPr>
          <w:rFonts w:hint="default"/>
          <w:lang w:val="en-US" w:eastAsia="zh-CN"/>
        </w:rPr>
        <w:t xml:space="preserve"> 根据原文内容，下列说法不正确的一项是</w:t>
      </w:r>
    </w:p>
    <w:p>
      <w:pPr>
        <w:spacing w:line="360" w:lineRule="auto"/>
        <w:rPr>
          <w:rFonts w:hint="default"/>
        </w:rPr>
      </w:pPr>
      <w:r>
        <w:rPr>
          <w:rFonts w:hint="default"/>
          <w:lang w:val="en-US" w:eastAsia="zh-CN"/>
        </w:rPr>
        <w:t>A.中国传统的戏曲文本并不追求</w:t>
      </w:r>
      <w:r>
        <w:rPr>
          <w:rFonts w:hint="default"/>
          <w:lang w:val="en-US" w:eastAsia="zh-CN"/>
        </w:rPr>
        <w:t>“</w:t>
      </w:r>
      <w:r>
        <w:rPr>
          <w:rFonts w:hint="default"/>
          <w:lang w:val="en-US" w:eastAsia="zh-CN"/>
        </w:rPr>
        <w:t>情节的惟一性</w:t>
      </w:r>
      <w:r>
        <w:rPr>
          <w:rFonts w:hint="default"/>
          <w:lang w:val="en-US" w:eastAsia="zh-CN"/>
        </w:rPr>
        <w:t>”</w:t>
      </w:r>
      <w:r>
        <w:rPr>
          <w:rFonts w:hint="default"/>
          <w:lang w:val="en-US" w:eastAsia="zh-CN"/>
        </w:rPr>
        <w:t>，屈阳酷明四方的这种戏剧结构的理论，并不具有真正意义上的管世性，</w:t>
      </w:r>
    </w:p>
    <w:p>
      <w:pPr>
        <w:spacing w:line="360" w:lineRule="auto"/>
        <w:rPr>
          <w:rFonts w:hint="default"/>
        </w:rPr>
      </w:pPr>
      <w:r>
        <w:rPr>
          <w:rFonts w:hint="default"/>
          <w:lang w:val="en-US" w:eastAsia="zh-CN"/>
        </w:rPr>
        <w:t>B.作者在情节的主线中穿插一些实垂角色的刷子，从全雕看前后应是有照应的， 也应该埋下有迹可寻的伏笔，不能全无关系。</w:t>
      </w:r>
    </w:p>
    <w:p>
      <w:pPr>
        <w:spacing w:line="360" w:lineRule="auto"/>
        <w:rPr>
          <w:rFonts w:hint="default"/>
        </w:rPr>
      </w:pPr>
      <w:r>
        <w:rPr>
          <w:rFonts w:hint="default"/>
          <w:lang w:val="en-US" w:eastAsia="zh-CN"/>
        </w:rPr>
        <w:t>C.手脊的画面不像架上绘画那样追求画面构图的整一性； 假如其中没有起伏，没有变化，观者的欣赏过程将会显得极其乏味。</w:t>
      </w:r>
    </w:p>
    <w:p>
      <w:pPr>
        <w:spacing w:line="360" w:lineRule="auto"/>
        <w:rPr>
          <w:rFonts w:hint="default"/>
        </w:rPr>
        <w:sectPr>
          <w:headerReference w:type="default" r:id="rId11"/>
          <w:footerReference w:type="default" r:id="rId12"/>
          <w:type w:val="nextPage"/>
          <w:pgSz w:w="11906" w:h="16838"/>
          <w:pgMar w:top="1440" w:right="1080" w:bottom="1440" w:left="1080" w:header="851" w:footer="992" w:gutter="0"/>
          <w:pgNumType w:start="4"/>
          <w:cols w:space="708"/>
          <w:titlePg w:val="0"/>
          <w:docGrid w:type="lines" w:linePitch="312"/>
        </w:sectPr>
      </w:pPr>
      <w:r>
        <w:rPr>
          <w:rFonts w:hint="default"/>
          <w:lang w:val="en-US" w:eastAsia="zh-CN"/>
        </w:rPr>
        <w:t>D.四幕现代话剧《雷雨》，以资本家和下层人民的矛盾为主线，融人了多个人物的矛盾冲突，这是传承了明清传奇的手卷式结构。</w:t>
      </w:r>
    </w:p>
    <w:p>
      <w:pPr>
        <w:spacing w:line="360" w:lineRule="auto"/>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四川省雅安市2024届高三第一次诊断性考试语文试题</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（一）论述类文本阅读（本题共3小题，9分）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阅读下面的文字，完成1~3题。</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20世纪以来，文学研究界活跃着来自哲学、心理学、历史学、社会学、人类学、语言学等领域的各种理论。人们所拥有的文学理论从未像现在这般丰富，但在解说诸多看似熟悉的概念和对象时，却从未有现在这么多犹疑和分歧。伊格尔顿的名作《二十世纪西方文学理论》以</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文学是什么</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作为导言，却始终没有为文学下定义；卡勒的《文学理论入门》专章讨论</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文学是什么</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，却以</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文学的矛盾</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草草收结。如何认识文学的根本性质及存在方式，已成为值得深思的问题。</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伊格尔顿无情地拆解了不少关于文学的定义，但也正是那些审慎的梳理与辨析，为消除分歧、寻求共识提供了可能，使某种具有启发性的</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文学观</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得以凸显：</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它是人们出于某种理由而赋予其高度价值的任何一种作品。</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与伊格尔顿小心翼翼地维护</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价值</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相似，卡勒在描述文学的功能时将</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意义</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设为落脚点，主张文学</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是一种召唤阅读、把读者引入关于意义的问题中去的写作</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w:t>
      </w:r>
    </w:p>
    <w:p>
      <w:pPr>
        <w:tabs>
          <w:tab w:val="left" w:pos="7655"/>
        </w:tabs>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文学始终与特定的</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价值</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和</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意义</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密切相关。尤其在经历过20世纪末21世纪初</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文学终结论</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的冲击以后，我们见证了文学至今仍在存续发展，更有理由确信：文学就是价值和意义的载体。那么，这价值和意义从何而来，又如何表现？注目于作品，曾有论者主张</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结构</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与</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张力</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是价值和意义的不竭源泉；聚焦于读者，有论者认为是</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审美知觉</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和</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期待视野</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等塑造了价值和意义；环顾社会背景和文化心理，有论者强调</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生产机制</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及</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原型经验</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等生产了价值和意义。这些说法各有一定合理性。但笔者更想说的是：文学的价值和意义不能只是从理论上得到支持或辩护，更有待作家付诸行动。作品总是先由作家创作出来，然后被读者阅读，最后才可能引发关于价值和意义的探讨。从这个角度来说，一个时代的文学有无重要的价值和意义，取决于这个时代的作家有无创造价值和意义的自觉追求。</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我们不妨将作家有意识地赋予作品以价值和意义的行为称为</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叙事自觉</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。作家的叙事自觉越是强烈，作品的价值和意义也就越是明晰。刘勰在《文心雕龙</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神思》中的描绘，至今读来仍富于诗意和美感：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故寂然疑虑，思接千载；悄焉动容，视通万里；吟咏之间，吐纳珠玉之声；眉睫之前，卷舒风云之色。</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这大概是作家得心应手的理想境界。但他还敏锐地注意到，作家意图与创作效果之间可能会有差距：</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暨乎篇成，半折心始。</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作家在创作过程中或许</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图谋</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甚广，但由于种种原因，最终效果往往不能如愿。我们看重作家的叙事自觉，并不是要求一蹴而就，而是期待他们在实践中逐步臻于纯熟，最终达到得心应手的境界。</w:t>
      </w:r>
    </w:p>
    <w:p>
      <w:pPr>
        <w:spacing w:line="360" w:lineRule="auto"/>
        <w:ind w:firstLine="420" w:firstLineChars="200"/>
        <w:jc w:val="left"/>
        <w:rPr>
          <w:rFonts w:ascii="新宋体" w:eastAsia="新宋体" w:hAnsi="新宋体" w:cs="新宋体" w:hint="eastAsia"/>
          <w:b w:val="0"/>
          <w:bCs w:val="0"/>
          <w:szCs w:val="21"/>
        </w:rPr>
        <w:sectPr>
          <w:headerReference w:type="default" r:id="rId13"/>
          <w:footerReference w:type="default" r:id="rId14"/>
          <w:type w:val="nextPage"/>
          <w:pgSz w:w="11906" w:h="16838"/>
          <w:pgMar w:top="1440" w:right="1080" w:bottom="1440" w:left="1080" w:header="851" w:footer="992" w:gutter="0"/>
          <w:pgNumType w:start="5"/>
          <w:cols w:space="708"/>
          <w:titlePg w:val="0"/>
          <w:docGrid w:type="lines" w:linePitch="312"/>
        </w:sectPr>
      </w:pPr>
      <w:r>
        <w:rPr>
          <w:rFonts w:ascii="新宋体" w:eastAsia="新宋体" w:hAnsi="新宋体" w:cs="新宋体" w:hint="eastAsia"/>
          <w:b w:val="0"/>
          <w:bCs w:val="0"/>
          <w:sz w:val="21"/>
          <w:szCs w:val="21"/>
        </w:rPr>
        <w:t>在成熟的作家身上，我们总能发现他们都拥有可贵的叙事自觉。叙事自觉涵盖面甚广，其中最突出的是两点：他们不仅对自己所处的时代情势有充分认识，还对自己所运用的文学形式有独到体会。前者若简称为</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当下感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，后者则可称为</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形式感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当下感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彰显了文学的时代性和现实关怀，</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形式感</w:t>
      </w:r>
      <w:r>
        <w:rPr>
          <w:rFonts w:ascii="新宋体" w:eastAsia="新宋体" w:hAnsi="新宋体" w:cs="新宋体" w:hint="eastAsia"/>
          <w:b w:val="0"/>
          <w:bCs w:val="0"/>
          <w:sz w:val="21"/>
          <w:szCs w:val="21"/>
        </w:rPr>
        <w:t>”</w:t>
      </w:r>
    </w:p>
    <w:p>
      <w:pPr>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则显示着文学的审美特性。</w:t>
      </w:r>
    </w:p>
    <w:p>
      <w:pPr>
        <w:spacing w:line="360" w:lineRule="auto"/>
        <w:jc w:val="righ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（摘编自徐阿兵《当下文学呼唤叙事自觉》）</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1.下列关于原文内容的理解和分析，正确的一项是（    ）（3分）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A.当下人们对文学现象的认识分歧甚大，原因在于哲学、心理学等过度介入文学研究。</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B.21世纪以来文学蓬勃发展，人们对</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文学就是价值和意义的载体</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达成了普遍共识。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C.文学的价值和意义不需要理论上的探讨，而取决于作家创造价值和意义的自觉追求。</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D.作家即便对作品质量有着强烈的追求，也未必就能创作出优秀作品，对此不应苛责。</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2.下列对原文论证的相关分析，不正确的一项是（    ）（3分）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A.第一段列举了伊格尔顿和卡勒的事例，表明</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文学是什么</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这一问题难以得出定论。</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B.作者认为，关于作品价值和意义来源的三种说法虽然着眼点不同，但各有其合理性。</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C.文章两次征引刘勰的论述，其意图均是证明作家意图与创作效果之间可能存在差距。</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D.文章解说了</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叙事自觉</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的基本内涵，并强调文学创作要重视</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当下感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和</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形式感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3.根据原文内容，下列说法不正确的一项是（    ）（3分）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A.文学是价值和意义的载体，作家应该努力让自己的作品表现出价值和意义，在创作实践中逐渐走向成熟。</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B.卡勒倡导文学</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是一种召唤阅读，把读者引入关于意义的问题中去</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，可见他属于</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聚焦于读者</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的学者。</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C.白居易主张</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文章合为时而著，歌诗合为事而作</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，这与文中</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文学的时代性和现实关怀</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有相通之处。</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D.一个时代的文学事业要实现发展繁荣，离不开一个既具备</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当下感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，又具有</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形式感</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的作家群体。</w:t>
      </w:r>
    </w:p>
    <w:p>
      <w:pPr>
        <w:spacing w:line="360" w:lineRule="auto"/>
        <w:rPr>
          <w:rFonts w:ascii="宋体" w:eastAsia="宋体" w:hAnsi="宋体" w:cs="宋体" w:hint="eastAsia"/>
          <w:b/>
          <w:bCs/>
          <w:color w:val="00B050"/>
          <w:szCs w:val="21"/>
        </w:rPr>
      </w:pPr>
    </w:p>
    <w:p>
      <w:pPr>
        <w:spacing w:line="360" w:lineRule="auto"/>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四川省自贡市2024届高三一模语文试题</w:t>
      </w:r>
    </w:p>
    <w:p>
      <w:pPr>
        <w:pStyle w:val="NormalWeb"/>
        <w:keepNext w:val="0"/>
        <w:keepLines w:val="0"/>
        <w:widowControl/>
        <w:suppressLineNumbers w:val="0"/>
        <w:spacing w:before="0" w:beforeAutospacing="0" w:after="0" w:afterAutospacing="0" w:line="360" w:lineRule="auto"/>
        <w:ind w:left="0" w:right="0" w:firstLine="210" w:firstLineChars="100"/>
        <w:rPr>
          <w:sz w:val="21"/>
          <w:szCs w:val="21"/>
        </w:rPr>
      </w:pPr>
      <w:r>
        <w:rPr>
          <w:sz w:val="21"/>
          <w:szCs w:val="21"/>
        </w:rPr>
        <w:t>(一)论述类文本阅读(本题共3小题，9分)</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阅读下面的文字，完成</w:t>
      </w:r>
      <w:r>
        <w:rPr>
          <w:rFonts w:ascii="新宋体" w:eastAsia="新宋体" w:hAnsi="新宋体" w:cs="新宋体" w:hint="eastAsia"/>
          <w:sz w:val="21"/>
          <w:szCs w:val="21"/>
          <w:lang w:val="en-US" w:eastAsia="zh-CN"/>
        </w:rPr>
        <w:t>1-3</w:t>
      </w:r>
      <w:r>
        <w:rPr>
          <w:rFonts w:ascii="新宋体" w:eastAsia="新宋体" w:hAnsi="新宋体" w:cs="新宋体" w:hint="eastAsia"/>
          <w:sz w:val="21"/>
          <w:szCs w:val="21"/>
        </w:rPr>
        <w:t>题。</w:t>
      </w:r>
      <w:r>
        <w:rPr>
          <w:rFonts w:ascii="新宋体" w:eastAsia="新宋体" w:hAnsi="新宋体" w:cs="新宋体" w:hint="eastAsia"/>
          <w:sz w:val="21"/>
          <w:szCs w:val="21"/>
          <w:lang w:eastAsia="zh-CN"/>
        </w:rPr>
        <w:t>（</w:t>
      </w:r>
      <w:r>
        <w:rPr>
          <w:rFonts w:ascii="新宋体" w:eastAsia="新宋体" w:hAnsi="新宋体" w:cs="新宋体" w:hint="eastAsia"/>
          <w:sz w:val="21"/>
          <w:szCs w:val="21"/>
          <w:lang w:val="en-US" w:eastAsia="zh-CN"/>
        </w:rPr>
        <w:t>9分</w:t>
      </w:r>
      <w:r>
        <w:rPr>
          <w:rFonts w:ascii="新宋体" w:eastAsia="新宋体" w:hAnsi="新宋体" w:cs="新宋体" w:hint="eastAsia"/>
          <w:sz w:val="21"/>
          <w:szCs w:val="21"/>
          <w:lang w:eastAsia="zh-CN"/>
        </w:rPr>
        <w:t>）</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始创于1904年的</w:t>
      </w:r>
      <w:r>
        <w:rPr>
          <w:rFonts w:ascii="新宋体" w:eastAsia="新宋体" w:hAnsi="新宋体" w:cs="新宋体" w:hint="eastAsia"/>
          <w:sz w:val="21"/>
          <w:szCs w:val="21"/>
        </w:rPr>
        <w:t>“</w:t>
      </w:r>
      <w:r>
        <w:rPr>
          <w:rFonts w:ascii="新宋体" w:eastAsia="新宋体" w:hAnsi="新宋体" w:cs="新宋体" w:hint="eastAsia"/>
          <w:sz w:val="21"/>
          <w:szCs w:val="21"/>
        </w:rPr>
        <w:t>天下第一名社</w:t>
      </w:r>
      <w:r>
        <w:rPr>
          <w:rFonts w:ascii="新宋体" w:eastAsia="新宋体" w:hAnsi="新宋体" w:cs="新宋体" w:hint="eastAsia"/>
          <w:sz w:val="21"/>
          <w:szCs w:val="21"/>
        </w:rPr>
        <w:t>”</w:t>
      </w:r>
      <w:r>
        <w:rPr>
          <w:rFonts w:ascii="新宋体" w:eastAsia="新宋体" w:hAnsi="新宋体" w:cs="新宋体" w:hint="eastAsia"/>
          <w:sz w:val="21"/>
          <w:szCs w:val="21"/>
        </w:rPr>
        <w:t>西泠印社，其宗旨是</w:t>
      </w:r>
      <w:r>
        <w:rPr>
          <w:rFonts w:ascii="新宋体" w:eastAsia="新宋体" w:hAnsi="新宋体" w:cs="新宋体" w:hint="eastAsia"/>
          <w:sz w:val="21"/>
          <w:szCs w:val="21"/>
        </w:rPr>
        <w:t>“</w:t>
      </w:r>
      <w:r>
        <w:rPr>
          <w:rFonts w:ascii="新宋体" w:eastAsia="新宋体" w:hAnsi="新宋体" w:cs="新宋体" w:hint="eastAsia"/>
          <w:sz w:val="21"/>
          <w:szCs w:val="21"/>
        </w:rPr>
        <w:t>保存金石、研究印学、兼及书画</w:t>
      </w:r>
      <w:r>
        <w:rPr>
          <w:rFonts w:ascii="新宋体" w:eastAsia="新宋体" w:hAnsi="新宋体" w:cs="新宋体" w:hint="eastAsia"/>
          <w:sz w:val="21"/>
          <w:szCs w:val="21"/>
        </w:rPr>
        <w:t>”</w:t>
      </w:r>
      <w:r>
        <w:rPr>
          <w:rFonts w:ascii="新宋体" w:eastAsia="新宋体" w:hAnsi="新宋体" w:cs="新宋体" w:hint="eastAsia"/>
          <w:sz w:val="21"/>
          <w:szCs w:val="21"/>
        </w:rPr>
        <w:t>。1963年开创于中国美术学院的全国首个高等教育书法专业，将</w:t>
      </w:r>
      <w:r>
        <w:rPr>
          <w:rFonts w:ascii="新宋体" w:eastAsia="新宋体" w:hAnsi="新宋体" w:cs="新宋体" w:hint="eastAsia"/>
          <w:sz w:val="21"/>
          <w:szCs w:val="21"/>
        </w:rPr>
        <w:t>“</w:t>
      </w:r>
      <w:r>
        <w:rPr>
          <w:rFonts w:ascii="新宋体" w:eastAsia="新宋体" w:hAnsi="新宋体" w:cs="新宋体" w:hint="eastAsia"/>
          <w:sz w:val="21"/>
          <w:szCs w:val="21"/>
        </w:rPr>
        <w:t>金石学</w:t>
      </w:r>
      <w:r>
        <w:rPr>
          <w:rFonts w:ascii="新宋体" w:eastAsia="新宋体" w:hAnsi="新宋体" w:cs="新宋体" w:hint="eastAsia"/>
          <w:sz w:val="21"/>
          <w:szCs w:val="21"/>
        </w:rPr>
        <w:t>”</w:t>
      </w:r>
      <w:r>
        <w:rPr>
          <w:rFonts w:ascii="新宋体" w:eastAsia="新宋体" w:hAnsi="新宋体" w:cs="新宋体" w:hint="eastAsia"/>
          <w:sz w:val="21"/>
          <w:szCs w:val="21"/>
        </w:rPr>
        <w:t>作为其本科课程的重要组成部分。可见，金石学具有重要的历史意义和学科意义。</w:t>
      </w:r>
    </w:p>
    <w:p>
      <w:pPr>
        <w:spacing w:line="360" w:lineRule="auto"/>
        <w:rPr>
          <w:rFonts w:ascii="新宋体" w:eastAsia="新宋体" w:hAnsi="新宋体" w:cs="新宋体" w:hint="eastAsia"/>
          <w:szCs w:val="21"/>
        </w:rPr>
        <w:sectPr>
          <w:headerReference w:type="default" r:id="rId15"/>
          <w:footerReference w:type="default" r:id="rId16"/>
          <w:type w:val="nextPage"/>
          <w:pgSz w:w="11906" w:h="16838"/>
          <w:pgMar w:top="1440" w:right="1080" w:bottom="1440" w:left="1080" w:header="851" w:footer="992" w:gutter="0"/>
          <w:pgNumType w:start="6"/>
          <w:cols w:space="708"/>
          <w:titlePg w:val="0"/>
          <w:docGrid w:type="lines" w:linePitch="312"/>
        </w:sectPr>
      </w:pPr>
      <w:r>
        <w:rPr>
          <w:rFonts w:ascii="新宋体" w:eastAsia="新宋体" w:hAnsi="新宋体" w:cs="新宋体" w:hint="eastAsia"/>
          <w:sz w:val="21"/>
          <w:szCs w:val="21"/>
        </w:rPr>
        <w:t>　　</w:t>
      </w:r>
      <w:r>
        <w:rPr>
          <w:rFonts w:ascii="新宋体" w:eastAsia="新宋体" w:hAnsi="新宋体" w:cs="新宋体" w:hint="eastAsia"/>
          <w:sz w:val="21"/>
          <w:szCs w:val="21"/>
        </w:rPr>
        <w:t>“</w:t>
      </w:r>
      <w:r>
        <w:rPr>
          <w:rFonts w:ascii="新宋体" w:eastAsia="新宋体" w:hAnsi="新宋体" w:cs="新宋体" w:hint="eastAsia"/>
          <w:sz w:val="21"/>
          <w:szCs w:val="21"/>
        </w:rPr>
        <w:t>金石</w:t>
      </w:r>
      <w:r>
        <w:rPr>
          <w:rFonts w:ascii="新宋体" w:eastAsia="新宋体" w:hAnsi="新宋体" w:cs="新宋体" w:hint="eastAsia"/>
          <w:sz w:val="21"/>
          <w:szCs w:val="21"/>
        </w:rPr>
        <w:t>”</w:t>
      </w:r>
      <w:r>
        <w:rPr>
          <w:rFonts w:ascii="新宋体" w:eastAsia="新宋体" w:hAnsi="新宋体" w:cs="新宋体" w:hint="eastAsia"/>
          <w:sz w:val="21"/>
          <w:szCs w:val="21"/>
        </w:rPr>
        <w:t>二字最早还包括乐器类，到秦汉之时，其意义才与我们现在的定义相近。考古学家、金石学家马衡在《中国金石学概论》中言：</w:t>
      </w:r>
      <w:r>
        <w:rPr>
          <w:rFonts w:ascii="新宋体" w:eastAsia="新宋体" w:hAnsi="新宋体" w:cs="新宋体" w:hint="eastAsia"/>
          <w:sz w:val="21"/>
          <w:szCs w:val="21"/>
        </w:rPr>
        <w:t>“</w:t>
      </w:r>
      <w:r>
        <w:rPr>
          <w:rFonts w:ascii="新宋体" w:eastAsia="新宋体" w:hAnsi="新宋体" w:cs="新宋体" w:hint="eastAsia"/>
          <w:sz w:val="21"/>
          <w:szCs w:val="21"/>
        </w:rPr>
        <w:t>金石者，往古人类之遗文，或一切有意识之作品，赖金石或其他物质以直接流传至于今日者，皆是也。</w:t>
      </w:r>
      <w:r>
        <w:rPr>
          <w:rFonts w:ascii="新宋体" w:eastAsia="新宋体" w:hAnsi="新宋体" w:cs="新宋体" w:hint="eastAsia"/>
          <w:sz w:val="21"/>
          <w:szCs w:val="21"/>
        </w:rPr>
        <w:t>”</w:t>
      </w:r>
      <w:r>
        <w:rPr>
          <w:rFonts w:ascii="新宋体" w:eastAsia="新宋体" w:hAnsi="新宋体" w:cs="新宋体" w:hint="eastAsia"/>
          <w:sz w:val="21"/>
          <w:szCs w:val="21"/>
        </w:rPr>
        <w:t>金石，顾名思义为</w:t>
      </w:r>
      <w:r>
        <w:rPr>
          <w:rFonts w:ascii="新宋体" w:eastAsia="新宋体" w:hAnsi="新宋体" w:cs="新宋体" w:hint="eastAsia"/>
          <w:sz w:val="21"/>
          <w:szCs w:val="21"/>
        </w:rPr>
        <w:t>“</w:t>
      </w:r>
      <w:r>
        <w:rPr>
          <w:rFonts w:ascii="新宋体" w:eastAsia="新宋体" w:hAnsi="新宋体" w:cs="新宋体" w:hint="eastAsia"/>
          <w:sz w:val="21"/>
          <w:szCs w:val="21"/>
        </w:rPr>
        <w:t>金</w:t>
      </w:r>
      <w:r>
        <w:rPr>
          <w:rFonts w:ascii="新宋体" w:eastAsia="新宋体" w:hAnsi="新宋体" w:cs="新宋体" w:hint="eastAsia"/>
          <w:sz w:val="21"/>
          <w:szCs w:val="21"/>
        </w:rPr>
        <w:t>”</w:t>
      </w:r>
      <w:r>
        <w:rPr>
          <w:rFonts w:ascii="新宋体" w:eastAsia="新宋体" w:hAnsi="新宋体" w:cs="新宋体" w:hint="eastAsia"/>
          <w:sz w:val="21"/>
          <w:szCs w:val="21"/>
        </w:rPr>
        <w:t>和</w:t>
      </w:r>
      <w:r>
        <w:rPr>
          <w:rFonts w:ascii="新宋体" w:eastAsia="新宋体" w:hAnsi="新宋体" w:cs="新宋体" w:hint="eastAsia"/>
          <w:sz w:val="21"/>
          <w:szCs w:val="21"/>
        </w:rPr>
        <w:t>“</w:t>
      </w:r>
      <w:r>
        <w:rPr>
          <w:rFonts w:ascii="新宋体" w:eastAsia="新宋体" w:hAnsi="新宋体" w:cs="新宋体" w:hint="eastAsia"/>
          <w:sz w:val="21"/>
          <w:szCs w:val="21"/>
        </w:rPr>
        <w:t>石</w:t>
      </w:r>
      <w:r>
        <w:rPr>
          <w:rFonts w:ascii="新宋体" w:eastAsia="新宋体" w:hAnsi="新宋体" w:cs="新宋体" w:hint="eastAsia"/>
          <w:sz w:val="21"/>
          <w:szCs w:val="21"/>
        </w:rPr>
        <w:t>””</w:t>
      </w:r>
      <w:r>
        <w:rPr>
          <w:rFonts w:ascii="新宋体" w:eastAsia="新宋体" w:hAnsi="新宋体" w:cs="新宋体" w:hint="eastAsia"/>
          <w:sz w:val="21"/>
          <w:szCs w:val="21"/>
        </w:rPr>
        <w:t>，如青铜器、钱币、玺印等皆归</w:t>
      </w:r>
      <w:r>
        <w:rPr>
          <w:rFonts w:ascii="新宋体" w:eastAsia="新宋体" w:hAnsi="新宋体" w:cs="新宋体" w:hint="eastAsia"/>
          <w:sz w:val="21"/>
          <w:szCs w:val="21"/>
        </w:rPr>
        <w:t>“</w:t>
      </w:r>
      <w:r>
        <w:rPr>
          <w:rFonts w:ascii="新宋体" w:eastAsia="新宋体" w:hAnsi="新宋体" w:cs="新宋体" w:hint="eastAsia"/>
          <w:sz w:val="21"/>
          <w:szCs w:val="21"/>
        </w:rPr>
        <w:t>金</w:t>
      </w:r>
      <w:r>
        <w:rPr>
          <w:rFonts w:ascii="新宋体" w:eastAsia="新宋体" w:hAnsi="新宋体" w:cs="新宋体" w:hint="eastAsia"/>
          <w:sz w:val="21"/>
          <w:szCs w:val="21"/>
        </w:rPr>
        <w:t>”</w:t>
      </w:r>
      <w:r>
        <w:rPr>
          <w:rFonts w:ascii="新宋体" w:eastAsia="新宋体" w:hAnsi="新宋体" w:cs="新宋体" w:hint="eastAsia"/>
          <w:sz w:val="21"/>
          <w:szCs w:val="21"/>
        </w:rPr>
        <w:t>之属，摩崖、墓志、碑刻、造像等皆归</w:t>
      </w:r>
      <w:r>
        <w:rPr>
          <w:rFonts w:ascii="新宋体" w:eastAsia="新宋体" w:hAnsi="新宋体" w:cs="新宋体" w:hint="eastAsia"/>
          <w:sz w:val="21"/>
          <w:szCs w:val="21"/>
        </w:rPr>
        <w:t>“</w:t>
      </w:r>
      <w:r>
        <w:rPr>
          <w:rFonts w:ascii="新宋体" w:eastAsia="新宋体" w:hAnsi="新宋体" w:cs="新宋体" w:hint="eastAsia"/>
          <w:sz w:val="21"/>
          <w:szCs w:val="21"/>
        </w:rPr>
        <w:t>石</w:t>
      </w:r>
      <w:r>
        <w:rPr>
          <w:rFonts w:ascii="新宋体" w:eastAsia="新宋体" w:hAnsi="新宋体" w:cs="新宋体" w:hint="eastAsia"/>
          <w:sz w:val="21"/>
          <w:szCs w:val="21"/>
        </w:rPr>
        <w:t>”</w:t>
      </w:r>
      <w:r>
        <w:rPr>
          <w:rFonts w:ascii="新宋体" w:eastAsia="新宋体" w:hAnsi="新宋体" w:cs="新宋体" w:hint="eastAsia"/>
          <w:sz w:val="21"/>
          <w:szCs w:val="21"/>
        </w:rPr>
        <w:t>之属。而时至今日，随着地下出土文物渐多，简牍、陶器、封泥等也可归属于金石范围。</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对于金石的研究和考订之学就是金石学，金石学在宋代正式成为一门独立的学问，也出现了诸多研究金石学的专著，如欧阳修的《集古录》、刘敞的《先秦图》、赵明诚的《金石录》等。到了清代，考据之风盛行，又受</w:t>
      </w:r>
      <w:r>
        <w:rPr>
          <w:rFonts w:ascii="新宋体" w:eastAsia="新宋体" w:hAnsi="新宋体" w:cs="新宋体" w:hint="eastAsia"/>
          <w:sz w:val="21"/>
          <w:szCs w:val="21"/>
        </w:rPr>
        <w:t>“</w:t>
      </w:r>
      <w:r>
        <w:rPr>
          <w:rFonts w:ascii="新宋体" w:eastAsia="新宋体" w:hAnsi="新宋体" w:cs="新宋体" w:hint="eastAsia"/>
          <w:sz w:val="21"/>
          <w:szCs w:val="21"/>
        </w:rPr>
        <w:t>乾嘉学派</w:t>
      </w:r>
      <w:r>
        <w:rPr>
          <w:rFonts w:ascii="新宋体" w:eastAsia="新宋体" w:hAnsi="新宋体" w:cs="新宋体" w:hint="eastAsia"/>
          <w:sz w:val="21"/>
          <w:szCs w:val="21"/>
        </w:rPr>
        <w:t>”</w:t>
      </w:r>
      <w:r>
        <w:rPr>
          <w:rFonts w:ascii="新宋体" w:eastAsia="新宋体" w:hAnsi="新宋体" w:cs="新宋体" w:hint="eastAsia"/>
          <w:sz w:val="21"/>
          <w:szCs w:val="21"/>
        </w:rPr>
        <w:t>影响，金石学大兴，出现了黄易、钱大昕、翁方纲、孙星衍等诸多金石学家。此后，金石学的复兴，也直接催生了现代考古学在我国的形成。</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金石学家朱剑心说：</w:t>
      </w:r>
      <w:r>
        <w:rPr>
          <w:rFonts w:ascii="新宋体" w:eastAsia="新宋体" w:hAnsi="新宋体" w:cs="新宋体" w:hint="eastAsia"/>
          <w:sz w:val="21"/>
          <w:szCs w:val="21"/>
        </w:rPr>
        <w:t>“</w:t>
      </w:r>
      <w:r>
        <w:rPr>
          <w:rFonts w:ascii="新宋体" w:eastAsia="新宋体" w:hAnsi="新宋体" w:cs="新宋体" w:hint="eastAsia"/>
          <w:sz w:val="21"/>
          <w:szCs w:val="21"/>
        </w:rPr>
        <w:t>惟在欣赏之前，不能不先有研究之功夫。否则，真赝不别，时代不知，制度不晓，文字不识，又奚能免于弃周鼎而宝康瓠，退和璧而袭燕石，管窥蠡测，贻讥通人哉？</w:t>
      </w:r>
      <w:r>
        <w:rPr>
          <w:rFonts w:ascii="新宋体" w:eastAsia="新宋体" w:hAnsi="新宋体" w:cs="新宋体" w:hint="eastAsia"/>
          <w:sz w:val="21"/>
          <w:szCs w:val="21"/>
        </w:rPr>
        <w:t>”</w:t>
      </w:r>
      <w:r>
        <w:rPr>
          <w:rFonts w:ascii="新宋体" w:eastAsia="新宋体" w:hAnsi="新宋体" w:cs="新宋体" w:hint="eastAsia"/>
          <w:sz w:val="21"/>
          <w:szCs w:val="21"/>
        </w:rPr>
        <w:t>他认为，研究金石学应具备历史学、舆地学、文字学、文艺鉴赏学等方面的修养。如金石文献多有考经证史之功能，金石实物与史载文献可相互印证，因此需要有一定的史学功底，方能对其进行考证。金石与地理的关系也很密切，其出土地或所载地理信息亦是对史学的有益补充。金石上所载内容往往又需要文字学相关知识来解读，汉以前文字多为篆籀文字，没有一定的文字学功底很难辨识。此外，古代的青铜器、造像、石刻等都有很高的工艺水平，上面所铭刻的文字也有很高的书法欣赏价值，故而还要有一定的文艺鉴赏能力，才能发现金石之美。</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前人总结的金石研究方法有搜集访求、考订、鉴定、著录等。搜集访求金石资料为研究之第一步。金石资料涵盖实物、拓本和著录等，搜集者还需掌握拓片、画图、摄影等技术。得到资料后，无论实物还是著录，都应对其进行甄别和鉴定，然后进行分类、录文以及著录工作。除客观研究金石器物，体悟金石之美亦不容错过，一可赏其实物本身，如青铜器之器型、造像之精美、石刻之古朴；二可赏其文字刻辞，如书法之美、风格之奇等。</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其实，金石文化经常出现在我们周围，博物馆里的很多相关文物，风景区所见之摩崖石刻，都是金石文化的体现。这些是我们与古人对话的机会，如能驻足观赏，细细品读上面的刻辞、书法、内容，或可发现以前所忽视的精彩。</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如今，越来越多年轻人喜欢</w:t>
      </w:r>
      <w:r>
        <w:rPr>
          <w:rFonts w:ascii="新宋体" w:eastAsia="新宋体" w:hAnsi="新宋体" w:cs="新宋体" w:hint="eastAsia"/>
          <w:sz w:val="21"/>
          <w:szCs w:val="21"/>
        </w:rPr>
        <w:t>“</w:t>
      </w:r>
      <w:r>
        <w:rPr>
          <w:rFonts w:ascii="新宋体" w:eastAsia="新宋体" w:hAnsi="新宋体" w:cs="新宋体" w:hint="eastAsia"/>
          <w:sz w:val="21"/>
          <w:szCs w:val="21"/>
        </w:rPr>
        <w:t>国潮</w:t>
      </w:r>
      <w:r>
        <w:rPr>
          <w:rFonts w:ascii="新宋体" w:eastAsia="新宋体" w:hAnsi="新宋体" w:cs="新宋体" w:hint="eastAsia"/>
          <w:sz w:val="21"/>
          <w:szCs w:val="21"/>
        </w:rPr>
        <w:t>”“</w:t>
      </w:r>
      <w:r>
        <w:rPr>
          <w:rFonts w:ascii="新宋体" w:eastAsia="新宋体" w:hAnsi="新宋体" w:cs="新宋体" w:hint="eastAsia"/>
          <w:sz w:val="21"/>
          <w:szCs w:val="21"/>
        </w:rPr>
        <w:t>国风</w:t>
      </w:r>
      <w:r>
        <w:rPr>
          <w:rFonts w:ascii="新宋体" w:eastAsia="新宋体" w:hAnsi="新宋体" w:cs="新宋体" w:hint="eastAsia"/>
          <w:sz w:val="21"/>
          <w:szCs w:val="21"/>
        </w:rPr>
        <w:t>”</w:t>
      </w:r>
      <w:r>
        <w:rPr>
          <w:rFonts w:ascii="新宋体" w:eastAsia="新宋体" w:hAnsi="新宋体" w:cs="新宋体" w:hint="eastAsia"/>
          <w:sz w:val="21"/>
          <w:szCs w:val="21"/>
        </w:rPr>
        <w:t>，他们乐于欣赏和研究书法、金石篆刻艺术，有人到博物馆和名山大川重走古人访碑之路，有人运用新媒体等向大众推广金石文化，有人探索恢复传承传拓、全形拓技艺。诸多文博机构也通过研发新的文创产品等途径，推动金石文化的广泛传播。更有一批专业人才，以现代科技为金石的保护和研究赋能，实现文物活化和研究创新。</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（摘编自金恩楠《金石学漫谈》）</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1．下列关于原文内容的理解和分析，不正确的一项是（   ）</w:t>
      </w:r>
      <w:r>
        <w:rPr>
          <w:rFonts w:ascii="新宋体" w:eastAsia="新宋体" w:hAnsi="新宋体" w:cs="新宋体" w:hint="eastAsia"/>
          <w:sz w:val="21"/>
          <w:szCs w:val="21"/>
          <w:lang w:eastAsia="zh-CN"/>
        </w:rPr>
        <w:t>（</w:t>
      </w:r>
      <w:r>
        <w:rPr>
          <w:rFonts w:ascii="新宋体" w:eastAsia="新宋体" w:hAnsi="新宋体" w:cs="新宋体" w:hint="eastAsia"/>
          <w:sz w:val="21"/>
          <w:szCs w:val="21"/>
          <w:lang w:val="en-US" w:eastAsia="zh-CN"/>
        </w:rPr>
        <w:t>3分</w:t>
      </w:r>
      <w:r>
        <w:rPr>
          <w:rFonts w:ascii="新宋体" w:eastAsia="新宋体" w:hAnsi="新宋体" w:cs="新宋体" w:hint="eastAsia"/>
          <w:sz w:val="21"/>
          <w:szCs w:val="21"/>
          <w:lang w:eastAsia="zh-CN"/>
        </w:rPr>
        <w:t>）</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A．金石包括</w:t>
      </w:r>
      <w:r>
        <w:rPr>
          <w:rFonts w:ascii="新宋体" w:eastAsia="新宋体" w:hAnsi="新宋体" w:cs="新宋体" w:hint="eastAsia"/>
          <w:sz w:val="21"/>
          <w:szCs w:val="21"/>
        </w:rPr>
        <w:t>“</w:t>
      </w:r>
      <w:r>
        <w:rPr>
          <w:rFonts w:ascii="新宋体" w:eastAsia="新宋体" w:hAnsi="新宋体" w:cs="新宋体" w:hint="eastAsia"/>
          <w:sz w:val="21"/>
          <w:szCs w:val="21"/>
        </w:rPr>
        <w:t>金</w:t>
      </w:r>
      <w:r>
        <w:rPr>
          <w:rFonts w:ascii="新宋体" w:eastAsia="新宋体" w:hAnsi="新宋体" w:cs="新宋体" w:hint="eastAsia"/>
          <w:sz w:val="21"/>
          <w:szCs w:val="21"/>
        </w:rPr>
        <w:t>”</w:t>
      </w:r>
      <w:r>
        <w:rPr>
          <w:rFonts w:ascii="新宋体" w:eastAsia="新宋体" w:hAnsi="新宋体" w:cs="新宋体" w:hint="eastAsia"/>
          <w:sz w:val="21"/>
          <w:szCs w:val="21"/>
        </w:rPr>
        <w:t>和</w:t>
      </w:r>
      <w:r>
        <w:rPr>
          <w:rFonts w:ascii="新宋体" w:eastAsia="新宋体" w:hAnsi="新宋体" w:cs="新宋体" w:hint="eastAsia"/>
          <w:sz w:val="21"/>
          <w:szCs w:val="21"/>
        </w:rPr>
        <w:t>“</w:t>
      </w:r>
      <w:r>
        <w:rPr>
          <w:rFonts w:ascii="新宋体" w:eastAsia="新宋体" w:hAnsi="新宋体" w:cs="新宋体" w:hint="eastAsia"/>
          <w:sz w:val="21"/>
          <w:szCs w:val="21"/>
        </w:rPr>
        <w:t>石</w:t>
      </w:r>
      <w:r>
        <w:rPr>
          <w:rFonts w:ascii="新宋体" w:eastAsia="新宋体" w:hAnsi="新宋体" w:cs="新宋体" w:hint="eastAsia"/>
          <w:sz w:val="21"/>
          <w:szCs w:val="21"/>
        </w:rPr>
        <w:t>”</w:t>
      </w:r>
      <w:r>
        <w:rPr>
          <w:rFonts w:ascii="新宋体" w:eastAsia="新宋体" w:hAnsi="新宋体" w:cs="新宋体" w:hint="eastAsia"/>
          <w:sz w:val="21"/>
          <w:szCs w:val="21"/>
        </w:rPr>
        <w:t>，随着现代考古发展，现在还包括地下出土的简牍、陶器、封泥等文物。</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B．清代，受考据之风盛行和</w:t>
      </w:r>
      <w:r>
        <w:rPr>
          <w:rFonts w:ascii="新宋体" w:eastAsia="新宋体" w:hAnsi="新宋体" w:cs="新宋体" w:hint="eastAsia"/>
          <w:sz w:val="21"/>
          <w:szCs w:val="21"/>
        </w:rPr>
        <w:t>“</w:t>
      </w:r>
      <w:r>
        <w:rPr>
          <w:rFonts w:ascii="新宋体" w:eastAsia="新宋体" w:hAnsi="新宋体" w:cs="新宋体" w:hint="eastAsia"/>
          <w:sz w:val="21"/>
          <w:szCs w:val="21"/>
        </w:rPr>
        <w:t>乾嘉学派</w:t>
      </w:r>
      <w:r>
        <w:rPr>
          <w:rFonts w:ascii="新宋体" w:eastAsia="新宋体" w:hAnsi="新宋体" w:cs="新宋体" w:hint="eastAsia"/>
          <w:sz w:val="21"/>
          <w:szCs w:val="21"/>
        </w:rPr>
        <w:t>”</w:t>
      </w:r>
      <w:r>
        <w:rPr>
          <w:rFonts w:ascii="新宋体" w:eastAsia="新宋体" w:hAnsi="新宋体" w:cs="新宋体" w:hint="eastAsia"/>
          <w:sz w:val="21"/>
          <w:szCs w:val="21"/>
        </w:rPr>
        <w:t>影响，诸多金石学家出现，直接催生了我国现代考古学。</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C．金石研究除通过搜集访求、考订、鉴定、著录等方法客观研究金石器物外，还可体悟金石之美。</w:t>
      </w:r>
    </w:p>
    <w:p>
      <w:pPr>
        <w:spacing w:line="360" w:lineRule="auto"/>
        <w:rPr>
          <w:rFonts w:ascii="新宋体" w:eastAsia="新宋体" w:hAnsi="新宋体" w:cs="新宋体" w:hint="eastAsia"/>
          <w:szCs w:val="21"/>
        </w:rPr>
        <w:sectPr>
          <w:headerReference w:type="default" r:id="rId17"/>
          <w:footerReference w:type="default" r:id="rId18"/>
          <w:type w:val="nextPage"/>
          <w:pgSz w:w="11906" w:h="16838"/>
          <w:pgMar w:top="1440" w:right="1080" w:bottom="1440" w:left="1080" w:header="851" w:footer="992" w:gutter="0"/>
          <w:pgNumType w:start="7"/>
          <w:cols w:space="708"/>
          <w:titlePg w:val="0"/>
          <w:docGrid w:type="lines" w:linePitch="312"/>
        </w:sectPr>
      </w:pPr>
      <w:r>
        <w:rPr>
          <w:rFonts w:ascii="新宋体" w:eastAsia="新宋体" w:hAnsi="新宋体" w:cs="新宋体" w:hint="eastAsia"/>
          <w:sz w:val="21"/>
          <w:szCs w:val="21"/>
        </w:rPr>
        <w:t>　　D．博物馆里的文物、风景区的摩崖石刻都有金石文化的身影，它们提供了人们与古人对话的机会。</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2．下列对原文论证的相关分析，不正确的一项是（   ）</w:t>
      </w:r>
      <w:r>
        <w:rPr>
          <w:rFonts w:ascii="新宋体" w:eastAsia="新宋体" w:hAnsi="新宋体" w:cs="新宋体" w:hint="eastAsia"/>
          <w:sz w:val="21"/>
          <w:szCs w:val="21"/>
          <w:lang w:eastAsia="zh-CN"/>
        </w:rPr>
        <w:t>（</w:t>
      </w:r>
      <w:r>
        <w:rPr>
          <w:rFonts w:ascii="新宋体" w:eastAsia="新宋体" w:hAnsi="新宋体" w:cs="新宋体" w:hint="eastAsia"/>
          <w:sz w:val="21"/>
          <w:szCs w:val="21"/>
          <w:lang w:val="en-US" w:eastAsia="zh-CN"/>
        </w:rPr>
        <w:t>3分</w:t>
      </w:r>
      <w:r>
        <w:rPr>
          <w:rFonts w:ascii="新宋体" w:eastAsia="新宋体" w:hAnsi="新宋体" w:cs="新宋体" w:hint="eastAsia"/>
          <w:sz w:val="21"/>
          <w:szCs w:val="21"/>
          <w:lang w:eastAsia="zh-CN"/>
        </w:rPr>
        <w:t>）</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A．文章开篇通过举事例，揭示金石学的重要历史意义和学科意义，引起了讨论话题。</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B．文章从金石、金石学到金石研究、金石文化，看似自由漫谈，实则论述层次清晰。</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C．文章引用金石学家朱剑心的话来论证金石学研究的素养要求的观点，富有说服力。</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D．最后一段列举三个群体的表现，是为了论证如今金石文化传播和研究的大好形势。</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3．根据原文内容，下列说法不正确的一项是（   ）</w:t>
      </w:r>
      <w:r>
        <w:rPr>
          <w:rFonts w:ascii="新宋体" w:eastAsia="新宋体" w:hAnsi="新宋体" w:cs="新宋体" w:hint="eastAsia"/>
          <w:sz w:val="21"/>
          <w:szCs w:val="21"/>
          <w:lang w:eastAsia="zh-CN"/>
        </w:rPr>
        <w:t>（</w:t>
      </w:r>
      <w:r>
        <w:rPr>
          <w:rFonts w:ascii="新宋体" w:eastAsia="新宋体" w:hAnsi="新宋体" w:cs="新宋体" w:hint="eastAsia"/>
          <w:sz w:val="21"/>
          <w:szCs w:val="21"/>
          <w:lang w:val="en-US" w:eastAsia="zh-CN"/>
        </w:rPr>
        <w:t>3分</w:t>
      </w:r>
      <w:r>
        <w:rPr>
          <w:rFonts w:ascii="新宋体" w:eastAsia="新宋体" w:hAnsi="新宋体" w:cs="新宋体" w:hint="eastAsia"/>
          <w:sz w:val="21"/>
          <w:szCs w:val="21"/>
          <w:lang w:eastAsia="zh-CN"/>
        </w:rPr>
        <w:t>）</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A．金石学到宋代确立了作为一门独立学问的地位，其代表人物有欧阳修、赵明诚等。</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B．要解开三星堆的青铜人面像之谜，离不开历史学、地理学等等多方面的深厚素养。</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C．搜集访求只是金石研究的第一步，要判定金石价值，甄别鉴定是必不可少的一环。</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D．金石刻辞、书法、内容具有多重价值，只要细细品读，就能发现前所未见的精彩。</w:t>
      </w:r>
    </w:p>
    <w:p>
      <w:pPr>
        <w:spacing w:line="360" w:lineRule="auto"/>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四川省泸州市2024届高三第一次教学质量诊断性考试语文试题</w:t>
      </w:r>
    </w:p>
    <w:p>
      <w:pPr>
        <w:pStyle w:val="NormalWeb"/>
        <w:widowControl/>
        <w:spacing w:before="0" w:beforeAutospacing="0" w:after="0" w:afterAutospacing="0" w:line="360" w:lineRule="auto"/>
        <w:rPr>
          <w:rFonts w:eastAsia="宋体" w:hint="eastAsia"/>
          <w:b/>
          <w:bCs/>
          <w:color w:val="auto"/>
          <w:sz w:val="21"/>
          <w:szCs w:val="21"/>
        </w:rPr>
      </w:pPr>
      <w:r>
        <w:rPr>
          <w:rFonts w:ascii="宋体" w:eastAsia="宋体" w:hAnsi="宋体" w:cs="宋体" w:hint="eastAsia"/>
          <w:b/>
          <w:bCs/>
          <w:color w:val="auto"/>
          <w:sz w:val="21"/>
          <w:szCs w:val="21"/>
        </w:rPr>
        <w:t>（一）论述类文本阅读。（本题共3小题，9分）</w:t>
      </w:r>
    </w:p>
    <w:p>
      <w:pPr>
        <w:pStyle w:val="NormalWeb"/>
        <w:widowControl/>
        <w:spacing w:before="0" w:beforeAutospacing="0" w:after="0" w:afterAutospacing="0" w:line="360" w:lineRule="auto"/>
        <w:ind w:firstLine="420" w:firstLineChars="200"/>
        <w:rPr>
          <w:rFonts w:eastAsia="宋体" w:hint="eastAsia"/>
          <w:color w:val="auto"/>
          <w:sz w:val="21"/>
          <w:szCs w:val="21"/>
        </w:rPr>
      </w:pPr>
      <w:r>
        <w:rPr>
          <w:rFonts w:ascii="宋体" w:eastAsia="宋体" w:hAnsi="宋体" w:cs="宋体" w:hint="eastAsia"/>
          <w:color w:val="auto"/>
          <w:sz w:val="21"/>
          <w:szCs w:val="21"/>
        </w:rPr>
        <w:t>阅读下面文字，完成1-3题</w:t>
      </w:r>
    </w:p>
    <w:p>
      <w:pPr>
        <w:pStyle w:val="NormalWeb"/>
        <w:widowControl/>
        <w:spacing w:before="0" w:beforeAutospacing="0" w:after="0" w:afterAutospacing="0" w:line="360" w:lineRule="auto"/>
        <w:ind w:firstLine="420" w:firstLineChars="200"/>
        <w:rPr>
          <w:rFonts w:eastAsia="宋体" w:hint="eastAsia"/>
          <w:color w:val="auto"/>
          <w:sz w:val="21"/>
          <w:szCs w:val="21"/>
        </w:rPr>
      </w:pPr>
      <w:r>
        <w:rPr>
          <w:rFonts w:ascii="宋体" w:eastAsia="宋体" w:hAnsi="宋体" w:cs="宋体" w:hint="eastAsia"/>
          <w:color w:val="auto"/>
          <w:sz w:val="21"/>
          <w:szCs w:val="21"/>
        </w:rPr>
        <w:t>常言道：</w:t>
      </w:r>
      <w:r>
        <w:rPr>
          <w:rFonts w:ascii="宋体" w:eastAsia="宋体" w:hAnsi="宋体" w:cs="宋体" w:hint="eastAsia"/>
          <w:color w:val="auto"/>
          <w:sz w:val="21"/>
          <w:szCs w:val="21"/>
        </w:rPr>
        <w:t>“</w:t>
      </w:r>
      <w:r>
        <w:rPr>
          <w:rFonts w:ascii="宋体" w:eastAsia="宋体" w:hAnsi="宋体" w:cs="宋体" w:hint="eastAsia"/>
          <w:color w:val="auto"/>
          <w:sz w:val="21"/>
          <w:szCs w:val="21"/>
        </w:rPr>
        <w:t>朽木不可雕。</w:t>
      </w:r>
      <w:r>
        <w:rPr>
          <w:rFonts w:ascii="宋体" w:eastAsia="宋体" w:hAnsi="宋体" w:cs="宋体" w:hint="eastAsia"/>
          <w:color w:val="auto"/>
          <w:sz w:val="21"/>
          <w:szCs w:val="21"/>
        </w:rPr>
        <w:t>”</w:t>
      </w:r>
      <w:r>
        <w:rPr>
          <w:rFonts w:ascii="宋体" w:eastAsia="宋体" w:hAnsi="宋体" w:cs="宋体" w:hint="eastAsia"/>
          <w:color w:val="auto"/>
          <w:sz w:val="21"/>
          <w:szCs w:val="21"/>
        </w:rPr>
        <w:t>据媒体报道，在山东省菏泽市曹县，许多人看不上眼的朽木、软木，经过国家级非物质文化遗产传承人曹县木雕匠人的雕琢，却能转化为精致的工艺品。如今，经过融合创新发展，这一传统手艺已转型升级为新型手造产业，产品畅销海内外。</w:t>
      </w:r>
    </w:p>
    <w:p>
      <w:pPr>
        <w:pStyle w:val="NormalWeb"/>
        <w:widowControl/>
        <w:spacing w:before="0" w:beforeAutospacing="0" w:after="0" w:afterAutospacing="0" w:line="360" w:lineRule="auto"/>
        <w:ind w:firstLine="420" w:firstLineChars="200"/>
        <w:rPr>
          <w:rFonts w:eastAsia="宋体" w:hint="eastAsia"/>
          <w:color w:val="auto"/>
          <w:sz w:val="21"/>
          <w:szCs w:val="21"/>
        </w:rPr>
      </w:pPr>
      <w:r>
        <w:rPr>
          <w:rFonts w:ascii="宋体" w:eastAsia="宋体" w:hAnsi="宋体" w:cs="宋体" w:hint="eastAsia"/>
          <w:color w:val="auto"/>
          <w:sz w:val="21"/>
          <w:szCs w:val="21"/>
        </w:rPr>
        <w:t>非遗传承人以木为纸、以刀为笔，把许许多多松软的泡桐、将要腐朽的树根雕刻成花鸟鱼虫及木雕屏风，琳琅满目、惟妙惟肖，带来了不错的经济效益。曹县木雕的故事，颠覆了</w:t>
      </w:r>
      <w:r>
        <w:rPr>
          <w:rFonts w:ascii="宋体" w:eastAsia="宋体" w:hAnsi="宋体" w:cs="宋体" w:hint="eastAsia"/>
          <w:color w:val="auto"/>
          <w:sz w:val="21"/>
          <w:szCs w:val="21"/>
        </w:rPr>
        <w:t>“</w:t>
      </w:r>
      <w:r>
        <w:rPr>
          <w:rFonts w:ascii="宋体" w:eastAsia="宋体" w:hAnsi="宋体" w:cs="宋体" w:hint="eastAsia"/>
          <w:color w:val="auto"/>
          <w:sz w:val="21"/>
          <w:szCs w:val="21"/>
        </w:rPr>
        <w:t>朽木不可雕</w:t>
      </w:r>
      <w:r>
        <w:rPr>
          <w:rFonts w:ascii="宋体" w:eastAsia="宋体" w:hAnsi="宋体" w:cs="宋体" w:hint="eastAsia"/>
          <w:color w:val="auto"/>
          <w:sz w:val="21"/>
          <w:szCs w:val="21"/>
        </w:rPr>
        <w:t>”</w:t>
      </w:r>
      <w:r>
        <w:rPr>
          <w:rFonts w:ascii="宋体" w:eastAsia="宋体" w:hAnsi="宋体" w:cs="宋体" w:hint="eastAsia"/>
          <w:color w:val="auto"/>
          <w:sz w:val="21"/>
          <w:szCs w:val="21"/>
        </w:rPr>
        <w:t>的传统认知，不失为一项传统工艺上的奇迹。无独有偶，在中国国家版本馆，依靠最高级别的恒温恒湿保藏条件、经过古籍保护专家的精心设计，很多历经千百年的珍贵古籍得到了更好保护，传统认识中</w:t>
      </w:r>
      <w:r>
        <w:rPr>
          <w:rFonts w:ascii="宋体" w:eastAsia="宋体" w:hAnsi="宋体" w:cs="宋体" w:hint="eastAsia"/>
          <w:color w:val="auto"/>
          <w:sz w:val="21"/>
          <w:szCs w:val="21"/>
        </w:rPr>
        <w:t>“</w:t>
      </w:r>
      <w:r>
        <w:rPr>
          <w:rFonts w:ascii="宋体" w:eastAsia="宋体" w:hAnsi="宋体" w:cs="宋体" w:hint="eastAsia"/>
          <w:color w:val="auto"/>
          <w:sz w:val="21"/>
          <w:szCs w:val="21"/>
        </w:rPr>
        <w:t>纸寿千年</w:t>
      </w:r>
      <w:r>
        <w:rPr>
          <w:rFonts w:ascii="宋体" w:eastAsia="宋体" w:hAnsi="宋体" w:cs="宋体" w:hint="eastAsia"/>
          <w:color w:val="auto"/>
          <w:sz w:val="21"/>
          <w:szCs w:val="21"/>
        </w:rPr>
        <w:t>”</w:t>
      </w:r>
      <w:r>
        <w:rPr>
          <w:rFonts w:ascii="宋体" w:eastAsia="宋体" w:hAnsi="宋体" w:cs="宋体" w:hint="eastAsia"/>
          <w:color w:val="auto"/>
          <w:sz w:val="21"/>
          <w:szCs w:val="21"/>
        </w:rPr>
        <w:t>的极限想象也被进一步拓展，古籍纸张的保护年限不再困于千年。从</w:t>
      </w:r>
      <w:r>
        <w:rPr>
          <w:rFonts w:ascii="宋体" w:eastAsia="宋体" w:hAnsi="宋体" w:cs="宋体" w:hint="eastAsia"/>
          <w:color w:val="auto"/>
          <w:sz w:val="21"/>
          <w:szCs w:val="21"/>
        </w:rPr>
        <w:t>“</w:t>
      </w:r>
      <w:r>
        <w:rPr>
          <w:rFonts w:ascii="宋体" w:eastAsia="宋体" w:hAnsi="宋体" w:cs="宋体" w:hint="eastAsia"/>
          <w:color w:val="auto"/>
          <w:sz w:val="21"/>
          <w:szCs w:val="21"/>
        </w:rPr>
        <w:t>朽木亦可雕</w:t>
      </w:r>
      <w:r>
        <w:rPr>
          <w:rFonts w:ascii="宋体" w:eastAsia="宋体" w:hAnsi="宋体" w:cs="宋体" w:hint="eastAsia"/>
          <w:color w:val="auto"/>
          <w:sz w:val="21"/>
          <w:szCs w:val="21"/>
        </w:rPr>
        <w:t>”</w:t>
      </w:r>
      <w:r>
        <w:rPr>
          <w:rFonts w:ascii="宋体" w:eastAsia="宋体" w:hAnsi="宋体" w:cs="宋体" w:hint="eastAsia"/>
          <w:color w:val="auto"/>
          <w:sz w:val="21"/>
          <w:szCs w:val="21"/>
        </w:rPr>
        <w:t>到</w:t>
      </w:r>
      <w:r>
        <w:rPr>
          <w:rFonts w:ascii="宋体" w:eastAsia="宋体" w:hAnsi="宋体" w:cs="宋体" w:hint="eastAsia"/>
          <w:color w:val="auto"/>
          <w:sz w:val="21"/>
          <w:szCs w:val="21"/>
        </w:rPr>
        <w:t>“</w:t>
      </w:r>
      <w:r>
        <w:rPr>
          <w:rFonts w:ascii="宋体" w:eastAsia="宋体" w:hAnsi="宋体" w:cs="宋体" w:hint="eastAsia"/>
          <w:color w:val="auto"/>
          <w:sz w:val="21"/>
          <w:szCs w:val="21"/>
        </w:rPr>
        <w:t>纸寿逾千年</w:t>
      </w:r>
      <w:r>
        <w:rPr>
          <w:rFonts w:ascii="宋体" w:eastAsia="宋体" w:hAnsi="宋体" w:cs="宋体" w:hint="eastAsia"/>
          <w:color w:val="auto"/>
          <w:sz w:val="21"/>
          <w:szCs w:val="21"/>
        </w:rPr>
        <w:t>”</w:t>
      </w:r>
      <w:r>
        <w:rPr>
          <w:rFonts w:ascii="宋体" w:eastAsia="宋体" w:hAnsi="宋体" w:cs="宋体" w:hint="eastAsia"/>
          <w:color w:val="auto"/>
          <w:sz w:val="21"/>
          <w:szCs w:val="21"/>
        </w:rPr>
        <w:t>，文化传承、文化保护的奇迹令人欣喜。</w:t>
      </w:r>
    </w:p>
    <w:p>
      <w:pPr>
        <w:pStyle w:val="NormalWeb"/>
        <w:widowControl/>
        <w:spacing w:before="0" w:beforeAutospacing="0" w:after="0" w:afterAutospacing="0" w:line="360" w:lineRule="auto"/>
        <w:ind w:firstLine="420" w:firstLineChars="200"/>
        <w:rPr>
          <w:rFonts w:eastAsia="宋体" w:hint="eastAsia"/>
          <w:color w:val="auto"/>
          <w:sz w:val="21"/>
          <w:szCs w:val="21"/>
        </w:rPr>
      </w:pPr>
      <w:r>
        <w:rPr>
          <w:rFonts w:ascii="宋体" w:eastAsia="宋体" w:hAnsi="宋体" w:cs="宋体" w:hint="eastAsia"/>
          <w:color w:val="auto"/>
          <w:sz w:val="21"/>
          <w:szCs w:val="21"/>
        </w:rPr>
        <w:t>篆刻、剪纸、雕版印刷技艺、蜡染、苗绣、木雕</w:t>
      </w:r>
      <w:r>
        <w:rPr>
          <w:rFonts w:ascii="宋体" w:eastAsia="宋体" w:hAnsi="宋体" w:cs="宋体" w:hint="eastAsia"/>
          <w:color w:val="auto"/>
          <w:sz w:val="21"/>
          <w:szCs w:val="21"/>
        </w:rPr>
        <w:t>……</w:t>
      </w:r>
      <w:r>
        <w:rPr>
          <w:rFonts w:ascii="宋体" w:eastAsia="宋体" w:hAnsi="宋体" w:cs="宋体" w:hint="eastAsia"/>
          <w:color w:val="auto"/>
          <w:sz w:val="21"/>
          <w:szCs w:val="21"/>
        </w:rPr>
        <w:t>这些历经千百年延续至今的古老技艺是中国人</w:t>
      </w:r>
      <w:r>
        <w:rPr>
          <w:rFonts w:ascii="宋体" w:eastAsia="宋体" w:hAnsi="宋体" w:cs="宋体" w:hint="eastAsia"/>
          <w:color w:val="auto"/>
          <w:sz w:val="21"/>
          <w:szCs w:val="21"/>
        </w:rPr>
        <w:t>“</w:t>
      </w:r>
      <w:r>
        <w:rPr>
          <w:rFonts w:ascii="宋体" w:eastAsia="宋体" w:hAnsi="宋体" w:cs="宋体" w:hint="eastAsia"/>
          <w:color w:val="auto"/>
          <w:sz w:val="21"/>
          <w:szCs w:val="21"/>
        </w:rPr>
        <w:t>记得住的乡愁</w:t>
      </w:r>
      <w:r>
        <w:rPr>
          <w:rFonts w:ascii="宋体" w:eastAsia="宋体" w:hAnsi="宋体" w:cs="宋体" w:hint="eastAsia"/>
          <w:color w:val="auto"/>
          <w:sz w:val="21"/>
          <w:szCs w:val="21"/>
        </w:rPr>
        <w:t>”</w:t>
      </w:r>
      <w:r>
        <w:rPr>
          <w:rFonts w:ascii="宋体" w:eastAsia="宋体" w:hAnsi="宋体" w:cs="宋体" w:hint="eastAsia"/>
          <w:color w:val="auto"/>
          <w:sz w:val="21"/>
          <w:szCs w:val="21"/>
        </w:rPr>
        <w:t>，是中华优秀传统文化的重要组成部分。保护好、传承好、利用好这些文化遗产，对于接续一个地方的文化传统、提升一个地区的文化品质，对于延续历史文脉、坚定文化自信、推动文明交流互鉴、建设社会主义文化强国都具有重要意义。以往，因为种种原因，许多优秀的文化遗产逐渐丧失活力，陷入后继无人的困境，令人忧心。因此，</w:t>
      </w:r>
      <w:r>
        <w:rPr>
          <w:rFonts w:ascii="宋体" w:eastAsia="宋体" w:hAnsi="宋体" w:cs="宋体" w:hint="eastAsia"/>
          <w:color w:val="auto"/>
          <w:sz w:val="21"/>
          <w:szCs w:val="21"/>
        </w:rPr>
        <w:t>“</w:t>
      </w:r>
      <w:r>
        <w:rPr>
          <w:rFonts w:ascii="宋体" w:eastAsia="宋体" w:hAnsi="宋体" w:cs="宋体" w:hint="eastAsia"/>
          <w:color w:val="auto"/>
          <w:sz w:val="21"/>
          <w:szCs w:val="21"/>
        </w:rPr>
        <w:t>加强非物质文化遗产保护和传承，积极培养传承人</w:t>
      </w:r>
      <w:r>
        <w:rPr>
          <w:rFonts w:ascii="宋体" w:eastAsia="宋体" w:hAnsi="宋体" w:cs="宋体" w:hint="eastAsia"/>
          <w:color w:val="auto"/>
          <w:sz w:val="21"/>
          <w:szCs w:val="21"/>
        </w:rPr>
        <w:t>”</w:t>
      </w:r>
      <w:r>
        <w:rPr>
          <w:rFonts w:ascii="宋体" w:eastAsia="宋体" w:hAnsi="宋体" w:cs="宋体" w:hint="eastAsia"/>
          <w:color w:val="auto"/>
          <w:sz w:val="21"/>
          <w:szCs w:val="21"/>
        </w:rPr>
        <w:t>成了我们不得不直面的时代课题。</w:t>
      </w:r>
    </w:p>
    <w:p>
      <w:pPr>
        <w:pStyle w:val="NormalWeb"/>
        <w:widowControl/>
        <w:spacing w:before="0" w:beforeAutospacing="0" w:after="0" w:afterAutospacing="0" w:line="360" w:lineRule="auto"/>
        <w:ind w:firstLine="420" w:firstLineChars="200"/>
        <w:rPr>
          <w:rFonts w:eastAsia="宋体" w:hint="eastAsia"/>
          <w:color w:val="auto"/>
          <w:sz w:val="21"/>
          <w:szCs w:val="21"/>
        </w:rPr>
        <w:sectPr>
          <w:headerReference w:type="default" r:id="rId19"/>
          <w:footerReference w:type="default" r:id="rId20"/>
          <w:type w:val="nextPage"/>
          <w:pgSz w:w="11906" w:h="16838"/>
          <w:pgMar w:top="1440" w:right="1080" w:bottom="1440" w:left="1080" w:header="851" w:footer="992" w:gutter="0"/>
          <w:pgNumType w:start="8"/>
          <w:cols w:space="708"/>
          <w:titlePg w:val="0"/>
          <w:docGrid w:type="lines" w:linePitch="312"/>
        </w:sectPr>
      </w:pPr>
    </w:p>
    <w:p>
      <w:pPr>
        <w:pStyle w:val="NormalWeb"/>
        <w:widowControl/>
        <w:spacing w:before="0" w:beforeAutospacing="0" w:after="0" w:afterAutospacing="0" w:line="360" w:lineRule="auto"/>
        <w:ind w:firstLine="420" w:firstLineChars="200"/>
        <w:rPr>
          <w:rFonts w:eastAsia="宋体" w:hint="eastAsia"/>
          <w:color w:val="auto"/>
          <w:sz w:val="21"/>
          <w:szCs w:val="21"/>
        </w:rPr>
      </w:pPr>
      <w:r>
        <w:rPr>
          <w:rFonts w:ascii="宋体" w:eastAsia="宋体" w:hAnsi="宋体" w:cs="宋体" w:hint="eastAsia"/>
          <w:color w:val="auto"/>
          <w:sz w:val="21"/>
          <w:szCs w:val="21"/>
        </w:rPr>
        <w:t>党的十八大以来，国家层面不断加大对非遗保护的支持力度，我国不仅在非遗保护的总量上跃居世界第一，而且在非遗保护的品质上也有显著提升。在一系列政策利好的促进下，相当一部分非遗项目不仅实现了基本的传承延续，而且具备了一定的市场竞争能力。比如，凭借市场化运营，依靠传统文化加持，一些纺染织绣、服饰制作、编织扎制、雕刻塑造等门类的非遗项目走向了市场，</w:t>
      </w:r>
      <w:r>
        <w:rPr>
          <w:rFonts w:ascii="宋体" w:eastAsia="宋体" w:hAnsi="宋体" w:cs="宋体" w:hint="eastAsia"/>
          <w:color w:val="auto"/>
          <w:sz w:val="21"/>
          <w:szCs w:val="21"/>
        </w:rPr>
        <w:t>“</w:t>
      </w:r>
      <w:r>
        <w:rPr>
          <w:rFonts w:ascii="宋体" w:eastAsia="宋体" w:hAnsi="宋体" w:cs="宋体" w:hint="eastAsia"/>
          <w:color w:val="auto"/>
          <w:sz w:val="21"/>
          <w:szCs w:val="21"/>
        </w:rPr>
        <w:t>国风潮</w:t>
      </w:r>
      <w:r>
        <w:rPr>
          <w:rFonts w:ascii="宋体" w:eastAsia="宋体" w:hAnsi="宋体" w:cs="宋体" w:hint="eastAsia"/>
          <w:color w:val="auto"/>
          <w:sz w:val="21"/>
          <w:szCs w:val="21"/>
        </w:rPr>
        <w:t>”</w:t>
      </w:r>
      <w:r>
        <w:rPr>
          <w:rFonts w:ascii="宋体" w:eastAsia="宋体" w:hAnsi="宋体" w:cs="宋体" w:hint="eastAsia"/>
          <w:color w:val="auto"/>
          <w:sz w:val="21"/>
          <w:szCs w:val="21"/>
        </w:rPr>
        <w:t>颇受消费者欢迎；在政府有关部门支持引导下，一大批</w:t>
      </w:r>
      <w:r>
        <w:rPr>
          <w:rFonts w:ascii="宋体" w:eastAsia="宋体" w:hAnsi="宋体" w:cs="宋体" w:hint="eastAsia"/>
          <w:color w:val="auto"/>
          <w:sz w:val="21"/>
          <w:szCs w:val="21"/>
        </w:rPr>
        <w:t>“</w:t>
      </w:r>
      <w:r>
        <w:rPr>
          <w:rFonts w:ascii="宋体" w:eastAsia="宋体" w:hAnsi="宋体" w:cs="宋体" w:hint="eastAsia"/>
          <w:color w:val="auto"/>
          <w:sz w:val="21"/>
          <w:szCs w:val="21"/>
        </w:rPr>
        <w:t>非遗工坊</w:t>
      </w:r>
      <w:r>
        <w:rPr>
          <w:rFonts w:ascii="宋体" w:eastAsia="宋体" w:hAnsi="宋体" w:cs="宋体" w:hint="eastAsia"/>
          <w:color w:val="auto"/>
          <w:sz w:val="21"/>
          <w:szCs w:val="21"/>
        </w:rPr>
        <w:t>”</w:t>
      </w:r>
      <w:r>
        <w:rPr>
          <w:rFonts w:ascii="宋体" w:eastAsia="宋体" w:hAnsi="宋体" w:cs="宋体" w:hint="eastAsia"/>
          <w:color w:val="auto"/>
          <w:sz w:val="21"/>
          <w:szCs w:val="21"/>
        </w:rPr>
        <w:t>在传承文化中带动了就业、促进了经济，为推动文化产业、赋能乡村振兴提供了新路径；在越来越多的地方，非遗与商业、旅游结合，焕发出勃勃生机；非遗的市场化，带来的不仅是传承发展的可持续，还有非遗技艺本身的不断提升、日益精进。</w:t>
      </w:r>
    </w:p>
    <w:p>
      <w:pPr>
        <w:pStyle w:val="NormalWeb"/>
        <w:widowControl/>
        <w:spacing w:before="0" w:beforeAutospacing="0" w:after="0" w:afterAutospacing="0" w:line="360" w:lineRule="auto"/>
        <w:ind w:firstLine="420" w:firstLineChars="200"/>
        <w:rPr>
          <w:rFonts w:eastAsia="宋体" w:hint="eastAsia"/>
          <w:color w:val="auto"/>
          <w:sz w:val="21"/>
          <w:szCs w:val="21"/>
        </w:rPr>
      </w:pPr>
      <w:r>
        <w:rPr>
          <w:rFonts w:ascii="宋体" w:eastAsia="宋体" w:hAnsi="宋体" w:cs="宋体" w:hint="eastAsia"/>
          <w:color w:val="auto"/>
          <w:sz w:val="21"/>
          <w:szCs w:val="21"/>
        </w:rPr>
        <w:t>“</w:t>
      </w:r>
      <w:r>
        <w:rPr>
          <w:rFonts w:ascii="宋体" w:eastAsia="宋体" w:hAnsi="宋体" w:cs="宋体" w:hint="eastAsia"/>
          <w:color w:val="auto"/>
          <w:sz w:val="21"/>
          <w:szCs w:val="21"/>
        </w:rPr>
        <w:t>朽木亦可雕</w:t>
      </w:r>
      <w:r>
        <w:rPr>
          <w:rFonts w:ascii="宋体" w:eastAsia="宋体" w:hAnsi="宋体" w:cs="宋体" w:hint="eastAsia"/>
          <w:color w:val="auto"/>
          <w:sz w:val="21"/>
          <w:szCs w:val="21"/>
        </w:rPr>
        <w:t>”“</w:t>
      </w:r>
      <w:r>
        <w:rPr>
          <w:rFonts w:ascii="宋体" w:eastAsia="宋体" w:hAnsi="宋体" w:cs="宋体" w:hint="eastAsia"/>
          <w:color w:val="auto"/>
          <w:sz w:val="21"/>
          <w:szCs w:val="21"/>
        </w:rPr>
        <w:t>纸寿逾千年</w:t>
      </w:r>
      <w:r>
        <w:rPr>
          <w:rFonts w:ascii="宋体" w:eastAsia="宋体" w:hAnsi="宋体" w:cs="宋体" w:hint="eastAsia"/>
          <w:color w:val="auto"/>
          <w:sz w:val="21"/>
          <w:szCs w:val="21"/>
        </w:rPr>
        <w:t>”</w:t>
      </w:r>
      <w:r>
        <w:rPr>
          <w:rFonts w:ascii="宋体" w:eastAsia="宋体" w:hAnsi="宋体" w:cs="宋体" w:hint="eastAsia"/>
          <w:color w:val="auto"/>
          <w:sz w:val="21"/>
          <w:szCs w:val="21"/>
        </w:rPr>
        <w:t>等突破，何尝不是传统文化在传承中不断发展的产物？何尝不是文化遗产、传统工艺从抢救性保护到保护利用并重，再到创造性转化的一个趋势？传统的未必是落后的，民族的往往是世界的。不断创新体制机制，促进传统文化保护</w:t>
      </w:r>
      <w:r>
        <w:rPr>
          <w:rFonts w:ascii="宋体" w:eastAsia="宋体" w:hAnsi="宋体" w:cs="宋体" w:hint="eastAsia"/>
          <w:color w:val="auto"/>
          <w:sz w:val="21"/>
          <w:szCs w:val="21"/>
        </w:rPr>
        <w:t>“</w:t>
      </w:r>
      <w:r>
        <w:rPr>
          <w:rFonts w:ascii="宋体" w:eastAsia="宋体" w:hAnsi="宋体" w:cs="宋体" w:hint="eastAsia"/>
          <w:color w:val="auto"/>
          <w:sz w:val="21"/>
          <w:szCs w:val="21"/>
        </w:rPr>
        <w:t>见人见物见生活</w:t>
      </w:r>
      <w:r>
        <w:rPr>
          <w:rFonts w:ascii="宋体" w:eastAsia="宋体" w:hAnsi="宋体" w:cs="宋体" w:hint="eastAsia"/>
          <w:color w:val="auto"/>
          <w:sz w:val="21"/>
          <w:szCs w:val="21"/>
        </w:rPr>
        <w:t>”</w:t>
      </w:r>
      <w:r>
        <w:rPr>
          <w:rFonts w:ascii="宋体" w:eastAsia="宋体" w:hAnsi="宋体" w:cs="宋体" w:hint="eastAsia"/>
          <w:color w:val="auto"/>
          <w:sz w:val="21"/>
          <w:szCs w:val="21"/>
        </w:rPr>
        <w:t>，传承千年的中华优秀传统文化将具备更加肥沃的时代土壤，展现出与时俱进的独特魅力，创造出更多颠覆传统认识的奇迹，带给我们一个又一个惊喜。</w:t>
      </w:r>
    </w:p>
    <w:p>
      <w:pPr>
        <w:pStyle w:val="NormalWeb"/>
        <w:widowControl/>
        <w:spacing w:before="0" w:beforeAutospacing="0" w:after="0" w:afterAutospacing="0" w:line="360" w:lineRule="auto"/>
        <w:jc w:val="right"/>
        <w:rPr>
          <w:rFonts w:eastAsia="宋体" w:hint="eastAsia"/>
          <w:color w:val="auto"/>
          <w:sz w:val="21"/>
          <w:szCs w:val="21"/>
        </w:rPr>
      </w:pPr>
      <w:r>
        <w:rPr>
          <w:rFonts w:ascii="宋体" w:eastAsia="宋体" w:hAnsi="宋体" w:cs="宋体" w:hint="eastAsia"/>
          <w:color w:val="auto"/>
          <w:sz w:val="21"/>
          <w:szCs w:val="21"/>
        </w:rPr>
        <w:t>（李思辉《期待更多文化保护奇迹》）</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1．下列关于原文内容的理解和分析，正确的一项是（    ）</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A．从传统的</w:t>
      </w:r>
      <w:r>
        <w:rPr>
          <w:rFonts w:ascii="宋体" w:eastAsia="宋体" w:hAnsi="宋体" w:cs="宋体" w:hint="eastAsia"/>
          <w:color w:val="auto"/>
          <w:sz w:val="21"/>
          <w:szCs w:val="21"/>
        </w:rPr>
        <w:t>“</w:t>
      </w:r>
      <w:r>
        <w:rPr>
          <w:rFonts w:ascii="宋体" w:eastAsia="宋体" w:hAnsi="宋体" w:cs="宋体" w:hint="eastAsia"/>
          <w:color w:val="auto"/>
          <w:sz w:val="21"/>
          <w:szCs w:val="21"/>
        </w:rPr>
        <w:t>朽木不可雕</w:t>
      </w:r>
      <w:r>
        <w:rPr>
          <w:rFonts w:ascii="宋体" w:eastAsia="宋体" w:hAnsi="宋体" w:cs="宋体" w:hint="eastAsia"/>
          <w:color w:val="auto"/>
          <w:sz w:val="21"/>
          <w:szCs w:val="21"/>
        </w:rPr>
        <w:t>”</w:t>
      </w:r>
      <w:r>
        <w:rPr>
          <w:rFonts w:ascii="宋体" w:eastAsia="宋体" w:hAnsi="宋体" w:cs="宋体" w:hint="eastAsia"/>
          <w:color w:val="auto"/>
          <w:sz w:val="21"/>
          <w:szCs w:val="21"/>
        </w:rPr>
        <w:t>到现代的</w:t>
      </w:r>
      <w:r>
        <w:rPr>
          <w:rFonts w:ascii="宋体" w:eastAsia="宋体" w:hAnsi="宋体" w:cs="宋体" w:hint="eastAsia"/>
          <w:color w:val="auto"/>
          <w:sz w:val="21"/>
          <w:szCs w:val="21"/>
        </w:rPr>
        <w:t>“</w:t>
      </w:r>
      <w:r>
        <w:rPr>
          <w:rFonts w:ascii="宋体" w:eastAsia="宋体" w:hAnsi="宋体" w:cs="宋体" w:hint="eastAsia"/>
          <w:color w:val="auto"/>
          <w:sz w:val="21"/>
          <w:szCs w:val="21"/>
        </w:rPr>
        <w:t>朽木亦可雕</w:t>
      </w:r>
      <w:r>
        <w:rPr>
          <w:rFonts w:ascii="宋体" w:eastAsia="宋体" w:hAnsi="宋体" w:cs="宋体" w:hint="eastAsia"/>
          <w:color w:val="auto"/>
          <w:sz w:val="21"/>
          <w:szCs w:val="21"/>
        </w:rPr>
        <w:t>”</w:t>
      </w:r>
      <w:r>
        <w:rPr>
          <w:rFonts w:ascii="宋体" w:eastAsia="宋体" w:hAnsi="宋体" w:cs="宋体" w:hint="eastAsia"/>
          <w:color w:val="auto"/>
          <w:sz w:val="21"/>
          <w:szCs w:val="21"/>
        </w:rPr>
        <w:t>的巨大突破，表明传统的东西都会走向世界的。</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B．保护、传承并利用好篆刻、剪纸、苗绣、木雕等众多的文化遗产，将有助于建设社会主义文化强国。</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C．一些服饰制作、编织扎制、雕刻塑造等门类的非遗项目走向市场，完全得益于一系列政策利好的促进。</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D．古籍纸张的保护早已突破</w:t>
      </w:r>
      <w:r>
        <w:rPr>
          <w:rFonts w:ascii="宋体" w:eastAsia="宋体" w:hAnsi="宋体" w:cs="宋体" w:hint="eastAsia"/>
          <w:color w:val="auto"/>
          <w:sz w:val="21"/>
          <w:szCs w:val="21"/>
        </w:rPr>
        <w:t>“</w:t>
      </w:r>
      <w:r>
        <w:rPr>
          <w:rFonts w:ascii="宋体" w:eastAsia="宋体" w:hAnsi="宋体" w:cs="宋体" w:hint="eastAsia"/>
          <w:color w:val="auto"/>
          <w:sz w:val="21"/>
          <w:szCs w:val="21"/>
        </w:rPr>
        <w:t>纸寿千年</w:t>
      </w:r>
      <w:r>
        <w:rPr>
          <w:rFonts w:ascii="宋体" w:eastAsia="宋体" w:hAnsi="宋体" w:cs="宋体" w:hint="eastAsia"/>
          <w:color w:val="auto"/>
          <w:sz w:val="21"/>
          <w:szCs w:val="21"/>
        </w:rPr>
        <w:t>”</w:t>
      </w:r>
      <w:r>
        <w:rPr>
          <w:rFonts w:ascii="宋体" w:eastAsia="宋体" w:hAnsi="宋体" w:cs="宋体" w:hint="eastAsia"/>
          <w:color w:val="auto"/>
          <w:sz w:val="21"/>
          <w:szCs w:val="21"/>
        </w:rPr>
        <w:t>的极限，主要依靠最高级别的保藏条件和专家的精心设计。</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2．下列对原文论证的相关分析，不正确的一项是（    ）</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A．文章以曹县木雕的故事和中国国家版本馆的故事为切入点，意在说明非物质文化遗产的传承已进入可持续发展阶段。</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B．第三段指出了文化遗产保护、传承、利用的重要作用，并结合优秀文化遗产面临的困境，提出了当代人必须直面的课题。</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C．第四段采用大量概括性事实材料，证明由于国家在非遗保护上的大力支持，我国的非遗保护在量和质上都有了显著的提升。</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D．最后一段紧扣话题，采用连续的反诘问句，结合对称的句式结构，增强了论述语言的气势，流露出强烈的民族自信心。</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3．根据原文内容，下列说法不正确的一项是（    ）</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A．非物质文化遗产能给当地百姓带来较好的经济效益，与非遗传承人高超的技艺密不可分。</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B．许多古老技艺已延续多年，它们对于一个地方的文化传统品质、历史文脉都具有重要意义。</w:t>
      </w:r>
    </w:p>
    <w:p>
      <w:pPr>
        <w:pStyle w:val="NormalWeb"/>
        <w:widowControl/>
        <w:spacing w:before="0" w:beforeAutospacing="0" w:after="0" w:afterAutospacing="0" w:line="360" w:lineRule="auto"/>
        <w:rPr>
          <w:rFonts w:eastAsia="宋体" w:hint="eastAsia"/>
          <w:color w:val="auto"/>
          <w:sz w:val="21"/>
          <w:szCs w:val="21"/>
        </w:rPr>
      </w:pPr>
      <w:r>
        <w:rPr>
          <w:rFonts w:ascii="宋体" w:eastAsia="宋体" w:hAnsi="宋体" w:cs="宋体" w:hint="eastAsia"/>
          <w:color w:val="auto"/>
          <w:sz w:val="21"/>
          <w:szCs w:val="21"/>
        </w:rPr>
        <w:t>C．众多非遗项目实现了基本的传承延续并受到广大群众的青睐，所以焕发出了勃勃生机。</w:t>
      </w:r>
    </w:p>
    <w:p>
      <w:pPr>
        <w:pStyle w:val="NormalWeb"/>
        <w:widowControl/>
        <w:spacing w:before="0" w:beforeAutospacing="0" w:after="0" w:afterAutospacing="0" w:line="360" w:lineRule="auto"/>
        <w:rPr>
          <w:rFonts w:eastAsia="宋体" w:hint="eastAsia"/>
          <w:color w:val="auto"/>
          <w:sz w:val="21"/>
          <w:szCs w:val="21"/>
        </w:rPr>
        <w:sectPr>
          <w:headerReference w:type="default" r:id="rId21"/>
          <w:footerReference w:type="default" r:id="rId22"/>
          <w:type w:val="nextPage"/>
          <w:pgSz w:w="11906" w:h="16838"/>
          <w:pgMar w:top="1440" w:right="1080" w:bottom="1440" w:left="1080" w:header="851" w:footer="992" w:gutter="0"/>
          <w:pgNumType w:start="9"/>
          <w:cols w:space="708"/>
          <w:titlePg w:val="0"/>
          <w:docGrid w:type="lines" w:linePitch="312"/>
        </w:sectPr>
      </w:pPr>
      <w:r>
        <w:rPr>
          <w:rFonts w:ascii="宋体" w:eastAsia="宋体" w:hAnsi="宋体" w:cs="宋体" w:hint="eastAsia"/>
          <w:color w:val="auto"/>
          <w:sz w:val="21"/>
          <w:szCs w:val="21"/>
        </w:rPr>
        <w:t>D．想要产生更多的文化保护奇迹，一方面需要我们在传承中发展，另一方面需要创造性转化。</w:t>
      </w:r>
    </w:p>
    <w:p>
      <w:pPr>
        <w:spacing w:line="360" w:lineRule="auto"/>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四川省凉山州2024届高中毕业班第一次诊断性检测语文试题</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（一）论述类文本阅读（本题共 3 小题，9 分）</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阅读下面文字，完成 1~3 题。</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①</w:t>
      </w:r>
      <w:r>
        <w:rPr>
          <w:rFonts w:ascii="新宋体" w:eastAsia="新宋体" w:hAnsi="新宋体" w:cs="新宋体" w:hint="eastAsia"/>
          <w:snapToGrid/>
          <w:color w:val="auto"/>
          <w:kern w:val="2"/>
          <w:sz w:val="21"/>
          <w:szCs w:val="21"/>
          <w:lang w:eastAsia="zh-CN"/>
        </w:rPr>
        <w:t>散文化似乎是世界小说的一种趋势。 屠格涅夫的《猎人笔记》有些篇近似散文，《白净草原》尤其是这样，都德的《磨坊文札》也如此，鲁迅的《故乡》写得很不集中，废名的《竹林的故事》 可以说是具有连续性的散文诗，萧红的《呼兰河传》全无故事。沈从文的《长河》没有大起大落，大   开大阖，没有强烈的戏剧性，没有高峰，没有悬念，只是平平静静，慢慢地向前流着，就像这部小   说所写的流水一样，这是一部散文化的长篇小说。大概传统的、严格意义上的小说有一点像山，而散文化的小说则像水。</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②</w:t>
      </w:r>
      <w:r>
        <w:rPr>
          <w:rFonts w:ascii="新宋体" w:eastAsia="新宋体" w:hAnsi="新宋体" w:cs="新宋体" w:hint="eastAsia"/>
          <w:snapToGrid/>
          <w:color w:val="auto"/>
          <w:kern w:val="2"/>
          <w:sz w:val="21"/>
          <w:szCs w:val="21"/>
          <w:lang w:eastAsia="zh-CN"/>
        </w:rPr>
        <w:t>散文化的小说一般不写重大题材。在散文化小说作者的眼里，题材无所谓大小，他们所关注的往往是小事，生活的一 角落，一片段。即使有重大题材，他们也会把它大事化小，散文化的小 说不大能容纳过于严肃的、严峻的思想。这一类小说的作者大都是性情温和的人，他们不想对这 个世界做陀思妥耶夫斯基式的拷问和卡夫卡式的阴冷的怀疑。 许多严酷的现实，经过散文化的 处理，就会失去原有的硬度。 鲁迅是个性格复杂的人：一方面，他是一个孤独、悲愤的斗士，同时 又极富柔情。《故乡》《社戏》里有一种说不出来的惆怅和凄凉，如同秋水黄昏。散文化小说是清澈的泉水，它的作用是滋润，不是治疗，这样说，当然是相对的。</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③</w:t>
      </w:r>
      <w:r>
        <w:rPr>
          <w:rFonts w:ascii="新宋体" w:eastAsia="新宋体" w:hAnsi="新宋体" w:cs="新宋体" w:hint="eastAsia"/>
          <w:snapToGrid/>
          <w:color w:val="auto"/>
          <w:kern w:val="2"/>
          <w:sz w:val="21"/>
          <w:szCs w:val="21"/>
          <w:lang w:eastAsia="zh-CN"/>
        </w:rPr>
        <w:t>散文化的小说不过分地刻画人物。他们不大理解，也不大理会典型论。海明威说：</w:t>
      </w:r>
      <w:r>
        <w:rPr>
          <w:rFonts w:ascii="新宋体" w:eastAsia="新宋体" w:hAnsi="新宋体" w:cs="新宋体" w:hint="eastAsia"/>
          <w:snapToGrid/>
          <w:color w:val="auto"/>
          <w:kern w:val="2"/>
          <w:sz w:val="21"/>
          <w:szCs w:val="21"/>
          <w:lang w:eastAsia="zh-CN"/>
        </w:rPr>
        <w:t>“</w:t>
      </w:r>
      <w:r>
        <w:rPr>
          <w:rFonts w:ascii="新宋体" w:eastAsia="新宋体" w:hAnsi="新宋体" w:cs="新宋体" w:hint="eastAsia"/>
          <w:snapToGrid/>
          <w:color w:val="auto"/>
          <w:kern w:val="2"/>
          <w:sz w:val="21"/>
          <w:szCs w:val="21"/>
          <w:lang w:eastAsia="zh-CN"/>
        </w:rPr>
        <w:t>不存在  典型，典型是说谎。</w:t>
      </w:r>
      <w:r>
        <w:rPr>
          <w:rFonts w:ascii="新宋体" w:eastAsia="新宋体" w:hAnsi="新宋体" w:cs="新宋体" w:hint="eastAsia"/>
          <w:snapToGrid/>
          <w:color w:val="auto"/>
          <w:kern w:val="2"/>
          <w:sz w:val="21"/>
          <w:szCs w:val="21"/>
          <w:lang w:eastAsia="zh-CN"/>
        </w:rPr>
        <w:t>”</w:t>
      </w:r>
      <w:r>
        <w:rPr>
          <w:rFonts w:ascii="新宋体" w:eastAsia="新宋体" w:hAnsi="新宋体" w:cs="新宋体" w:hint="eastAsia"/>
          <w:snapToGrid/>
          <w:color w:val="auto"/>
          <w:kern w:val="2"/>
          <w:sz w:val="21"/>
          <w:szCs w:val="21"/>
          <w:lang w:eastAsia="zh-CN"/>
        </w:rPr>
        <w:t>要求一个人物像一 团海绵一样吸进那样多的社会内容，是很困难的。透过一  个人物看出一个时代，这只是评论家分析出来的，小说作者事前是没有想到的。小说作者只是看  到一个人，觉得怪有意思，想写写他，就写了，如此而已。 散文化小说作者通常不对人进行概括，看过一千个医生，才能写出一个医生，这种创作方法恐怕谁也没有当真实行过。散文化小说的人物形象要求神似，轻轻几笔，神完气足。</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榆散文化小说的最明显的外部特征是结构松散。 只要比较一下莫泊桑和契诃夫的小说，就 可以看出两者在结构上的异趣。莫泊桑的小说因为看重结构，所 以人为的痕迹很重，倒是契诃夫 好像完全不考虑结构，写得轻轻松松，随随便便，潇潇洒洒，他超出了结构，于是结构更多样。苏东坡所说的</w:t>
      </w:r>
      <w:r>
        <w:rPr>
          <w:rFonts w:ascii="新宋体" w:eastAsia="新宋体" w:hAnsi="新宋体" w:cs="新宋体" w:hint="eastAsia"/>
          <w:snapToGrid/>
          <w:color w:val="auto"/>
          <w:kern w:val="2"/>
          <w:sz w:val="21"/>
          <w:szCs w:val="21"/>
          <w:lang w:eastAsia="zh-CN"/>
        </w:rPr>
        <w:t>“</w:t>
      </w:r>
      <w:r>
        <w:rPr>
          <w:rFonts w:ascii="新宋体" w:eastAsia="新宋体" w:hAnsi="新宋体" w:cs="新宋体" w:hint="eastAsia"/>
          <w:snapToGrid/>
          <w:color w:val="auto"/>
          <w:kern w:val="2"/>
          <w:sz w:val="21"/>
          <w:szCs w:val="21"/>
          <w:lang w:eastAsia="zh-CN"/>
        </w:rPr>
        <w:t>常行于所当行，常止于不可不止</w:t>
      </w:r>
      <w:r>
        <w:rPr>
          <w:rFonts w:ascii="新宋体" w:eastAsia="新宋体" w:hAnsi="新宋体" w:cs="新宋体" w:hint="eastAsia"/>
          <w:snapToGrid/>
          <w:color w:val="auto"/>
          <w:kern w:val="2"/>
          <w:sz w:val="21"/>
          <w:szCs w:val="21"/>
          <w:lang w:eastAsia="zh-CN"/>
        </w:rPr>
        <w:t>”</w:t>
      </w:r>
      <w:r>
        <w:rPr>
          <w:rFonts w:ascii="新宋体" w:eastAsia="新宋体" w:hAnsi="新宋体" w:cs="新宋体" w:hint="eastAsia"/>
          <w:snapToGrid/>
          <w:color w:val="auto"/>
          <w:kern w:val="2"/>
          <w:sz w:val="21"/>
          <w:szCs w:val="21"/>
          <w:lang w:eastAsia="zh-CN"/>
        </w:rPr>
        <w:t>，是散文化小说作者自觉遵循的结构原则。</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虞有一些散文化的小说所写的常常只是一种意境。《白净草原》写了多少事呢？《竹林的故 事》写的只是几个孩子对于他们的小天地的感受。阿索林所写的修道院是静静的，声音、颜色、气 味，都是静静的。散文化小说往往都有点怀旧的调子，甚至有点隐逸的意味。我不认为这是消极 的，他们没有忘记窗外的喧嚣而躁动的尘世。</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sectPr>
          <w:headerReference w:type="default" r:id="rId23"/>
          <w:footerReference w:type="default" r:id="rId24"/>
          <w:type w:val="nextPage"/>
          <w:pgSz w:w="11906" w:h="16838"/>
          <w:pgMar w:top="1440" w:right="1080" w:bottom="1440" w:left="1080" w:header="851" w:footer="992" w:gutter="0"/>
          <w:pgNumType w:start="10"/>
          <w:cols w:space="708"/>
          <w:titlePg w:val="0"/>
          <w:docGrid w:type="lines" w:linePitch="312"/>
        </w:sectPr>
      </w:pPr>
      <w:r>
        <w:rPr>
          <w:rFonts w:ascii="新宋体" w:eastAsia="新宋体" w:hAnsi="新宋体" w:cs="新宋体" w:hint="eastAsia"/>
          <w:snapToGrid/>
          <w:color w:val="auto"/>
          <w:kern w:val="2"/>
          <w:sz w:val="21"/>
          <w:szCs w:val="21"/>
          <w:lang w:eastAsia="zh-CN"/>
        </w:rPr>
        <w:t>愚散文化小说的作者十分潜心</w:t>
      </w:r>
      <w:r>
        <w:rPr>
          <w:rFonts w:ascii="新宋体" w:eastAsia="新宋体" w:hAnsi="新宋体" w:cs="新宋体" w:hint="eastAsia"/>
          <w:snapToGrid/>
          <w:color w:val="auto"/>
          <w:kern w:val="2"/>
          <w:sz w:val="21"/>
          <w:szCs w:val="21"/>
          <w:lang w:eastAsia="zh-CN"/>
        </w:rPr>
        <w:t xml:space="preserve"> 于语言。他们深知，除了语言，小说就不存在。他们希望自己</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 xml:space="preserve"> 的语言雅致、精确、平易，他们让他们对于生活的态度于字里行间自自然然地流出。</w:t>
      </w:r>
      <w:r>
        <w:rPr>
          <w:rFonts w:ascii="新宋体" w:eastAsia="新宋体" w:hAnsi="新宋体" w:cs="新宋体" w:hint="eastAsia"/>
          <w:snapToGrid/>
          <w:color w:val="auto"/>
          <w:kern w:val="2"/>
          <w:sz w:val="21"/>
          <w:szCs w:val="21"/>
          <w:lang w:eastAsia="zh-CN"/>
        </w:rPr>
        <w:t xml:space="preserve"> 散文化的小</w:t>
      </w:r>
      <w:r>
        <w:rPr>
          <w:rFonts w:ascii="新宋体" w:eastAsia="新宋体" w:hAnsi="新宋体" w:cs="新宋体" w:hint="eastAsia"/>
          <w:snapToGrid/>
          <w:color w:val="auto"/>
          <w:kern w:val="2"/>
          <w:sz w:val="21"/>
          <w:szCs w:val="21"/>
          <w:lang w:eastAsia="zh-CN"/>
        </w:rPr>
        <w:t xml:space="preserve"> 说会给小说的观念带来一点新的变化。</w:t>
      </w:r>
    </w:p>
    <w:p>
      <w:pPr>
        <w:widowControl w:val="0"/>
        <w:kinsoku/>
        <w:autoSpaceDE/>
        <w:autoSpaceDN/>
        <w:adjustRightInd/>
        <w:snapToGrid/>
        <w:spacing w:line="360" w:lineRule="auto"/>
        <w:ind w:firstLine="420"/>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 xml:space="preserve">（摘编自汪曾祺《小说的散文化》） </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1. 下列关于原文内容的理解和分析，正确的一项是(   )（3 分）</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A. 屠格涅夫的《猎人笔记》、都德的《磨坊文札》、鲁迅的《故乡》等一系列作品表明散文化是世界 小说的发展趋势。</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B. 以沈从文的《长河》为标志，传统的、严格意义上的小说是山，而散文化的小说则是水。山有高低 曲折，水有深浅缓急。</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C. 鲁迅不想对这个世界做陀思妥耶夫斯基式的拷问和卡夫卡式的阴冷的怀疑，因此《故乡》 《社戏》写得如同秋水黄昏。</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D. 散文化小说的作者十分潜心于语言，希望自己的语言雅致、精确、平易，在字里行间自自然然地流出他们对生活的态度。</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2. 下列对原文论证的相关分析，不正确的一项是(     )（3 分）</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A. 文章开门见山提出中心论点，然后分别从题材、人物、结构、意境和语言几个方面论述散文 化小说的特点。</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B. 文章第二段例举《故乡》《社戏》是为了论证鲁迅是一个孤独、悲愤的斗士，作品缺乏严肃、 严峻的思想。</w:t>
      </w:r>
    </w:p>
    <w:p>
      <w:pPr>
        <w:pStyle w:val="BodyText"/>
        <w:spacing w:before="107" w:line="360" w:lineRule="auto"/>
        <w:ind w:right="30"/>
        <w:rPr>
          <w:rFonts w:ascii="新宋体" w:eastAsia="新宋体" w:hAnsi="新宋体" w:cs="新宋体" w:hint="eastAsia"/>
          <w:spacing w:val="8"/>
          <w:sz w:val="21"/>
        </w:rPr>
      </w:pPr>
      <w:r>
        <w:rPr>
          <w:rFonts w:ascii="新宋体" w:eastAsia="新宋体" w:hAnsi="新宋体" w:cs="新宋体" w:hint="eastAsia"/>
          <w:spacing w:val="10"/>
          <w:position w:val="-1"/>
          <w:sz w:val="21"/>
          <w:szCs w:val="21"/>
        </w:rPr>
        <w:t>C.</w:t>
      </w:r>
      <w:r>
        <w:rPr>
          <w:rFonts w:ascii="新宋体" w:eastAsia="新宋体" w:hAnsi="新宋体" w:cs="新宋体" w:hint="eastAsia"/>
          <w:spacing w:val="10"/>
          <w:sz w:val="21"/>
          <w:szCs w:val="21"/>
        </w:rPr>
        <w:t>文章第三段在论述散文化小说不过分刻画人物的特点时，运用了引用论证和比喻论证，</w:t>
      </w:r>
      <w:r>
        <w:rPr>
          <w:rFonts w:ascii="新宋体" w:eastAsia="新宋体" w:hAnsi="新宋体" w:cs="新宋体" w:hint="eastAsia"/>
          <w:sz w:val="21"/>
          <w:szCs w:val="21"/>
        </w:rPr>
        <w:t xml:space="preserve"> </w:t>
      </w:r>
      <w:r>
        <w:rPr>
          <w:rFonts w:ascii="新宋体" w:eastAsia="新宋体" w:hAnsi="新宋体" w:cs="新宋体" w:hint="eastAsia"/>
          <w:spacing w:val="8"/>
          <w:sz w:val="21"/>
          <w:szCs w:val="21"/>
        </w:rPr>
        <w:t>论述有力而又形象。</w:t>
      </w:r>
    </w:p>
    <w:p>
      <w:pPr>
        <w:pStyle w:val="BodyText"/>
        <w:spacing w:before="101" w:line="360" w:lineRule="auto"/>
        <w:ind w:right="30"/>
        <w:rPr>
          <w:rFonts w:ascii="新宋体" w:eastAsia="新宋体" w:hAnsi="新宋体" w:cs="新宋体" w:hint="eastAsia"/>
          <w:sz w:val="21"/>
        </w:rPr>
      </w:pPr>
      <w:r>
        <w:rPr>
          <w:rFonts w:ascii="新宋体" w:eastAsia="新宋体" w:hAnsi="新宋体" w:cs="新宋体" w:hint="eastAsia"/>
          <w:spacing w:val="10"/>
          <w:position w:val="-1"/>
          <w:sz w:val="21"/>
          <w:szCs w:val="21"/>
        </w:rPr>
        <w:t>D.</w:t>
      </w:r>
      <w:r>
        <w:rPr>
          <w:rFonts w:ascii="新宋体" w:eastAsia="新宋体" w:hAnsi="新宋体" w:cs="新宋体" w:hint="eastAsia"/>
          <w:spacing w:val="10"/>
          <w:sz w:val="21"/>
          <w:szCs w:val="21"/>
        </w:rPr>
        <w:t>文章中心论点明确，各个分论点以并列结构的方式逐一展开，语言</w:t>
      </w:r>
      <w:r>
        <w:rPr>
          <w:rFonts w:ascii="新宋体" w:eastAsia="新宋体" w:hAnsi="新宋体" w:cs="新宋体" w:hint="eastAsia"/>
          <w:spacing w:val="9"/>
          <w:sz w:val="21"/>
          <w:szCs w:val="21"/>
        </w:rPr>
        <w:t>通俗晓畅生动形象，</w:t>
      </w:r>
      <w:r>
        <w:rPr>
          <w:rFonts w:ascii="新宋体" w:eastAsia="新宋体" w:hAnsi="新宋体" w:cs="新宋体" w:hint="eastAsia"/>
          <w:spacing w:val="8"/>
          <w:sz w:val="21"/>
          <w:szCs w:val="21"/>
        </w:rPr>
        <w:t>论证手法也比较丰富。</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3. 根据原文内容，对</w:t>
      </w:r>
      <w:r>
        <w:rPr>
          <w:rFonts w:ascii="新宋体" w:eastAsia="新宋体" w:hAnsi="新宋体" w:cs="新宋体" w:hint="eastAsia"/>
          <w:snapToGrid/>
          <w:color w:val="auto"/>
          <w:kern w:val="2"/>
          <w:sz w:val="21"/>
          <w:szCs w:val="21"/>
          <w:lang w:eastAsia="zh-CN"/>
        </w:rPr>
        <w:t>“</w:t>
      </w:r>
      <w:r>
        <w:rPr>
          <w:rFonts w:ascii="新宋体" w:eastAsia="新宋体" w:hAnsi="新宋体" w:cs="新宋体" w:hint="eastAsia"/>
          <w:snapToGrid/>
          <w:color w:val="auto"/>
          <w:kern w:val="2"/>
          <w:sz w:val="21"/>
          <w:szCs w:val="21"/>
          <w:lang w:eastAsia="zh-CN"/>
        </w:rPr>
        <w:t>看过一千个医生，才能写出一个医生</w:t>
      </w:r>
      <w:r>
        <w:rPr>
          <w:rFonts w:ascii="新宋体" w:eastAsia="新宋体" w:hAnsi="新宋体" w:cs="新宋体" w:hint="eastAsia"/>
          <w:snapToGrid/>
          <w:color w:val="auto"/>
          <w:kern w:val="2"/>
          <w:sz w:val="21"/>
          <w:szCs w:val="21"/>
          <w:lang w:eastAsia="zh-CN"/>
        </w:rPr>
        <w:t>”</w:t>
      </w:r>
      <w:r>
        <w:rPr>
          <w:rFonts w:ascii="新宋体" w:eastAsia="新宋体" w:hAnsi="新宋体" w:cs="新宋体" w:hint="eastAsia"/>
          <w:snapToGrid/>
          <w:color w:val="auto"/>
          <w:kern w:val="2"/>
          <w:sz w:val="21"/>
          <w:szCs w:val="21"/>
          <w:lang w:eastAsia="zh-CN"/>
        </w:rPr>
        <w:t>理解正确的一项是(   )（3 分）</w:t>
      </w:r>
    </w:p>
    <w:p>
      <w:pPr>
        <w:widowControl w:val="0"/>
        <w:kinsoku/>
        <w:autoSpaceDE/>
        <w:autoSpaceDN/>
        <w:adjustRightInd/>
        <w:snapToGrid/>
        <w:spacing w:line="360" w:lineRule="auto"/>
        <w:jc w:val="left"/>
        <w:textAlignment w:val="auto"/>
        <w:rPr>
          <w:rFonts w:ascii="新宋体" w:eastAsia="新宋体" w:hAnsi="新宋体" w:cs="新宋体" w:hint="eastAsia"/>
          <w:snapToGrid/>
          <w:color w:val="auto"/>
          <w:szCs w:val="21"/>
        </w:rPr>
      </w:pPr>
      <w:r>
        <w:rPr>
          <w:rFonts w:ascii="新宋体" w:eastAsia="新宋体" w:hAnsi="新宋体" w:cs="新宋体" w:hint="eastAsia"/>
          <w:snapToGrid/>
          <w:color w:val="auto"/>
          <w:kern w:val="2"/>
          <w:sz w:val="21"/>
          <w:szCs w:val="21"/>
          <w:lang w:eastAsia="zh-CN"/>
        </w:rPr>
        <w:t>A. 是对小说塑造典型人物的一种形象说法。 意指小说中的人物是作者在现实生活中广泛观括、提炼出来的，个性与共性高度统一的人物形象。</w:t>
      </w:r>
    </w:p>
    <w:p>
      <w:pPr>
        <w:widowControl w:val="0"/>
        <w:kinsoku/>
        <w:autoSpaceDE/>
        <w:autoSpaceDN/>
        <w:adjustRightInd/>
        <w:snapToGrid/>
        <w:spacing w:line="360" w:lineRule="auto"/>
        <w:jc w:val="left"/>
        <w:textAlignment w:val="auto"/>
        <w:rPr>
          <w:rFonts w:ascii="新宋体" w:eastAsia="新宋体" w:hAnsi="新宋体" w:cs="新宋体" w:hint="eastAsia"/>
          <w:szCs w:val="21"/>
        </w:rPr>
      </w:pPr>
      <w:r>
        <w:rPr>
          <w:rFonts w:ascii="新宋体" w:eastAsia="新宋体" w:hAnsi="新宋体" w:cs="新宋体" w:hint="eastAsia"/>
          <w:snapToGrid/>
          <w:color w:val="auto"/>
          <w:kern w:val="2"/>
          <w:sz w:val="21"/>
          <w:szCs w:val="21"/>
          <w:lang w:eastAsia="zh-CN"/>
        </w:rPr>
        <w:t>B. 是对小说塑造典型人物的一种形象说法。意指散文化小说作者只是看到一个人觉得怪有意思</w:t>
      </w:r>
      <w:r>
        <w:rPr>
          <w:rFonts w:ascii="新宋体" w:eastAsia="新宋体" w:hAnsi="新宋体" w:cs="新宋体" w:hint="eastAsia"/>
          <w:spacing w:val="-3"/>
          <w:position w:val="14"/>
          <w:sz w:val="21"/>
          <w:szCs w:val="21"/>
        </w:rPr>
        <w:t>，</w:t>
      </w:r>
      <w:r>
        <w:rPr>
          <w:rFonts w:ascii="新宋体" w:eastAsia="新宋体" w:hAnsi="新宋体" w:cs="新宋体" w:hint="eastAsia"/>
          <w:spacing w:val="-16"/>
          <w:sz w:val="21"/>
          <w:szCs w:val="21"/>
        </w:rPr>
        <w:t>想写写，轻轻几笔，神完气足，就成了典型。</w:t>
      </w:r>
    </w:p>
    <w:p>
      <w:pPr>
        <w:pStyle w:val="BodyText"/>
        <w:spacing w:before="114" w:line="360" w:lineRule="auto"/>
        <w:rPr>
          <w:rFonts w:ascii="新宋体" w:eastAsia="新宋体" w:hAnsi="新宋体" w:cs="新宋体" w:hint="eastAsia"/>
          <w:spacing w:val="-1"/>
          <w:position w:val="14"/>
          <w:sz w:val="21"/>
        </w:rPr>
      </w:pPr>
      <w:r>
        <w:rPr>
          <w:rFonts w:ascii="新宋体" w:eastAsia="新宋体" w:hAnsi="新宋体" w:cs="新宋体" w:hint="eastAsia"/>
          <w:spacing w:val="-1"/>
          <w:position w:val="14"/>
          <w:sz w:val="21"/>
          <w:szCs w:val="21"/>
        </w:rPr>
        <w:t>C. 是对小说塑造典型人物的一种形象说法，海明威并不承认有这种方法存在。 这种创作方法在实际创作中，根本就没有人当真实行过。</w:t>
      </w:r>
      <w:r>
        <w:rPr>
          <w:rFonts w:ascii="新宋体" w:eastAsia="新宋体" w:hAnsi="新宋体" w:cs="新宋体" w:hint="eastAsia"/>
          <w:spacing w:val="-1"/>
          <w:position w:val="14"/>
          <w:sz w:val="21"/>
        </w:rPr>
        <w:br/>
      </w:r>
      <w:r>
        <w:rPr>
          <w:rFonts w:ascii="新宋体" w:eastAsia="新宋体" w:hAnsi="新宋体" w:cs="新宋体" w:hint="eastAsia"/>
          <w:spacing w:val="-1"/>
          <w:position w:val="14"/>
          <w:sz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5" w:history="1">
        <w:r>
          <w:rPr>
            <w:rFonts w:ascii="SimSun" w:eastAsia="SimSun" w:hAnsi="SimSun" w:cs="SimSun"/>
            <w:b/>
            <w:bCs/>
            <w:color w:val="0000EE"/>
            <w:kern w:val="0"/>
            <w:sz w:val="30"/>
            <w:szCs w:val="30"/>
            <w:u w:val="single" w:color="0000EE"/>
          </w:rPr>
          <w:t>https://d.book118.com/605023044010011040</w:t>
        </w:r>
      </w:hyperlink>
    </w:p>
    <w:p>
      <w:pPr>
        <w:pStyle w:val="BodyText"/>
        <w:spacing w:before="114" w:line="360" w:lineRule="auto"/>
        <w:rPr>
          <w:rFonts w:ascii="新宋体" w:eastAsia="新宋体" w:hAnsi="新宋体" w:cs="新宋体" w:hint="eastAsia"/>
          <w:spacing w:val="-1"/>
          <w:position w:val="14"/>
          <w:sz w:val="21"/>
        </w:rPr>
      </w:pPr>
    </w:p>
    <w:sectPr>
      <w:headerReference w:type="default" r:id="rId26"/>
      <w:footerReference w:type="default" r:id="rId27"/>
      <w:type w:val="nextPage"/>
      <w:pgSz w:w="11906" w:h="16838"/>
      <w:pgMar w:top="1440" w:right="1080" w:bottom="1440" w:left="1080" w:header="851" w:footer="992" w:gutter="0"/>
      <w:pgNumType w:start="11"/>
      <w:cols w:space="708"/>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1"/>
    <w:family w:val="modern"/>
    <w:pitch w:val="variable"/>
    <w:sig w:usb0="E0002EFF" w:usb1="C000785B" w:usb2="00000009" w:usb3="00000000" w:csb0="400001FF" w:csb1="FFFF0000"/>
  </w:font>
  <w:font w:name="宋体">
    <w:altName w:val="SimSun"/>
    <w:panose1 w:val="02010600030101010101"/>
    <w:charset w:val="86"/>
    <w:family w:val="modern"/>
    <w:pitch w:val="variable"/>
    <w:sig w:usb0="00000203" w:usb1="288F0000" w:usb2="00000006" w:usb3="00000000" w:csb0="001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variable"/>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黑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A00002FF" w:usb1="28CFFCFA" w:usb2="00000016" w:usb3="00000000" w:csb0="00100001" w:csb1="00000000"/>
  </w:font>
  <w:font w:name="等线">
    <w:panose1 w:val="02010600030101010101"/>
    <w:charset w:val="86"/>
    <w:family w:val="auto"/>
    <w:pitch w:val="default"/>
    <w:sig w:usb0="A00002BF" w:usb1="38CF7CFA" w:usb2="00000016" w:usb3="00000000" w:csb0="0004000F" w:csb1="00000000"/>
  </w:font>
  <w:font w:name="FZSSK--GBK1-0">
    <w:altName w:val="Times New Roman"/>
    <w:panose1 w:val="00000000000000000000"/>
    <w:charset w:val="00"/>
    <w:family w:val="roman"/>
    <w:pitch w:val="default"/>
    <w:sig w:usb0="00000000" w:usb1="00000000" w:usb2="00000000" w:usb3="00000000" w:csb0="00040001" w:csb1="00000000"/>
  </w:font>
  <w:font w:name="NEU-BZ">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position:absolute;z-index:251661312" filled="f" stroked="f">
          <v:imagedata r:id="rId1" r:href="rId2" o:title=""/>
          <v:path o:extrusionok="f"/>
          <o:lock v:ext="edit" aspectratio="t"/>
        </v:shape>
      </w:pict>
    </w:r>
    <w:r>
      <w:rPr>
        <w:rFonts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position:absolute;z-index:251663360" filled="f" stroked="f">
          <v:imagedata r:id="rId1" r:href="rId2" o:title=""/>
          <v:path o:extrusionok="f"/>
          <o:lock v:ext="edit" aspectratio="t"/>
        </v:shape>
      </w:pict>
    </w:r>
    <w:r>
      <w:rPr>
        <w:rFonts w:hint="eastAsia"/>
        <w:color w:val="FFFFFF"/>
        <w:kern w:val="0"/>
        <w:sz w:val="2"/>
        <w:szCs w:val="2"/>
      </w:rPr>
      <w:t>学科网（北京）股份有限公司</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position:absolute;z-index:251665408" filled="f" stroked="f">
          <v:imagedata r:id="rId1" r:href="rId2" o:title=""/>
          <v:path o:extrusionok="f"/>
          <o:lock v:ext="edit" aspectratio="t"/>
        </v:shape>
      </w:pict>
    </w:r>
    <w:r>
      <w:rPr>
        <w:rFonts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8" type="#_x0000_t75" alt="学科网 zxxk.com" style="width:0.05pt;height:0.05pt;margin-top:-20.75pt;margin-left:64.05pt;position:absolute;z-index:251667456" filled="f" stroked="f">
          <v:imagedata r:id="rId1" r:href="rId2" o:title=""/>
          <v:path o:extrusionok="f"/>
          <o:lock v:ext="edit" aspectratio="t"/>
        </v:shape>
      </w:pict>
    </w:r>
    <w:r>
      <w:rPr>
        <w:rFonts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9504" filled="f" stroked="f">
          <v:imagedata r:id="rId1" r:href="rId2" o:title=""/>
          <v:path o:extrusionok="f"/>
          <o:lock v:ext="edit" aspectratio="t"/>
        </v:shape>
      </w:pict>
    </w:r>
    <w:r>
      <w:rPr>
        <w:rFonts w:hint="eastAsia"/>
        <w:color w:val="FFFFFF"/>
        <w:kern w:val="0"/>
        <w:sz w:val="2"/>
        <w:szCs w:val="2"/>
      </w:rPr>
      <w:t>学科网（北京）股份有限公司</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6" type="#_x0000_t75" alt="学科网 zxxk.com" style="width:0.05pt;height:0.05pt;margin-top:-20.75pt;margin-left:64.05pt;position:absolute;z-index:251671552" filled="f" stroked="f">
          <v:imagedata r:id="rId1" r:href="rId2" o:title=""/>
          <v:path o:extrusionok="f"/>
          <o:lock v:ext="edit" aspectratio="t"/>
        </v:shape>
      </w:pict>
    </w:r>
    <w:r>
      <w:rPr>
        <w:rFonts w:hint="eastAsia"/>
        <w:color w:val="FFFFFF"/>
        <w:kern w:val="0"/>
        <w:sz w:val="2"/>
        <w:szCs w:val="2"/>
      </w:rPr>
      <w:t>学科网（北京）股份有限公司</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9"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0" type="#_x0000_t75" alt="学科网 zxxk.com" style="width:0.05pt;height:0.05pt;margin-top:-20.75pt;margin-left:64.05pt;position:absolute;z-index:251673600" filled="f" stroked="f">
          <v:imagedata r:id="rId1" r:href="rId2" o:title=""/>
          <v:path o:extrusionok="f"/>
          <o:lock v:ext="edit" aspectratio="t"/>
        </v:shape>
      </w:pict>
    </w:r>
    <w:r>
      <w:rPr>
        <w:rFonts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position:absolute;z-index:251675648" filled="f" stroked="f">
          <v:imagedata r:id="rId1" r:href="rId2" o:title=""/>
          <v:path o:extrusionok="f"/>
          <o:lock v:ext="edit" aspectratio="t"/>
        </v:shape>
      </w:pict>
    </w:r>
    <w:r>
      <w:rPr>
        <w:rFonts w:hint="eastAsia"/>
        <w:color w:val="FFFFFF"/>
        <w:kern w:val="0"/>
        <w:sz w:val="2"/>
        <w:szCs w:val="2"/>
      </w:rPr>
      <w:t>学科网（北京）股份有限公司</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7" type="#_x0000_t136" alt="学科网 zxxk.com" style="width:2.85pt;height:2.85pt;margin-top:407.9pt;margin-left:158.95pt;mso-position-horizontal-relative:margin;mso-position-vertical-relative:margin;position:absolute;rotation:315;z-index:-25163980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8" type="#_x0000_t75" alt="学科网 zxxk.com" style="width:0.05pt;height:0.05pt;margin-top:-20.75pt;margin-left:64.05pt;position:absolute;z-index:251677696" filled="f" stroked="f">
          <v:imagedata r:id="rId1" r:href="rId2" o:title=""/>
          <v:path o:extrusionok="f"/>
          <o:lock v:ext="edit" aspectratio="t"/>
        </v:shape>
      </w:pict>
    </w:r>
    <w:r>
      <w:rPr>
        <w:rFonts w:hint="eastAsia"/>
        <w:color w:val="FFFFFF"/>
        <w:kern w:val="0"/>
        <w:sz w:val="2"/>
        <w:szCs w:val="2"/>
      </w:rPr>
      <w:t>学科网（北京）股份有限公司</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1" type="#_x0000_t136" alt="学科网 zxxk.com" style="width:2.85pt;height:2.85pt;margin-top:407.9pt;margin-left:158.95pt;mso-position-horizontal-relative:margin;mso-position-vertical-relative:margin;position:absolute;rotation:315;z-index:-25163776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2" type="#_x0000_t75" alt="学科网 zxxk.com" style="width:0.05pt;height:0.05pt;margin-top:-20.75pt;margin-left:64.05pt;position:absolute;z-index:25167974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3"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position:absolute;z-index:2516602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position:absolute;z-index:25166233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position:absolute;z-index:25166438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7"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position:absolute;z-index:25166643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position:absolute;z-index:25166745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position:absolute;z-index:25166848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FD9C91"/>
    <w:multiLevelType w:val="singleLevel"/>
    <w:tmpl w:val="65FD9C91"/>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efaultTabStop w:val="420"/>
  <w:drawingGridHorizontalSpacing w:val="105"/>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E3DA7"/>
    <w:rsid w:val="0000069E"/>
    <w:rsid w:val="00016AB3"/>
    <w:rsid w:val="00027AEF"/>
    <w:rsid w:val="00040623"/>
    <w:rsid w:val="00046163"/>
    <w:rsid w:val="0006160F"/>
    <w:rsid w:val="00065D70"/>
    <w:rsid w:val="000707EC"/>
    <w:rsid w:val="00071E70"/>
    <w:rsid w:val="000825F3"/>
    <w:rsid w:val="00084947"/>
    <w:rsid w:val="000A0B2A"/>
    <w:rsid w:val="000A3607"/>
    <w:rsid w:val="000A7775"/>
    <w:rsid w:val="000B2401"/>
    <w:rsid w:val="000B7C38"/>
    <w:rsid w:val="000B7D5C"/>
    <w:rsid w:val="000C3DBE"/>
    <w:rsid w:val="000C75EB"/>
    <w:rsid w:val="000D72C5"/>
    <w:rsid w:val="000E3E3E"/>
    <w:rsid w:val="000E460A"/>
    <w:rsid w:val="000E4E68"/>
    <w:rsid w:val="000E7C03"/>
    <w:rsid w:val="000E7C22"/>
    <w:rsid w:val="00103037"/>
    <w:rsid w:val="001035BF"/>
    <w:rsid w:val="001048A6"/>
    <w:rsid w:val="0011379D"/>
    <w:rsid w:val="0011401D"/>
    <w:rsid w:val="0011634F"/>
    <w:rsid w:val="001260C2"/>
    <w:rsid w:val="001309A0"/>
    <w:rsid w:val="001311E7"/>
    <w:rsid w:val="001334E6"/>
    <w:rsid w:val="001343D6"/>
    <w:rsid w:val="00142D09"/>
    <w:rsid w:val="00147E5E"/>
    <w:rsid w:val="00152D78"/>
    <w:rsid w:val="00157075"/>
    <w:rsid w:val="00161B58"/>
    <w:rsid w:val="00162420"/>
    <w:rsid w:val="0017247B"/>
    <w:rsid w:val="00197D4B"/>
    <w:rsid w:val="001B12A6"/>
    <w:rsid w:val="001C5CAA"/>
    <w:rsid w:val="001C65B7"/>
    <w:rsid w:val="001D1C54"/>
    <w:rsid w:val="001D274D"/>
    <w:rsid w:val="001D466E"/>
    <w:rsid w:val="001E40AC"/>
    <w:rsid w:val="001E4787"/>
    <w:rsid w:val="00202E22"/>
    <w:rsid w:val="00211726"/>
    <w:rsid w:val="00215A26"/>
    <w:rsid w:val="00215E65"/>
    <w:rsid w:val="00222203"/>
    <w:rsid w:val="0022264A"/>
    <w:rsid w:val="00227124"/>
    <w:rsid w:val="00232FB2"/>
    <w:rsid w:val="00233F39"/>
    <w:rsid w:val="00240278"/>
    <w:rsid w:val="00240E7E"/>
    <w:rsid w:val="00253072"/>
    <w:rsid w:val="002537E2"/>
    <w:rsid w:val="00253B9C"/>
    <w:rsid w:val="002569F3"/>
    <w:rsid w:val="002572A4"/>
    <w:rsid w:val="0025730C"/>
    <w:rsid w:val="00266042"/>
    <w:rsid w:val="00274817"/>
    <w:rsid w:val="00276ED8"/>
    <w:rsid w:val="002828CC"/>
    <w:rsid w:val="00291814"/>
    <w:rsid w:val="002935D8"/>
    <w:rsid w:val="00296B6B"/>
    <w:rsid w:val="00296F56"/>
    <w:rsid w:val="002A2F76"/>
    <w:rsid w:val="002A7FB5"/>
    <w:rsid w:val="002B49C4"/>
    <w:rsid w:val="002D3785"/>
    <w:rsid w:val="002D7683"/>
    <w:rsid w:val="002E1001"/>
    <w:rsid w:val="00300AD1"/>
    <w:rsid w:val="00307022"/>
    <w:rsid w:val="0032063B"/>
    <w:rsid w:val="00321FA1"/>
    <w:rsid w:val="0032234E"/>
    <w:rsid w:val="00324CB9"/>
    <w:rsid w:val="00326A66"/>
    <w:rsid w:val="003416DA"/>
    <w:rsid w:val="00342666"/>
    <w:rsid w:val="0035503A"/>
    <w:rsid w:val="00355B10"/>
    <w:rsid w:val="00371291"/>
    <w:rsid w:val="00375E04"/>
    <w:rsid w:val="00381B15"/>
    <w:rsid w:val="00385996"/>
    <w:rsid w:val="003876A4"/>
    <w:rsid w:val="00394DDE"/>
    <w:rsid w:val="003A3FB5"/>
    <w:rsid w:val="003A67B3"/>
    <w:rsid w:val="003A7E80"/>
    <w:rsid w:val="003B7F40"/>
    <w:rsid w:val="003C16D9"/>
    <w:rsid w:val="003C1A8A"/>
    <w:rsid w:val="003C7345"/>
    <w:rsid w:val="003D5AE8"/>
    <w:rsid w:val="003D6B43"/>
    <w:rsid w:val="003E25A9"/>
    <w:rsid w:val="003E52FE"/>
    <w:rsid w:val="003E5A45"/>
    <w:rsid w:val="003F2303"/>
    <w:rsid w:val="003F2DAF"/>
    <w:rsid w:val="00404F20"/>
    <w:rsid w:val="0040569C"/>
    <w:rsid w:val="004151FC"/>
    <w:rsid w:val="0042009B"/>
    <w:rsid w:val="00420C5B"/>
    <w:rsid w:val="00421309"/>
    <w:rsid w:val="00421B85"/>
    <w:rsid w:val="00427F17"/>
    <w:rsid w:val="00435C44"/>
    <w:rsid w:val="00441768"/>
    <w:rsid w:val="0044372D"/>
    <w:rsid w:val="004525F9"/>
    <w:rsid w:val="00453650"/>
    <w:rsid w:val="00455781"/>
    <w:rsid w:val="00456942"/>
    <w:rsid w:val="00464A94"/>
    <w:rsid w:val="00471863"/>
    <w:rsid w:val="00473CBD"/>
    <w:rsid w:val="00474DD8"/>
    <w:rsid w:val="004825FA"/>
    <w:rsid w:val="00486A48"/>
    <w:rsid w:val="004873A3"/>
    <w:rsid w:val="00490F7E"/>
    <w:rsid w:val="0049157C"/>
    <w:rsid w:val="0049206A"/>
    <w:rsid w:val="004A4C37"/>
    <w:rsid w:val="004B0665"/>
    <w:rsid w:val="004B721B"/>
    <w:rsid w:val="004C3292"/>
    <w:rsid w:val="004C34FC"/>
    <w:rsid w:val="004C464C"/>
    <w:rsid w:val="004C6EEB"/>
    <w:rsid w:val="004D0F2F"/>
    <w:rsid w:val="004D2488"/>
    <w:rsid w:val="004D51BE"/>
    <w:rsid w:val="004D5211"/>
    <w:rsid w:val="004E71F8"/>
    <w:rsid w:val="004F231E"/>
    <w:rsid w:val="004F42DC"/>
    <w:rsid w:val="00504B89"/>
    <w:rsid w:val="00504D45"/>
    <w:rsid w:val="00520491"/>
    <w:rsid w:val="005259AA"/>
    <w:rsid w:val="00530908"/>
    <w:rsid w:val="00562D7E"/>
    <w:rsid w:val="00563CD3"/>
    <w:rsid w:val="00581866"/>
    <w:rsid w:val="0058222A"/>
    <w:rsid w:val="00597370"/>
    <w:rsid w:val="005A2643"/>
    <w:rsid w:val="005B10B4"/>
    <w:rsid w:val="005C1691"/>
    <w:rsid w:val="005C3AEF"/>
    <w:rsid w:val="005C5A59"/>
    <w:rsid w:val="005C7824"/>
    <w:rsid w:val="005D1777"/>
    <w:rsid w:val="005E3E08"/>
    <w:rsid w:val="005F01A0"/>
    <w:rsid w:val="005F0364"/>
    <w:rsid w:val="00603495"/>
    <w:rsid w:val="00605369"/>
    <w:rsid w:val="006061E8"/>
    <w:rsid w:val="00620E06"/>
    <w:rsid w:val="00621750"/>
    <w:rsid w:val="006358F7"/>
    <w:rsid w:val="0064251C"/>
    <w:rsid w:val="00646A16"/>
    <w:rsid w:val="00651CD7"/>
    <w:rsid w:val="00652483"/>
    <w:rsid w:val="00653F49"/>
    <w:rsid w:val="006638E8"/>
    <w:rsid w:val="0066498C"/>
    <w:rsid w:val="00671509"/>
    <w:rsid w:val="00680E27"/>
    <w:rsid w:val="00681895"/>
    <w:rsid w:val="0068585E"/>
    <w:rsid w:val="006978C6"/>
    <w:rsid w:val="006A1D43"/>
    <w:rsid w:val="006A24ED"/>
    <w:rsid w:val="006B3B09"/>
    <w:rsid w:val="006B5789"/>
    <w:rsid w:val="006B630B"/>
    <w:rsid w:val="006B68A6"/>
    <w:rsid w:val="006B6D48"/>
    <w:rsid w:val="006C7BBF"/>
    <w:rsid w:val="006D3C9D"/>
    <w:rsid w:val="006D495D"/>
    <w:rsid w:val="006D7B5B"/>
    <w:rsid w:val="006D7E67"/>
    <w:rsid w:val="006E0A71"/>
    <w:rsid w:val="006E7EF6"/>
    <w:rsid w:val="006F74BA"/>
    <w:rsid w:val="007052B2"/>
    <w:rsid w:val="007140E9"/>
    <w:rsid w:val="00714CA7"/>
    <w:rsid w:val="00723BD7"/>
    <w:rsid w:val="00724F15"/>
    <w:rsid w:val="00734B85"/>
    <w:rsid w:val="00741D57"/>
    <w:rsid w:val="00745BF2"/>
    <w:rsid w:val="00754CE2"/>
    <w:rsid w:val="00763345"/>
    <w:rsid w:val="00773B00"/>
    <w:rsid w:val="00776617"/>
    <w:rsid w:val="00777D6D"/>
    <w:rsid w:val="00781388"/>
    <w:rsid w:val="00781EDC"/>
    <w:rsid w:val="00782D23"/>
    <w:rsid w:val="00783DBD"/>
    <w:rsid w:val="007A235F"/>
    <w:rsid w:val="007B2600"/>
    <w:rsid w:val="007B2942"/>
    <w:rsid w:val="007B4EBE"/>
    <w:rsid w:val="007C101F"/>
    <w:rsid w:val="007C1252"/>
    <w:rsid w:val="007C6B7B"/>
    <w:rsid w:val="007C6EAA"/>
    <w:rsid w:val="007C7E5E"/>
    <w:rsid w:val="007D3481"/>
    <w:rsid w:val="007D5F6C"/>
    <w:rsid w:val="007F2C23"/>
    <w:rsid w:val="007F70FD"/>
    <w:rsid w:val="00804A60"/>
    <w:rsid w:val="0080652A"/>
    <w:rsid w:val="0082384A"/>
    <w:rsid w:val="0082416C"/>
    <w:rsid w:val="00830E62"/>
    <w:rsid w:val="00854C6E"/>
    <w:rsid w:val="00863934"/>
    <w:rsid w:val="00867491"/>
    <w:rsid w:val="00867C38"/>
    <w:rsid w:val="008802A3"/>
    <w:rsid w:val="008904FA"/>
    <w:rsid w:val="008909F6"/>
    <w:rsid w:val="008A294E"/>
    <w:rsid w:val="008A4D3D"/>
    <w:rsid w:val="008B2369"/>
    <w:rsid w:val="008B370C"/>
    <w:rsid w:val="008B73A4"/>
    <w:rsid w:val="008C0E82"/>
    <w:rsid w:val="008C139C"/>
    <w:rsid w:val="008C2183"/>
    <w:rsid w:val="008D03E7"/>
    <w:rsid w:val="008D1723"/>
    <w:rsid w:val="008D3332"/>
    <w:rsid w:val="008D75B7"/>
    <w:rsid w:val="008E538B"/>
    <w:rsid w:val="008E61B3"/>
    <w:rsid w:val="00903EAD"/>
    <w:rsid w:val="00924606"/>
    <w:rsid w:val="00935C66"/>
    <w:rsid w:val="00941B22"/>
    <w:rsid w:val="0095621A"/>
    <w:rsid w:val="00963913"/>
    <w:rsid w:val="00964ACF"/>
    <w:rsid w:val="0097148D"/>
    <w:rsid w:val="00972691"/>
    <w:rsid w:val="00984A7A"/>
    <w:rsid w:val="00984C76"/>
    <w:rsid w:val="00987420"/>
    <w:rsid w:val="00990AE0"/>
    <w:rsid w:val="00990BAA"/>
    <w:rsid w:val="009B1E94"/>
    <w:rsid w:val="009B3332"/>
    <w:rsid w:val="009B4AF4"/>
    <w:rsid w:val="009D3FAB"/>
    <w:rsid w:val="009E0CFE"/>
    <w:rsid w:val="009F7ADA"/>
    <w:rsid w:val="00A037DC"/>
    <w:rsid w:val="00A12D39"/>
    <w:rsid w:val="00A13DE5"/>
    <w:rsid w:val="00A222EC"/>
    <w:rsid w:val="00A2356B"/>
    <w:rsid w:val="00A417EB"/>
    <w:rsid w:val="00A46E5C"/>
    <w:rsid w:val="00A54B83"/>
    <w:rsid w:val="00A62864"/>
    <w:rsid w:val="00A665BF"/>
    <w:rsid w:val="00A674B0"/>
    <w:rsid w:val="00A67E06"/>
    <w:rsid w:val="00A82850"/>
    <w:rsid w:val="00A865B5"/>
    <w:rsid w:val="00AA00D7"/>
    <w:rsid w:val="00AA4791"/>
    <w:rsid w:val="00AA4969"/>
    <w:rsid w:val="00AA54F4"/>
    <w:rsid w:val="00AC10E1"/>
    <w:rsid w:val="00AD6783"/>
    <w:rsid w:val="00AE0E40"/>
    <w:rsid w:val="00AE2CE3"/>
    <w:rsid w:val="00AF0D36"/>
    <w:rsid w:val="00AF32AF"/>
    <w:rsid w:val="00AF528B"/>
    <w:rsid w:val="00AF6588"/>
    <w:rsid w:val="00B0594F"/>
    <w:rsid w:val="00B05ABF"/>
    <w:rsid w:val="00B1477D"/>
    <w:rsid w:val="00B14BEC"/>
    <w:rsid w:val="00B35AAF"/>
    <w:rsid w:val="00B361C0"/>
    <w:rsid w:val="00B40F0D"/>
    <w:rsid w:val="00B42DD8"/>
    <w:rsid w:val="00B66EE7"/>
    <w:rsid w:val="00B72DC8"/>
    <w:rsid w:val="00B74665"/>
    <w:rsid w:val="00B81BB4"/>
    <w:rsid w:val="00B82A18"/>
    <w:rsid w:val="00B849A4"/>
    <w:rsid w:val="00B8506D"/>
    <w:rsid w:val="00B90CE3"/>
    <w:rsid w:val="00B91D72"/>
    <w:rsid w:val="00B95D79"/>
    <w:rsid w:val="00BA1F95"/>
    <w:rsid w:val="00BA5A91"/>
    <w:rsid w:val="00BA69F2"/>
    <w:rsid w:val="00BB1C9A"/>
    <w:rsid w:val="00BB234A"/>
    <w:rsid w:val="00BC17B1"/>
    <w:rsid w:val="00BD1195"/>
    <w:rsid w:val="00BD3751"/>
    <w:rsid w:val="00BD4865"/>
    <w:rsid w:val="00BE233A"/>
    <w:rsid w:val="00BE4727"/>
    <w:rsid w:val="00BE6C78"/>
    <w:rsid w:val="00BE7BF7"/>
    <w:rsid w:val="00BF1D12"/>
    <w:rsid w:val="00BF5B2F"/>
    <w:rsid w:val="00C000F2"/>
    <w:rsid w:val="00C01F3F"/>
    <w:rsid w:val="00C020DD"/>
    <w:rsid w:val="00C02863"/>
    <w:rsid w:val="00C02FC6"/>
    <w:rsid w:val="00C2020A"/>
    <w:rsid w:val="00C30059"/>
    <w:rsid w:val="00C33270"/>
    <w:rsid w:val="00C33365"/>
    <w:rsid w:val="00C37511"/>
    <w:rsid w:val="00C47565"/>
    <w:rsid w:val="00C55340"/>
    <w:rsid w:val="00C6413E"/>
    <w:rsid w:val="00C735F6"/>
    <w:rsid w:val="00C75531"/>
    <w:rsid w:val="00C801CB"/>
    <w:rsid w:val="00C82569"/>
    <w:rsid w:val="00C94AF6"/>
    <w:rsid w:val="00C96C5D"/>
    <w:rsid w:val="00CA6CAF"/>
    <w:rsid w:val="00CB26DD"/>
    <w:rsid w:val="00CB47F5"/>
    <w:rsid w:val="00CB5122"/>
    <w:rsid w:val="00CB6B9C"/>
    <w:rsid w:val="00CB6FFD"/>
    <w:rsid w:val="00CC0975"/>
    <w:rsid w:val="00CC7BF8"/>
    <w:rsid w:val="00CD44D5"/>
    <w:rsid w:val="00CD6FA3"/>
    <w:rsid w:val="00CF3ECB"/>
    <w:rsid w:val="00D0756F"/>
    <w:rsid w:val="00D11E91"/>
    <w:rsid w:val="00D120C0"/>
    <w:rsid w:val="00D17685"/>
    <w:rsid w:val="00D22C85"/>
    <w:rsid w:val="00D24787"/>
    <w:rsid w:val="00D40AF6"/>
    <w:rsid w:val="00D6507D"/>
    <w:rsid w:val="00D66E8F"/>
    <w:rsid w:val="00D7021C"/>
    <w:rsid w:val="00D743AA"/>
    <w:rsid w:val="00D760CD"/>
    <w:rsid w:val="00D778A2"/>
    <w:rsid w:val="00D816C7"/>
    <w:rsid w:val="00D85338"/>
    <w:rsid w:val="00D86066"/>
    <w:rsid w:val="00D94E95"/>
    <w:rsid w:val="00D9761F"/>
    <w:rsid w:val="00DA1951"/>
    <w:rsid w:val="00DB4638"/>
    <w:rsid w:val="00DB4EDC"/>
    <w:rsid w:val="00DC46F2"/>
    <w:rsid w:val="00DD543D"/>
    <w:rsid w:val="00DE5686"/>
    <w:rsid w:val="00DF6768"/>
    <w:rsid w:val="00E013BE"/>
    <w:rsid w:val="00E01972"/>
    <w:rsid w:val="00E033DB"/>
    <w:rsid w:val="00E060CC"/>
    <w:rsid w:val="00E177B1"/>
    <w:rsid w:val="00E21550"/>
    <w:rsid w:val="00E31349"/>
    <w:rsid w:val="00E3290D"/>
    <w:rsid w:val="00E4241F"/>
    <w:rsid w:val="00E60D88"/>
    <w:rsid w:val="00E6250C"/>
    <w:rsid w:val="00E73CBE"/>
    <w:rsid w:val="00E7423A"/>
    <w:rsid w:val="00E749D0"/>
    <w:rsid w:val="00E8204A"/>
    <w:rsid w:val="00E825A8"/>
    <w:rsid w:val="00E83166"/>
    <w:rsid w:val="00E86BD5"/>
    <w:rsid w:val="00E97E55"/>
    <w:rsid w:val="00EA5221"/>
    <w:rsid w:val="00EB311C"/>
    <w:rsid w:val="00EB486D"/>
    <w:rsid w:val="00EB7A83"/>
    <w:rsid w:val="00EB7AF9"/>
    <w:rsid w:val="00EC5AC3"/>
    <w:rsid w:val="00ED08FA"/>
    <w:rsid w:val="00ED10A4"/>
    <w:rsid w:val="00EE04D3"/>
    <w:rsid w:val="00EE6F7A"/>
    <w:rsid w:val="00EE7230"/>
    <w:rsid w:val="00EF245A"/>
    <w:rsid w:val="00EF32BA"/>
    <w:rsid w:val="00EF58D3"/>
    <w:rsid w:val="00EF7C19"/>
    <w:rsid w:val="00F0354C"/>
    <w:rsid w:val="00F038A8"/>
    <w:rsid w:val="00F24CD4"/>
    <w:rsid w:val="00F26525"/>
    <w:rsid w:val="00F2693C"/>
    <w:rsid w:val="00F32E57"/>
    <w:rsid w:val="00F376FA"/>
    <w:rsid w:val="00F506C5"/>
    <w:rsid w:val="00F5121C"/>
    <w:rsid w:val="00F56796"/>
    <w:rsid w:val="00F622FC"/>
    <w:rsid w:val="00F64D0A"/>
    <w:rsid w:val="00F660F3"/>
    <w:rsid w:val="00F66553"/>
    <w:rsid w:val="00F7123D"/>
    <w:rsid w:val="00F847C4"/>
    <w:rsid w:val="00F920C5"/>
    <w:rsid w:val="00F92939"/>
    <w:rsid w:val="00FB01E5"/>
    <w:rsid w:val="00FB13A6"/>
    <w:rsid w:val="00FF1190"/>
    <w:rsid w:val="00FF2DFF"/>
    <w:rsid w:val="04E02436"/>
    <w:rsid w:val="05BC60AE"/>
    <w:rsid w:val="0DE26D17"/>
    <w:rsid w:val="0E063886"/>
    <w:rsid w:val="10211F5F"/>
    <w:rsid w:val="12723BED"/>
    <w:rsid w:val="133522B8"/>
    <w:rsid w:val="164B0622"/>
    <w:rsid w:val="168626AD"/>
    <w:rsid w:val="16A36DBB"/>
    <w:rsid w:val="174129B6"/>
    <w:rsid w:val="18BA4890"/>
    <w:rsid w:val="19CF0419"/>
    <w:rsid w:val="1D596426"/>
    <w:rsid w:val="1DF16F85"/>
    <w:rsid w:val="218E42BB"/>
    <w:rsid w:val="223B66B3"/>
    <w:rsid w:val="231A6657"/>
    <w:rsid w:val="2501103E"/>
    <w:rsid w:val="26595714"/>
    <w:rsid w:val="274A5831"/>
    <w:rsid w:val="27602591"/>
    <w:rsid w:val="2824363A"/>
    <w:rsid w:val="2A1A38DF"/>
    <w:rsid w:val="2BAB53B1"/>
    <w:rsid w:val="2CA43335"/>
    <w:rsid w:val="2CEA3B3F"/>
    <w:rsid w:val="2F597AE5"/>
    <w:rsid w:val="30874C00"/>
    <w:rsid w:val="30937A49"/>
    <w:rsid w:val="31BA4342"/>
    <w:rsid w:val="34E73E49"/>
    <w:rsid w:val="34F94B2D"/>
    <w:rsid w:val="366D3E7E"/>
    <w:rsid w:val="36F13630"/>
    <w:rsid w:val="38AD3900"/>
    <w:rsid w:val="38B84A32"/>
    <w:rsid w:val="3A2F5896"/>
    <w:rsid w:val="3DCD1A12"/>
    <w:rsid w:val="3E0D055A"/>
    <w:rsid w:val="3E2B558B"/>
    <w:rsid w:val="3FA00970"/>
    <w:rsid w:val="40DC7DD7"/>
    <w:rsid w:val="4169567C"/>
    <w:rsid w:val="42775F1B"/>
    <w:rsid w:val="42BD42D7"/>
    <w:rsid w:val="45D76948"/>
    <w:rsid w:val="470E3017"/>
    <w:rsid w:val="47D45479"/>
    <w:rsid w:val="49957C39"/>
    <w:rsid w:val="4A752E83"/>
    <w:rsid w:val="4DD8481B"/>
    <w:rsid w:val="4E102281"/>
    <w:rsid w:val="4F876573"/>
    <w:rsid w:val="50BC3801"/>
    <w:rsid w:val="5191235B"/>
    <w:rsid w:val="54352A41"/>
    <w:rsid w:val="546A5F7B"/>
    <w:rsid w:val="5915074C"/>
    <w:rsid w:val="5D460C01"/>
    <w:rsid w:val="5F0279C4"/>
    <w:rsid w:val="5F211443"/>
    <w:rsid w:val="5F622211"/>
    <w:rsid w:val="60A423CA"/>
    <w:rsid w:val="61B13238"/>
    <w:rsid w:val="64041AE8"/>
    <w:rsid w:val="65CC2D90"/>
    <w:rsid w:val="67DD1BCA"/>
    <w:rsid w:val="6A202D2A"/>
    <w:rsid w:val="6AEB4674"/>
    <w:rsid w:val="6B161FBD"/>
    <w:rsid w:val="6BB81B36"/>
    <w:rsid w:val="6C4910B5"/>
    <w:rsid w:val="704C6740"/>
    <w:rsid w:val="71131AD9"/>
    <w:rsid w:val="71CD06D1"/>
    <w:rsid w:val="7B5A2D65"/>
    <w:rsid w:val="7CED3003"/>
    <w:rsid w:val="7E873253"/>
    <w:rsid w:val="7FF2491D"/>
  </w:rsids>
  <w:docVars>
    <w:docVar w:name="commondata" w:val="eyJoZGlkIjoiMzJjODllZDJhOTA0OTgzNDIyNjBlODBjYjgxZGI2OTI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qFormat="1"/>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10" w:unhideWhenUsed="0" w:qFormat="1"/>
    <w:lsdException w:name="Closing" w:semiHidden="0" w:uiPriority="0" w:unhideWhenUsed="0"/>
    <w:lsdException w:name="Signature" w:semiHidden="0" w:uiPriority="0" w:unhideWhenUsed="0"/>
    <w:lsdException w:name="Default Paragraph Font" w:semiHidden="0" w:uiPriority="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qFormat="1"/>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2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39" w:unhideWhenUsed="0" w:qFormat="1"/>
    <w:lsdException w:name="Table Theme" w:semiHidden="0"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paragraph" w:styleId="Heading1">
    <w:name w:val="heading 1"/>
    <w:basedOn w:val="Normal"/>
    <w:next w:val="Normal"/>
    <w:link w:val="1"/>
    <w:uiPriority w:val="1"/>
    <w:qFormat/>
    <w:pPr>
      <w:autoSpaceDE w:val="0"/>
      <w:autoSpaceDN w:val="0"/>
      <w:ind w:left="142"/>
      <w:jc w:val="left"/>
      <w:outlineLvl w:val="0"/>
    </w:pPr>
    <w:rPr>
      <w:rFonts w:eastAsia="Times New Roman"/>
      <w:b/>
      <w:bCs/>
      <w:kern w:val="0"/>
      <w:szCs w:val="21"/>
      <w:lang w:val="zh-CN" w:bidi="zh-CN"/>
    </w:rPr>
  </w:style>
  <w:style w:type="paragraph" w:styleId="Heading3">
    <w:name w:val="heading 3"/>
    <w:basedOn w:val="Normal"/>
    <w:next w:val="NormalIndent"/>
    <w:link w:val="3"/>
    <w:qFormat/>
    <w:pPr>
      <w:keepNext/>
      <w:keepLines/>
      <w:spacing w:before="260" w:after="260" w:line="416" w:lineRule="auto"/>
      <w:outlineLvl w:val="2"/>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unhideWhenUsed/>
    <w:qFormat/>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customStyle="1" w:styleId="1">
    <w:name w:val="标题 1 字符"/>
    <w:link w:val="Heading1"/>
    <w:uiPriority w:val="1"/>
    <w:rPr>
      <w:rFonts w:eastAsia="Times New Roman"/>
      <w:b/>
      <w:bCs/>
      <w:sz w:val="21"/>
      <w:szCs w:val="21"/>
      <w:lang w:val="zh-CN" w:bidi="zh-CN"/>
    </w:rPr>
  </w:style>
  <w:style w:type="character" w:customStyle="1" w:styleId="3">
    <w:name w:val="标题 3 字符"/>
    <w:link w:val="Heading3"/>
    <w:rPr>
      <w:b/>
      <w:bCs/>
      <w:kern w:val="2"/>
      <w:sz w:val="32"/>
      <w:szCs w:val="32"/>
    </w:rPr>
  </w:style>
  <w:style w:type="paragraph" w:styleId="NormalIndent">
    <w:name w:val="Normal Indent"/>
    <w:basedOn w:val="Normal"/>
    <w:qFormat/>
    <w:pPr>
      <w:ind w:firstLine="420"/>
    </w:pPr>
    <w:rPr>
      <w:szCs w:val="20"/>
    </w:rPr>
  </w:style>
  <w:style w:type="paragraph" w:styleId="ListNumber">
    <w:name w:val="List Number"/>
    <w:basedOn w:val="Normal"/>
    <w:pPr>
      <w:numPr>
        <w:ilvl w:val="0"/>
        <w:numId w:val="1"/>
      </w:numPr>
      <w:tabs>
        <w:tab w:val="left" w:pos="360"/>
      </w:tabs>
    </w:pPr>
  </w:style>
  <w:style w:type="paragraph" w:styleId="BodyText">
    <w:name w:val="Body Text"/>
    <w:basedOn w:val="Normal"/>
    <w:link w:val="a"/>
    <w:uiPriority w:val="1"/>
    <w:qFormat/>
    <w:pPr>
      <w:autoSpaceDE w:val="0"/>
      <w:autoSpaceDN w:val="0"/>
      <w:ind w:left="142"/>
      <w:jc w:val="left"/>
    </w:pPr>
    <w:rPr>
      <w:rFonts w:eastAsia="Times New Roman"/>
      <w:kern w:val="0"/>
      <w:szCs w:val="21"/>
      <w:lang w:val="zh-CN" w:bidi="zh-CN"/>
    </w:rPr>
  </w:style>
  <w:style w:type="character" w:customStyle="1" w:styleId="a">
    <w:name w:val="正文文本 字符"/>
    <w:link w:val="BodyText"/>
    <w:uiPriority w:val="1"/>
    <w:rPr>
      <w:rFonts w:eastAsia="Times New Roman"/>
      <w:sz w:val="21"/>
      <w:szCs w:val="21"/>
      <w:lang w:val="zh-CN" w:bidi="zh-CN"/>
    </w:rPr>
  </w:style>
  <w:style w:type="paragraph" w:styleId="BodyTextIndent">
    <w:name w:val="Body Text Indent"/>
    <w:basedOn w:val="Normal"/>
    <w:link w:val="a0"/>
    <w:pPr>
      <w:spacing w:after="120"/>
      <w:ind w:left="420" w:leftChars="200"/>
    </w:pPr>
  </w:style>
  <w:style w:type="character" w:customStyle="1" w:styleId="a0">
    <w:name w:val="正文文本缩进 字符"/>
    <w:link w:val="BodyTextIndent"/>
    <w:rPr>
      <w:kern w:val="2"/>
      <w:sz w:val="21"/>
      <w:szCs w:val="24"/>
    </w:rPr>
  </w:style>
  <w:style w:type="paragraph" w:styleId="BlockText">
    <w:name w:val="Block Text"/>
    <w:basedOn w:val="Normal"/>
    <w:uiPriority w:val="99"/>
    <w:unhideWhenUsed/>
    <w:qFormat/>
    <w:pPr>
      <w:spacing w:after="120"/>
      <w:ind w:left="1440" w:right="1440" w:leftChars="700" w:rightChars="700"/>
    </w:pPr>
  </w:style>
  <w:style w:type="paragraph" w:styleId="TOC5">
    <w:name w:val="toc 5"/>
    <w:basedOn w:val="Normal"/>
    <w:next w:val="Normal"/>
    <w:qFormat/>
    <w:pPr>
      <w:wordWrap w:val="0"/>
      <w:spacing w:after="200" w:line="276" w:lineRule="auto"/>
      <w:ind w:left="1275"/>
      <w:jc w:val="both"/>
    </w:pPr>
    <w:rPr>
      <w:rFonts w:ascii="宋体" w:eastAsia="Times New Roman" w:hAnsi="宋体" w:cs="Times New Roman"/>
      <w:lang w:val="en-US" w:eastAsia="zh-CN" w:bidi="ar-SA"/>
    </w:rPr>
  </w:style>
  <w:style w:type="paragraph" w:styleId="PlainText">
    <w:name w:val="Plain Text"/>
    <w:basedOn w:val="Normal"/>
    <w:link w:val="a1"/>
    <w:qFormat/>
    <w:rPr>
      <w:rFonts w:ascii="宋体" w:hAnsi="Courier New" w:cs="Courier New"/>
      <w:szCs w:val="21"/>
    </w:rPr>
  </w:style>
  <w:style w:type="character" w:customStyle="1" w:styleId="a1">
    <w:name w:val="纯文本 字符"/>
    <w:link w:val="PlainText"/>
    <w:qFormat/>
    <w:rPr>
      <w:rFonts w:ascii="宋体" w:hAnsi="Courier New" w:cs="Courier New"/>
      <w:kern w:val="2"/>
      <w:sz w:val="21"/>
      <w:szCs w:val="21"/>
    </w:rPr>
  </w:style>
  <w:style w:type="paragraph" w:styleId="BalloonText">
    <w:name w:val="Balloon Text"/>
    <w:basedOn w:val="Normal"/>
    <w:link w:val="a2"/>
    <w:rPr>
      <w:sz w:val="18"/>
      <w:szCs w:val="18"/>
    </w:rPr>
  </w:style>
  <w:style w:type="character" w:customStyle="1" w:styleId="a2">
    <w:name w:val="批注框文本 字符"/>
    <w:link w:val="BalloonText"/>
    <w:rPr>
      <w:kern w:val="2"/>
      <w:sz w:val="18"/>
      <w:szCs w:val="18"/>
    </w:rPr>
  </w:style>
  <w:style w:type="paragraph" w:styleId="Footer">
    <w:name w:val="footer"/>
    <w:basedOn w:val="Normal"/>
    <w:link w:val="Char"/>
    <w:uiPriority w:val="99"/>
    <w:pPr>
      <w:tabs>
        <w:tab w:val="center" w:pos="4153"/>
        <w:tab w:val="right" w:pos="8306"/>
      </w:tabs>
      <w:snapToGrid w:val="0"/>
      <w:jc w:val="left"/>
    </w:pPr>
    <w:rPr>
      <w:sz w:val="18"/>
      <w:szCs w:val="18"/>
    </w:rPr>
  </w:style>
  <w:style w:type="character" w:customStyle="1" w:styleId="Char">
    <w:name w:val="页脚 Char"/>
    <w:link w:val="Footer"/>
    <w:rPr>
      <w:kern w:val="2"/>
      <w:sz w:val="18"/>
      <w:szCs w:val="18"/>
    </w:rPr>
  </w:style>
  <w:style w:type="paragraph" w:styleId="Header">
    <w:name w:val="header"/>
    <w:basedOn w:val="Normal"/>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Header"/>
    <w:rPr>
      <w:kern w:val="2"/>
      <w:sz w:val="18"/>
      <w:szCs w:val="18"/>
    </w:rPr>
  </w:style>
  <w:style w:type="paragraph" w:styleId="HTMLPreformatted">
    <w:name w:val="HTML Preformatted"/>
    <w:basedOn w:val="Normal"/>
    <w:link w:val="HTML"/>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
    <w:name w:val="HTML 预设格式 字符"/>
    <w:link w:val="HTMLPreformatted"/>
    <w:uiPriority w:val="99"/>
    <w:rPr>
      <w:rFonts w:ascii="宋体" w:hAnsi="宋体" w:cs="宋体"/>
      <w:sz w:val="24"/>
      <w:szCs w:val="24"/>
    </w:rPr>
  </w:style>
  <w:style w:type="paragraph" w:styleId="NormalWeb">
    <w:name w:val="Normal (Web)"/>
    <w:basedOn w:val="Normal"/>
    <w:link w:val="a3"/>
    <w:unhideWhenUsed/>
    <w:qFormat/>
    <w:pPr>
      <w:widowControl/>
      <w:spacing w:before="100" w:beforeAutospacing="1" w:after="100" w:afterAutospacing="1"/>
      <w:jc w:val="left"/>
    </w:pPr>
    <w:rPr>
      <w:rFonts w:ascii="宋体" w:hAnsi="宋体" w:cs="宋体"/>
      <w:kern w:val="0"/>
      <w:sz w:val="24"/>
    </w:rPr>
  </w:style>
  <w:style w:type="character" w:customStyle="1" w:styleId="a3">
    <w:name w:val="普通(网站) 字符"/>
    <w:link w:val="NormalWeb"/>
    <w:qFormat/>
    <w:rPr>
      <w:rFonts w:ascii="宋体" w:hAnsi="宋体" w:cs="宋体"/>
      <w:sz w:val="24"/>
      <w:szCs w:val="24"/>
    </w:rPr>
  </w:style>
  <w:style w:type="paragraph" w:styleId="Title">
    <w:name w:val="Title"/>
    <w:basedOn w:val="Normal"/>
    <w:next w:val="Normal"/>
    <w:uiPriority w:val="10"/>
    <w:qFormat/>
    <w:pPr>
      <w:spacing w:before="240" w:after="60"/>
      <w:jc w:val="center"/>
      <w:outlineLvl w:val="0"/>
    </w:pPr>
    <w:rPr>
      <w:rFonts w:ascii="Cambria" w:eastAsia="宋体" w:hAnsi="Cambria" w:cs="Times New Roman"/>
      <w:b/>
      <w:bCs/>
      <w:sz w:val="32"/>
      <w:szCs w:val="32"/>
    </w:rPr>
  </w:style>
  <w:style w:type="paragraph" w:styleId="BodyTextFirstIndent2">
    <w:name w:val="Body Text First Indent 2"/>
    <w:basedOn w:val="BodyTextIndent"/>
    <w:link w:val="2"/>
    <w:pPr>
      <w:ind w:firstLine="420" w:firstLineChars="200"/>
    </w:pPr>
  </w:style>
  <w:style w:type="character" w:customStyle="1" w:styleId="2">
    <w:name w:val="正文文本首行缩进 2 字符"/>
    <w:link w:val="BodyTextFirstIndent2"/>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bCs/>
    </w:rPr>
  </w:style>
  <w:style w:type="character" w:styleId="Emphasis">
    <w:name w:val="Emphasis"/>
    <w:uiPriority w:val="20"/>
    <w:qFormat/>
    <w:rPr>
      <w:i/>
    </w:rPr>
  </w:style>
  <w:style w:type="character" w:customStyle="1" w:styleId="a4">
    <w:name w:val="页脚 字符"/>
    <w:link w:val="Footer"/>
    <w:rPr>
      <w:rFonts w:ascii="宋体" w:eastAsia="宋体" w:hAnsi="宋体" w:cs="宋体" w:hint="eastAsia"/>
      <w:sz w:val="18"/>
      <w:szCs w:val="18"/>
    </w:rPr>
  </w:style>
  <w:style w:type="character" w:customStyle="1" w:styleId="a5">
    <w:name w:val="页眉 字符"/>
    <w:link w:val="Header"/>
    <w:rPr>
      <w:rFonts w:ascii="宋体" w:eastAsia="宋体" w:hAnsi="宋体" w:cs="宋体" w:hint="eastAsia"/>
      <w:sz w:val="18"/>
      <w:szCs w:val="18"/>
    </w:rPr>
  </w:style>
  <w:style w:type="paragraph" w:styleId="NoSpacing">
    <w:name w:val="No Spacing"/>
    <w:basedOn w:val="Normal"/>
    <w:uiPriority w:val="1"/>
    <w:qFormat/>
    <w:pPr>
      <w:widowControl w:val="0"/>
      <w:jc w:val="both"/>
    </w:pPr>
    <w:rPr>
      <w:kern w:val="2"/>
      <w:sz w:val="21"/>
      <w:szCs w:val="24"/>
      <w:lang w:val="en-US" w:eastAsia="zh-CN" w:bidi="ar-SA"/>
    </w:rPr>
  </w:style>
  <w:style w:type="paragraph" w:customStyle="1" w:styleId="10">
    <w:name w:val="样式1"/>
    <w:basedOn w:val="Normal"/>
    <w:qFormat/>
    <w:pPr>
      <w:spacing w:line="360" w:lineRule="auto"/>
      <w:ind w:firstLine="422" w:firstLineChars="200"/>
    </w:p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Verdana" w:hAnsi="Verdana"/>
      <w:kern w:val="0"/>
      <w:szCs w:val="20"/>
      <w:lang w:eastAsia="en-US"/>
    </w:rPr>
  </w:style>
  <w:style w:type="paragraph" w:customStyle="1" w:styleId="DefaultParagraph">
    <w:name w:val="DefaultParagraph"/>
    <w:link w:val="DefaultParagraphChar"/>
    <w:qFormat/>
    <w:rPr>
      <w:rFonts w:hAnsi="Calibri"/>
      <w:kern w:val="2"/>
      <w:sz w:val="21"/>
      <w:szCs w:val="22"/>
      <w:lang w:val="en-US" w:eastAsia="zh-CN" w:bidi="ar-SA"/>
    </w:rPr>
  </w:style>
  <w:style w:type="character" w:customStyle="1" w:styleId="DefaultParagraphChar">
    <w:name w:val="DefaultParagraph Char"/>
    <w:link w:val="DefaultParagraph"/>
    <w:rPr>
      <w:rFonts w:hAnsi="Calibri"/>
      <w:kern w:val="2"/>
      <w:sz w:val="21"/>
      <w:szCs w:val="22"/>
      <w:lang w:bidi="ar-SA"/>
    </w:rPr>
  </w:style>
  <w:style w:type="character" w:customStyle="1" w:styleId="apple-converted-space">
    <w:name w:val="apple-converted-space"/>
    <w:qFormat/>
  </w:style>
  <w:style w:type="character" w:customStyle="1" w:styleId="op-item-nut">
    <w:name w:val="op-item-nut"/>
  </w:style>
  <w:style w:type="character" w:customStyle="1" w:styleId="op-item-meat">
    <w:name w:val="op-item-meat"/>
  </w:style>
  <w:style w:type="paragraph" w:customStyle="1" w:styleId="Normal1">
    <w:name w:val="Normal1"/>
    <w:uiPriority w:val="99"/>
    <w:pPr>
      <w:adjustRightInd w:val="0"/>
      <w:snapToGrid w:val="0"/>
      <w:spacing w:after="200"/>
    </w:pPr>
    <w:rPr>
      <w:rFonts w:ascii="Tahoma" w:eastAsia="微软雅黑" w:hAnsi="Tahoma"/>
      <w:sz w:val="22"/>
      <w:szCs w:val="22"/>
      <w:lang w:val="en-US" w:eastAsia="zh-CN" w:bidi="ar-SA"/>
    </w:rPr>
  </w:style>
  <w:style w:type="character" w:styleId="SubtleEmphasis">
    <w:name w:val="Subtle Emphasis"/>
    <w:uiPriority w:val="19"/>
    <w:qFormat/>
    <w:rPr>
      <w:i/>
      <w:iCs/>
      <w:color w:val="808080"/>
    </w:rPr>
  </w:style>
  <w:style w:type="paragraph" w:customStyle="1" w:styleId="Normal10">
    <w:name w:val="Normal_1"/>
    <w:qFormat/>
    <w:pPr>
      <w:widowControl w:val="0"/>
      <w:jc w:val="both"/>
    </w:pPr>
    <w:rPr>
      <w:rFonts w:ascii="Calibri" w:hAnsi="Calibri"/>
      <w:kern w:val="2"/>
      <w:sz w:val="21"/>
      <w:szCs w:val="22"/>
      <w:lang w:val="en-US" w:eastAsia="zh-CN" w:bidi="ar-SA"/>
    </w:rPr>
  </w:style>
  <w:style w:type="character" w:customStyle="1" w:styleId="qb-content">
    <w:name w:val="qb-content"/>
    <w:qFormat/>
  </w:style>
  <w:style w:type="paragraph" w:customStyle="1" w:styleId="0">
    <w:name w:val="正文_0"/>
    <w:link w:val="0Char"/>
    <w:qFormat/>
    <w:pPr>
      <w:widowControl w:val="0"/>
      <w:jc w:val="both"/>
    </w:pPr>
    <w:rPr>
      <w:kern w:val="2"/>
      <w:sz w:val="21"/>
      <w:lang w:val="en-US" w:eastAsia="zh-CN" w:bidi="ar-SA"/>
    </w:rPr>
  </w:style>
  <w:style w:type="character" w:customStyle="1" w:styleId="0Char">
    <w:name w:val="正文_0 Char"/>
    <w:link w:val="0"/>
    <w:rPr>
      <w:kern w:val="2"/>
      <w:sz w:val="21"/>
      <w:lang w:bidi="ar-SA"/>
    </w:rPr>
  </w:style>
  <w:style w:type="paragraph" w:customStyle="1" w:styleId="a6">
    <w:name w:val="试卷标题"/>
    <w:basedOn w:val="Normal"/>
    <w:link w:val="Char1"/>
    <w:qFormat/>
    <w:pPr>
      <w:adjustRightInd w:val="0"/>
      <w:snapToGrid w:val="0"/>
      <w:spacing w:line="312" w:lineRule="auto"/>
      <w:jc w:val="left"/>
    </w:pPr>
    <w:rPr>
      <w:rFonts w:eastAsia="黑体"/>
      <w:spacing w:val="10"/>
      <w:sz w:val="44"/>
      <w:szCs w:val="22"/>
    </w:rPr>
  </w:style>
  <w:style w:type="character" w:customStyle="1" w:styleId="Char1">
    <w:name w:val="试卷标题 Char"/>
    <w:link w:val="a6"/>
    <w:rPr>
      <w:rFonts w:eastAsia="黑体"/>
      <w:spacing w:val="10"/>
      <w:kern w:val="2"/>
      <w:sz w:val="44"/>
      <w:szCs w:val="22"/>
    </w:rPr>
  </w:style>
  <w:style w:type="paragraph" w:customStyle="1" w:styleId="Normal0">
    <w:name w:val="Normal_0"/>
    <w:qFormat/>
    <w:rPr>
      <w:rFonts w:eastAsia="Times New Roman"/>
      <w:sz w:val="24"/>
      <w:szCs w:val="24"/>
      <w:lang w:val="en-US" w:eastAsia="zh-CN" w:bidi="ar-SA"/>
    </w:rPr>
  </w:style>
  <w:style w:type="paragraph" w:customStyle="1" w:styleId="11">
    <w:name w:val="正文1"/>
    <w:qFormat/>
    <w:pPr>
      <w:widowControl w:val="0"/>
      <w:jc w:val="both"/>
    </w:pPr>
    <w:rPr>
      <w:rFonts w:ascii="Calibri" w:hAnsi="Calibri" w:hint="eastAsia"/>
      <w:kern w:val="2"/>
      <w:sz w:val="21"/>
      <w:szCs w:val="24"/>
      <w:lang w:val="en-US" w:eastAsia="zh-CN" w:bidi="ar-SA"/>
    </w:rPr>
  </w:style>
  <w:style w:type="paragraph" w:customStyle="1" w:styleId="p0">
    <w:name w:val="p0"/>
    <w:basedOn w:val="Normal"/>
    <w:qFormat/>
    <w:pPr>
      <w:widowControl/>
    </w:pPr>
    <w:rPr>
      <w:rFonts w:ascii="Calibri" w:hAnsi="Calibri" w:cs="宋体"/>
      <w:kern w:val="0"/>
      <w:szCs w:val="21"/>
    </w:rPr>
  </w:style>
  <w:style w:type="paragraph" w:customStyle="1" w:styleId="opminipoetryshort">
    <w:name w:val="op_mini_poetry_short"/>
    <w:basedOn w:val="Normal"/>
    <w:pPr>
      <w:widowControl/>
      <w:jc w:val="left"/>
    </w:pPr>
    <w:rPr>
      <w:rFonts w:ascii="宋体" w:hAnsi="宋体" w:cs="宋体"/>
      <w:kern w:val="0"/>
      <w:sz w:val="24"/>
    </w:rPr>
  </w:style>
  <w:style w:type="paragraph" w:customStyle="1" w:styleId="12">
    <w:name w:val="列出段落1"/>
    <w:basedOn w:val="Normal"/>
    <w:uiPriority w:val="34"/>
    <w:qFormat/>
    <w:pPr>
      <w:widowControl/>
      <w:adjustRightInd w:val="0"/>
      <w:snapToGrid w:val="0"/>
      <w:spacing w:after="200"/>
      <w:ind w:firstLine="420" w:firstLineChars="200"/>
      <w:jc w:val="left"/>
    </w:pPr>
    <w:rPr>
      <w:rFonts w:ascii="Tahoma" w:eastAsia="微软雅黑" w:hAnsi="Tahoma"/>
      <w:kern w:val="0"/>
      <w:sz w:val="22"/>
      <w:szCs w:val="22"/>
    </w:rPr>
  </w:style>
  <w:style w:type="paragraph" w:styleId="ListParagraph">
    <w:name w:val="List Paragraph"/>
    <w:basedOn w:val="Normal"/>
    <w:uiPriority w:val="1"/>
    <w:qFormat/>
    <w:pPr>
      <w:ind w:firstLine="420" w:firstLineChars="200"/>
    </w:pPr>
    <w:rPr>
      <w:rFonts w:ascii="Calibri" w:hAnsi="Calibri"/>
      <w:szCs w:val="22"/>
    </w:rPr>
  </w:style>
  <w:style w:type="paragraph" w:customStyle="1" w:styleId="ListParagraph0">
    <w:name w:val="List Paragraph_0"/>
    <w:basedOn w:val="Normal"/>
    <w:qFormat/>
    <w:pPr>
      <w:ind w:firstLine="420" w:firstLineChars="200"/>
    </w:pPr>
    <w:rPr>
      <w:rFonts w:ascii="Calibri" w:hAnsi="Calibri"/>
    </w:rPr>
  </w:style>
  <w:style w:type="paragraph" w:customStyle="1" w:styleId="ListParagraph1">
    <w:name w:val="List Paragraph1"/>
    <w:basedOn w:val="Normal"/>
    <w:pPr>
      <w:ind w:firstLine="420" w:firstLineChars="200"/>
    </w:pPr>
    <w:rPr>
      <w:rFonts w:ascii="Calibri" w:hAnsi="Calibri" w:cs="Calibri"/>
      <w:szCs w:val="21"/>
    </w:rPr>
  </w:style>
  <w:style w:type="paragraph" w:customStyle="1" w:styleId="00">
    <w:name w:val="普通(网站)_0"/>
    <w:basedOn w:val="0"/>
    <w:uiPriority w:val="99"/>
    <w:qFormat/>
    <w:pPr>
      <w:spacing w:beforeAutospacing="1" w:afterAutospacing="1"/>
      <w:jc w:val="left"/>
    </w:pPr>
    <w:rPr>
      <w:rFonts w:ascii="Calibri" w:hAnsi="Calibri"/>
      <w:kern w:val="0"/>
      <w:sz w:val="24"/>
      <w:szCs w:val="22"/>
    </w:rPr>
  </w:style>
  <w:style w:type="character" w:customStyle="1" w:styleId="100">
    <w:name w:val="正文文本 (10)_"/>
    <w:link w:val="101"/>
    <w:rPr>
      <w:rFonts w:eastAsia="Times New Roman"/>
      <w:shd w:val="clear" w:color="auto" w:fill="FFFFFF"/>
    </w:rPr>
  </w:style>
  <w:style w:type="paragraph" w:customStyle="1" w:styleId="101">
    <w:name w:val="正文文本 (10)"/>
    <w:basedOn w:val="Normal"/>
    <w:link w:val="100"/>
    <w:pPr>
      <w:shd w:val="clear" w:color="auto" w:fill="FFFFFF"/>
      <w:spacing w:after="180"/>
      <w:ind w:firstLine="160"/>
      <w:jc w:val="left"/>
    </w:pPr>
    <w:rPr>
      <w:rFonts w:eastAsia="Times New Roman"/>
      <w:kern w:val="0"/>
      <w:sz w:val="20"/>
      <w:szCs w:val="20"/>
    </w:rPr>
  </w:style>
  <w:style w:type="character" w:customStyle="1" w:styleId="7">
    <w:name w:val="正文文本 (7)"/>
    <w:rPr>
      <w:shd w:val="clear" w:color="auto" w:fill="FFFFFF"/>
    </w:rPr>
  </w:style>
  <w:style w:type="character" w:customStyle="1" w:styleId="20">
    <w:name w:val="正文文本 (2)_"/>
    <w:link w:val="21"/>
    <w:rPr>
      <w:rFonts w:ascii="MingLiU" w:eastAsia="MingLiU" w:hAnsi="MingLiU" w:cs="MingLiU"/>
      <w:shd w:val="clear" w:color="auto" w:fill="FFFFFF"/>
      <w:lang w:val="zh-CN" w:bidi="zh-CN"/>
    </w:rPr>
  </w:style>
  <w:style w:type="paragraph" w:customStyle="1" w:styleId="21">
    <w:name w:val="正文文本 (2)"/>
    <w:basedOn w:val="Normal"/>
    <w:link w:val="20"/>
    <w:pPr>
      <w:shd w:val="clear" w:color="auto" w:fill="FFFFFF"/>
      <w:spacing w:line="266" w:lineRule="exact"/>
      <w:ind w:firstLine="440"/>
      <w:jc w:val="left"/>
    </w:pPr>
    <w:rPr>
      <w:rFonts w:ascii="MingLiU" w:eastAsia="MingLiU" w:hAnsi="MingLiU" w:cs="MingLiU"/>
      <w:kern w:val="0"/>
      <w:sz w:val="20"/>
      <w:szCs w:val="20"/>
      <w:lang w:val="zh-CN" w:bidi="zh-CN"/>
    </w:rPr>
  </w:style>
  <w:style w:type="character" w:customStyle="1" w:styleId="a7">
    <w:name w:val="正文文本_"/>
    <w:link w:val="13"/>
    <w:rPr>
      <w:sz w:val="19"/>
      <w:szCs w:val="19"/>
      <w:shd w:val="clear" w:color="auto" w:fill="FFFFFF"/>
    </w:rPr>
  </w:style>
  <w:style w:type="paragraph" w:customStyle="1" w:styleId="13">
    <w:name w:val="正文文本1"/>
    <w:basedOn w:val="Normal"/>
    <w:link w:val="a7"/>
    <w:pPr>
      <w:shd w:val="clear" w:color="auto" w:fill="FFFFFF"/>
      <w:spacing w:line="293" w:lineRule="auto"/>
      <w:ind w:firstLine="340"/>
      <w:jc w:val="left"/>
    </w:pPr>
    <w:rPr>
      <w:kern w:val="0"/>
      <w:sz w:val="19"/>
      <w:szCs w:val="19"/>
    </w:rPr>
  </w:style>
  <w:style w:type="paragraph" w:customStyle="1" w:styleId="000">
    <w:name w:val="正文_0_0"/>
    <w:qFormat/>
    <w:pPr>
      <w:widowControl w:val="0"/>
      <w:spacing w:after="200" w:line="276" w:lineRule="auto"/>
      <w:jc w:val="both"/>
    </w:pPr>
    <w:rPr>
      <w:rFonts w:ascii="Calibri" w:hAnsi="Calibri"/>
      <w:kern w:val="2"/>
      <w:sz w:val="21"/>
      <w:szCs w:val="22"/>
      <w:lang w:val="en-US" w:eastAsia="zh-CN" w:bidi="ar-SA"/>
    </w:rPr>
  </w:style>
  <w:style w:type="paragraph" w:customStyle="1" w:styleId="a8">
    <w:name w:val="[基本段落]"/>
    <w:basedOn w:val="Normal0"/>
    <w:qFormat/>
    <w:pPr>
      <w:widowControl w:val="0"/>
      <w:autoSpaceDE w:val="0"/>
      <w:autoSpaceDN w:val="0"/>
      <w:adjustRightInd w:val="0"/>
      <w:spacing w:line="288" w:lineRule="auto"/>
      <w:jc w:val="both"/>
      <w:textAlignment w:val="center"/>
    </w:pPr>
    <w:rPr>
      <w:rFonts w:ascii="宋体" w:eastAsia="宋体" w:cs="宋体"/>
      <w:color w:val="000000"/>
    </w:rPr>
  </w:style>
  <w:style w:type="paragraph" w:customStyle="1" w:styleId="Normal015">
    <w:name w:val="Normal_0_15"/>
    <w:qFormat/>
    <w:rPr>
      <w:rFonts w:eastAsia="Times New Roman"/>
      <w:sz w:val="24"/>
      <w:szCs w:val="24"/>
      <w:lang w:val="en-US" w:eastAsia="zh-CN" w:bidi="ar-SA"/>
    </w:rPr>
  </w:style>
  <w:style w:type="paragraph" w:customStyle="1" w:styleId="Normal050">
    <w:name w:val="Normal_0_50"/>
    <w:qFormat/>
    <w:rPr>
      <w:rFonts w:eastAsia="Times New Roman"/>
      <w:sz w:val="24"/>
      <w:szCs w:val="24"/>
      <w:lang w:val="en-US" w:eastAsia="zh-CN" w:bidi="ar-SA"/>
    </w:rPr>
  </w:style>
  <w:style w:type="table" w:customStyle="1" w:styleId="TableNormal0">
    <w:name w:val="Table Normal_0"/>
    <w:uiPriority w:val="2"/>
    <w:unhideWhenUsed/>
    <w:qFormat/>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TableParagraph">
    <w:name w:val="Table Paragraph"/>
    <w:basedOn w:val="Normal"/>
    <w:uiPriority w:val="1"/>
    <w:qFormat/>
    <w:pPr>
      <w:autoSpaceDE w:val="0"/>
      <w:autoSpaceDN w:val="0"/>
      <w:spacing w:before="55"/>
      <w:ind w:left="50"/>
      <w:jc w:val="left"/>
    </w:pPr>
    <w:rPr>
      <w:rFonts w:eastAsia="Times New Roman"/>
      <w:kern w:val="0"/>
      <w:sz w:val="22"/>
      <w:szCs w:val="22"/>
      <w:lang w:eastAsia="en-US" w:bidi="en-US"/>
    </w:rPr>
  </w:style>
  <w:style w:type="paragraph" w:customStyle="1" w:styleId="01">
    <w:name w:val="纯文本_0"/>
    <w:basedOn w:val="0"/>
    <w:qFormat/>
    <w:rPr>
      <w:rFonts w:ascii="宋体" w:hAnsi="Courier New" w:cs="Courier New"/>
      <w:szCs w:val="21"/>
    </w:rPr>
  </w:style>
  <w:style w:type="paragraph" w:customStyle="1" w:styleId="Char3">
    <w:name w:val=" Char3"/>
    <w:basedOn w:val="Normal"/>
    <w:qFormat/>
    <w:pPr>
      <w:widowControl/>
      <w:spacing w:line="300" w:lineRule="auto"/>
      <w:ind w:firstLine="200" w:firstLineChars="200"/>
    </w:pPr>
    <w:rPr>
      <w:szCs w:val="20"/>
    </w:rPr>
  </w:style>
  <w:style w:type="paragraph" w:customStyle="1" w:styleId="p1">
    <w:name w:val="p1"/>
    <w:basedOn w:val="0"/>
    <w:qFormat/>
    <w:pPr>
      <w:widowControl/>
      <w:spacing w:before="100" w:beforeAutospacing="1" w:after="100" w:afterAutospacing="1"/>
      <w:jc w:val="left"/>
    </w:pPr>
    <w:rPr>
      <w:rFonts w:ascii="宋体" w:hAnsi="宋体" w:cs="宋体"/>
      <w:kern w:val="0"/>
      <w:sz w:val="24"/>
      <w:szCs w:val="24"/>
    </w:rPr>
  </w:style>
  <w:style w:type="paragraph" w:customStyle="1" w:styleId="Heading2">
    <w:name w:val="Heading 2"/>
    <w:basedOn w:val="Normal"/>
    <w:uiPriority w:val="1"/>
    <w:qFormat/>
    <w:pPr>
      <w:spacing w:after="200" w:line="276" w:lineRule="auto"/>
      <w:ind w:left="6"/>
      <w:jc w:val="left"/>
      <w:outlineLvl w:val="2"/>
    </w:pPr>
    <w:rPr>
      <w:rFonts w:eastAsia="Times New Roman" w:cs="Times New Roman"/>
      <w:b/>
      <w:bCs/>
      <w:kern w:val="0"/>
      <w:szCs w:val="21"/>
      <w:lang w:eastAsia="en-US"/>
    </w:rPr>
  </w:style>
  <w:style w:type="paragraph" w:customStyle="1" w:styleId="22">
    <w:name w:val="正文2"/>
    <w:qFormat/>
    <w:pPr>
      <w:widowControl w:val="0"/>
      <w:jc w:val="both"/>
    </w:pPr>
    <w:rPr>
      <w:rFonts w:ascii="Calibri" w:hAnsi="Calibri" w:cs="Calibri"/>
      <w:color w:val="000000"/>
      <w:sz w:val="21"/>
      <w:szCs w:val="24"/>
      <w:lang w:val="en-US" w:eastAsia="zh-CN" w:bidi="ar-SA"/>
    </w:rPr>
  </w:style>
  <w:style w:type="paragraph" w:customStyle="1" w:styleId="Normal00">
    <w:name w:val="Normal_0_0"/>
    <w:qFormat/>
    <w:rPr>
      <w:rFonts w:eastAsia="Times New Roman"/>
      <w:sz w:val="24"/>
      <w:szCs w:val="24"/>
      <w:lang w:val="en-US" w:eastAsia="zh-CN" w:bidi="ar-SA"/>
    </w:rPr>
  </w:style>
  <w:style w:type="character" w:customStyle="1" w:styleId="02">
    <w:name w:val="要点_0"/>
    <w:qFormat/>
    <w:rPr>
      <w:b/>
      <w:bCs/>
    </w:rPr>
  </w:style>
  <w:style w:type="paragraph" w:customStyle="1" w:styleId="102">
    <w:name w:val="标题 1_0"/>
    <w:basedOn w:val="0"/>
    <w:link w:val="1Char0"/>
    <w:uiPriority w:val="9"/>
    <w:qFormat/>
    <w:pPr>
      <w:widowControl/>
      <w:spacing w:before="100" w:beforeAutospacing="1" w:after="100" w:afterAutospacing="1"/>
      <w:jc w:val="left"/>
      <w:outlineLvl w:val="0"/>
    </w:pPr>
    <w:rPr>
      <w:rFonts w:ascii="宋体" w:hAnsi="宋体"/>
      <w:b/>
      <w:bCs/>
      <w:kern w:val="36"/>
      <w:sz w:val="48"/>
      <w:szCs w:val="48"/>
    </w:rPr>
  </w:style>
  <w:style w:type="character" w:customStyle="1" w:styleId="1Char0">
    <w:name w:val="标题 1 Char_0"/>
    <w:link w:val="102"/>
    <w:uiPriority w:val="9"/>
    <w:rPr>
      <w:rFonts w:ascii="宋体" w:hAnsi="宋体" w:cs="宋体"/>
      <w:b/>
      <w:bCs/>
      <w:kern w:val="36"/>
      <w:sz w:val="48"/>
      <w:szCs w:val="48"/>
    </w:rPr>
  </w:style>
  <w:style w:type="paragraph" w:customStyle="1" w:styleId="Normal09">
    <w:name w:val="Normal_0_9"/>
    <w:qFormat/>
    <w:rPr>
      <w:rFonts w:eastAsia="Times New Roman"/>
      <w:sz w:val="24"/>
      <w:szCs w:val="24"/>
      <w:lang w:val="en-US" w:eastAsia="zh-CN" w:bidi="ar-SA"/>
    </w:rPr>
  </w:style>
  <w:style w:type="paragraph" w:customStyle="1" w:styleId="Normal011">
    <w:name w:val="Normal_0_11"/>
    <w:qFormat/>
    <w:rPr>
      <w:rFonts w:eastAsia="Times New Roman"/>
      <w:sz w:val="24"/>
      <w:szCs w:val="24"/>
      <w:lang w:val="en-US" w:eastAsia="zh-CN" w:bidi="ar-SA"/>
    </w:rPr>
  </w:style>
  <w:style w:type="paragraph" w:customStyle="1" w:styleId="Normal013">
    <w:name w:val="Normal_0_13"/>
    <w:qFormat/>
    <w:rPr>
      <w:rFonts w:eastAsia="Times New Roman"/>
      <w:sz w:val="24"/>
      <w:szCs w:val="24"/>
      <w:lang w:val="en-US" w:eastAsia="zh-CN" w:bidi="ar-SA"/>
    </w:rPr>
  </w:style>
  <w:style w:type="paragraph" w:customStyle="1" w:styleId="Normal01">
    <w:name w:val="Normal_0_1"/>
    <w:qFormat/>
    <w:rPr>
      <w:rFonts w:eastAsia="Times New Roman"/>
      <w:sz w:val="24"/>
      <w:szCs w:val="24"/>
      <w:lang w:val="en-US" w:eastAsia="zh-CN" w:bidi="ar-SA"/>
    </w:rPr>
  </w:style>
  <w:style w:type="paragraph" w:customStyle="1" w:styleId="Normal2">
    <w:name w:val="Normal_2"/>
    <w:qFormat/>
    <w:pPr>
      <w:widowControl w:val="0"/>
      <w:jc w:val="both"/>
    </w:pPr>
    <w:rPr>
      <w:rFonts w:ascii="等线" w:eastAsia="等线" w:hAnsi="等线"/>
      <w:kern w:val="2"/>
      <w:sz w:val="21"/>
      <w:szCs w:val="22"/>
      <w:lang w:val="en-US" w:eastAsia="zh-CN" w:bidi="ar-SA"/>
    </w:rPr>
  </w:style>
  <w:style w:type="character" w:customStyle="1" w:styleId="Bodytext1">
    <w:name w:val="Body text|1_"/>
    <w:link w:val="Bodytext10"/>
    <w:qFormat/>
    <w:rPr>
      <w:rFonts w:ascii="宋体" w:hAnsi="宋体" w:cs="宋体"/>
      <w:lang w:val="zh-TW" w:eastAsia="zh-TW" w:bidi="zh-TW"/>
    </w:rPr>
  </w:style>
  <w:style w:type="paragraph" w:customStyle="1" w:styleId="Bodytext10">
    <w:name w:val="Body text|1"/>
    <w:basedOn w:val="Normal"/>
    <w:link w:val="Bodytext1"/>
    <w:qFormat/>
    <w:pPr>
      <w:spacing w:after="200" w:line="382" w:lineRule="auto"/>
      <w:ind w:firstLine="340"/>
      <w:jc w:val="left"/>
    </w:pPr>
    <w:rPr>
      <w:rFonts w:ascii="宋体" w:hAnsi="宋体" w:cs="宋体"/>
      <w:kern w:val="0"/>
      <w:sz w:val="20"/>
      <w:szCs w:val="20"/>
      <w:lang w:val="zh-TW" w:eastAsia="zh-TW" w:bidi="zh-TW"/>
    </w:rPr>
  </w:style>
  <w:style w:type="character" w:customStyle="1" w:styleId="fontstyle91">
    <w:name w:val="fontstyle91"/>
    <w:rPr>
      <w:rFonts w:ascii="FZSSK--GBK1-0" w:hAnsi="FZSSK--GBK1-0" w:hint="default"/>
      <w:color w:val="000000"/>
      <w:sz w:val="22"/>
      <w:szCs w:val="22"/>
    </w:rPr>
  </w:style>
  <w:style w:type="character" w:customStyle="1" w:styleId="fontstyle61">
    <w:name w:val="fontstyle61"/>
    <w:rPr>
      <w:rFonts w:ascii="NEU-BZ" w:hAnsi="NEU-BZ" w:hint="default"/>
      <w:color w:val="242021"/>
      <w:sz w:val="22"/>
      <w:szCs w:val="22"/>
    </w:rPr>
  </w:style>
  <w:style w:type="paragraph" w:customStyle="1" w:styleId="14">
    <w:name w:val="正文_1"/>
    <w:qFormat/>
    <w:pPr>
      <w:widowControl w:val="0"/>
      <w:jc w:val="both"/>
    </w:pPr>
    <w:rPr>
      <w:rFonts w:ascii="Calibri" w:hAnsi="Calibri"/>
      <w:kern w:val="2"/>
      <w:sz w:val="21"/>
      <w:szCs w:val="24"/>
      <w:lang w:val="en-US" w:eastAsia="zh-CN" w:bidi="ar-SA"/>
    </w:rPr>
  </w:style>
  <w:style w:type="character" w:customStyle="1" w:styleId="grame">
    <w:name w:val="grame"/>
  </w:style>
  <w:style w:type="paragraph" w:customStyle="1" w:styleId="a9">
    <w:name w:val="材料"/>
    <w:basedOn w:val="Normal"/>
    <w:qFormat/>
    <w:pPr>
      <w:ind w:firstLine="200" w:firstLineChars="200"/>
    </w:pPr>
    <w:rPr>
      <w:rFonts w:eastAsia="楷体"/>
    </w:rPr>
  </w:style>
  <w:style w:type="paragraph" w:customStyle="1" w:styleId="ql-align-justify">
    <w:name w:val="ql-align-justify"/>
    <w:basedOn w:val="Normal"/>
    <w:qFormat/>
    <w:pPr>
      <w:widowControl/>
      <w:spacing w:before="100" w:beforeAutospacing="1" w:after="100" w:afterAutospacing="1"/>
      <w:jc w:val="left"/>
    </w:pPr>
    <w:rPr>
      <w:rFonts w:ascii="宋体" w:hAnsi="宋体" w:cs="宋体"/>
      <w:kern w:val="0"/>
      <w:sz w:val="24"/>
    </w:rPr>
  </w:style>
  <w:style w:type="paragraph" w:customStyle="1" w:styleId="Normal4">
    <w:name w:val="Normal_4"/>
    <w:qFormat/>
    <w:rPr>
      <w:rFonts w:ascii="Calibri" w:hAnsi="Calibri"/>
      <w:sz w:val="24"/>
      <w:szCs w:val="24"/>
      <w:lang w:val="en-US" w:eastAsia="zh-CN" w:bidi="ar-SA"/>
    </w:rPr>
  </w:style>
  <w:style w:type="character" w:customStyle="1" w:styleId="NormalCharacter">
    <w:name w:val="NormalCharacter"/>
    <w:qFormat/>
  </w:style>
  <w:style w:type="paragraph" w:customStyle="1" w:styleId="PlainText0">
    <w:name w:val="PlainText"/>
    <w:basedOn w:val="Normal"/>
    <w:qFormat/>
    <w:pPr>
      <w:widowControl/>
    </w:pPr>
    <w:rPr>
      <w:rFonts w:ascii="宋体" w:hAnsi="Courier New" w:hint="eastAsia"/>
      <w:szCs w:val="21"/>
    </w:rPr>
  </w:style>
  <w:style w:type="table" w:customStyle="1" w:styleId="23">
    <w:name w:val="网格型2"/>
    <w:basedOn w:val="TableNormal"/>
    <w:uiPriority w:val="99"/>
    <w:unhideWhenUsed/>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yperlink" Target="https://d.book118.com/605023044010011040" TargetMode="Externa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7266</Words>
  <Characters>41418</Characters>
  <Application>Microsoft Office Word</Application>
  <DocSecurity>0</DocSecurity>
  <Lines>345</Lines>
  <Paragraphs>97</Paragraphs>
  <ScaleCrop>false</ScaleCrop>
  <Company/>
  <LinksUpToDate>false</LinksUpToDate>
  <CharactersWithSpaces>48587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微信用户</cp:lastModifiedBy>
  <cp:revision>22</cp:revision>
  <dcterms:created xsi:type="dcterms:W3CDTF">2021-11-09T20:43:00Z</dcterms:created>
  <dcterms:modified xsi:type="dcterms:W3CDTF">2024-01-05T21:47:20Z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