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25C9" w:rsidP="007B25C9" w14:paraId="0381E80E" w14:textId="77777777">
      <w:pPr>
        <w:pStyle w:val="Title"/>
        <w:spacing w:before="936" w:after="624"/>
      </w:pPr>
      <w:bookmarkStart w:id="0" w:name="_Toc36279488"/>
      <w:r>
        <w:rPr>
          <w:rFonts w:hint="eastAsia"/>
        </w:rPr>
        <w:t>摘要</w:t>
      </w:r>
      <w:bookmarkEnd w:id="0"/>
    </w:p>
    <w:p w:rsidR="007B25C9" w:rsidP="007B25C9" w14:paraId="29B02619" w14:textId="77777777">
      <w:pPr>
        <w:widowControl/>
        <w:rPr>
          <w:rFonts w:asciiTheme="minorEastAsia" w:eastAsiaTheme="minorEastAsia" w:hAnsiTheme="minorEastAsia" w:cs="黑体"/>
          <w:b/>
          <w:bCs/>
          <w:szCs w:val="24"/>
        </w:rPr>
      </w:pPr>
      <w:r>
        <w:rPr>
          <w:rFonts w:asciiTheme="minorEastAsia" w:eastAsiaTheme="minorEastAsia" w:hAnsiTheme="minorEastAsia" w:cs="黑体" w:hint="eastAsia"/>
          <w:szCs w:val="24"/>
        </w:rPr>
        <w:t xml:space="preserve"> </w:t>
      </w:r>
      <w:r>
        <w:rPr>
          <w:rFonts w:asciiTheme="minorEastAsia" w:eastAsiaTheme="minorEastAsia" w:hAnsiTheme="minorEastAsia" w:cs="黑体"/>
          <w:szCs w:val="24"/>
        </w:rPr>
        <w:t xml:space="preserve"> </w:t>
      </w:r>
      <w:r w:rsidRPr="003C3A61">
        <w:rPr>
          <w:rFonts w:asciiTheme="minorEastAsia" w:eastAsiaTheme="minorEastAsia" w:hAnsiTheme="minorEastAsia" w:cs="黑体" w:hint="eastAsia"/>
          <w:b/>
          <w:bCs/>
          <w:szCs w:val="24"/>
        </w:rPr>
        <w:t>金融市场一直以来都受到众多研究者的关注，国内外很多研究表明金融市场存在着异象，即无法用有效市场假说解释的价格序列的波动。其中，日历效应就是非常典型的一种，它表现为金融资产价格随季节变化呈现明显的波动，本文研究的假日效应就是日历效应的一种。很多文献表明假日前后股票收益率与其它正常交易日之间存在显著差异，</w:t>
      </w:r>
      <w:r>
        <w:rPr>
          <w:rFonts w:asciiTheme="minorEastAsia" w:eastAsiaTheme="minorEastAsia" w:hAnsiTheme="minorEastAsia" w:cs="黑体" w:hint="eastAsia"/>
          <w:b/>
          <w:bCs/>
          <w:szCs w:val="24"/>
        </w:rPr>
        <w:t>表现为假日前</w:t>
      </w:r>
      <w:r w:rsidRPr="003C3A61">
        <w:rPr>
          <w:rFonts w:asciiTheme="minorEastAsia" w:eastAsiaTheme="minorEastAsia" w:hAnsiTheme="minorEastAsia" w:cs="黑体" w:hint="eastAsia"/>
          <w:b/>
          <w:bCs/>
          <w:szCs w:val="24"/>
        </w:rPr>
        <w:t>股票价格显著高于其它交易日。考虑到美国是全球最大的经济体，中国是最大的新兴经济体，因此本文就假日前</w:t>
      </w:r>
      <w:r>
        <w:rPr>
          <w:rFonts w:asciiTheme="minorEastAsia" w:eastAsiaTheme="minorEastAsia" w:hAnsiTheme="minorEastAsia" w:cs="黑体" w:hint="eastAsia"/>
          <w:b/>
          <w:bCs/>
          <w:szCs w:val="24"/>
        </w:rPr>
        <w:t>三</w:t>
      </w:r>
      <w:r w:rsidRPr="003C3A61">
        <w:rPr>
          <w:rFonts w:asciiTheme="minorEastAsia" w:eastAsiaTheme="minorEastAsia" w:hAnsiTheme="minorEastAsia" w:cs="黑体" w:hint="eastAsia"/>
          <w:b/>
          <w:bCs/>
          <w:szCs w:val="24"/>
        </w:rPr>
        <w:t>天的收益率与其它交易日之间进行对比，对中美股票市场假日效应的存在性进行验证，发现假日效应在中</w:t>
      </w:r>
      <w:r>
        <w:rPr>
          <w:rFonts w:asciiTheme="minorEastAsia" w:eastAsiaTheme="minorEastAsia" w:hAnsiTheme="minorEastAsia" w:cs="黑体" w:hint="eastAsia"/>
          <w:b/>
          <w:bCs/>
          <w:szCs w:val="24"/>
        </w:rPr>
        <w:t>美两国</w:t>
      </w:r>
      <w:r w:rsidRPr="003C3A61">
        <w:rPr>
          <w:rFonts w:asciiTheme="minorEastAsia" w:eastAsiaTheme="minorEastAsia" w:hAnsiTheme="minorEastAsia" w:cs="黑体" w:hint="eastAsia"/>
          <w:b/>
          <w:bCs/>
          <w:szCs w:val="24"/>
        </w:rPr>
        <w:t>股票市场</w:t>
      </w:r>
      <w:r>
        <w:rPr>
          <w:rFonts w:asciiTheme="minorEastAsia" w:eastAsiaTheme="minorEastAsia" w:hAnsiTheme="minorEastAsia" w:cs="黑体" w:hint="eastAsia"/>
          <w:b/>
          <w:bCs/>
          <w:szCs w:val="24"/>
        </w:rPr>
        <w:t>都</w:t>
      </w:r>
      <w:r w:rsidRPr="003C3A61">
        <w:rPr>
          <w:rFonts w:asciiTheme="minorEastAsia" w:eastAsiaTheme="minorEastAsia" w:hAnsiTheme="minorEastAsia" w:cs="黑体" w:hint="eastAsia"/>
          <w:b/>
          <w:bCs/>
          <w:szCs w:val="24"/>
        </w:rPr>
        <w:t>显著存在。同时，本文又</w:t>
      </w:r>
      <w:r>
        <w:rPr>
          <w:rFonts w:asciiTheme="minorEastAsia" w:eastAsiaTheme="minorEastAsia" w:hAnsiTheme="minorEastAsia" w:cs="黑体" w:hint="eastAsia"/>
          <w:b/>
          <w:bCs/>
          <w:szCs w:val="24"/>
        </w:rPr>
        <w:t>加入条件方差变量进行研究，</w:t>
      </w:r>
      <w:r w:rsidRPr="003C3A61">
        <w:rPr>
          <w:rFonts w:asciiTheme="minorEastAsia" w:eastAsiaTheme="minorEastAsia" w:hAnsiTheme="minorEastAsia" w:cs="黑体" w:hint="eastAsia"/>
          <w:b/>
          <w:bCs/>
          <w:szCs w:val="24"/>
        </w:rPr>
        <w:t>发现在</w:t>
      </w:r>
      <w:r>
        <w:rPr>
          <w:rFonts w:asciiTheme="minorEastAsia" w:eastAsiaTheme="minorEastAsia" w:hAnsiTheme="minorEastAsia" w:cs="黑体" w:hint="eastAsia"/>
          <w:b/>
          <w:bCs/>
          <w:szCs w:val="24"/>
        </w:rPr>
        <w:t>考虑了预期风险因素后美</w:t>
      </w:r>
      <w:r w:rsidRPr="003C3A61">
        <w:rPr>
          <w:rFonts w:asciiTheme="minorEastAsia" w:eastAsiaTheme="minorEastAsia" w:hAnsiTheme="minorEastAsia" w:cs="黑体" w:hint="eastAsia"/>
          <w:b/>
          <w:bCs/>
          <w:szCs w:val="24"/>
        </w:rPr>
        <w:t>国</w:t>
      </w:r>
      <w:r>
        <w:rPr>
          <w:rFonts w:asciiTheme="minorEastAsia" w:eastAsiaTheme="minorEastAsia" w:hAnsiTheme="minorEastAsia" w:cs="黑体" w:hint="eastAsia"/>
          <w:b/>
          <w:bCs/>
          <w:szCs w:val="24"/>
        </w:rPr>
        <w:t>股市中的</w:t>
      </w:r>
      <w:r w:rsidRPr="003C3A61">
        <w:rPr>
          <w:rFonts w:asciiTheme="minorEastAsia" w:eastAsiaTheme="minorEastAsia" w:hAnsiTheme="minorEastAsia" w:cs="黑体" w:hint="eastAsia"/>
          <w:b/>
          <w:bCs/>
          <w:szCs w:val="24"/>
        </w:rPr>
        <w:t>假日效应</w:t>
      </w:r>
      <w:r>
        <w:rPr>
          <w:rFonts w:asciiTheme="minorEastAsia" w:eastAsiaTheme="minorEastAsia" w:hAnsiTheme="minorEastAsia" w:cs="黑体" w:hint="eastAsia"/>
          <w:b/>
          <w:bCs/>
          <w:szCs w:val="24"/>
        </w:rPr>
        <w:t>不再显著，说明在美国，假日前的回报是对随时间变化的波动性风险的补偿。但是这种风险收益理论并不能很好的解释中国股票市场中假日效应的存在。</w:t>
      </w:r>
    </w:p>
    <w:p w:rsidR="007B25C9" w:rsidRPr="00056FF7" w:rsidP="007B25C9" w14:paraId="65B24BB8" w14:textId="77777777">
      <w:pPr>
        <w:widowControl/>
        <w:rPr>
          <w:rFonts w:asciiTheme="minorEastAsia" w:eastAsiaTheme="minorEastAsia" w:hAnsiTheme="minorEastAsia" w:cs="黑体"/>
          <w:szCs w:val="24"/>
        </w:rPr>
        <w:sectPr w:rsidSect="00AF33AB">
          <w:footerReference w:type="first" r:id="rId5"/>
          <w:pgSz w:w="11906" w:h="16838"/>
          <w:pgMar w:top="1701" w:right="1701" w:bottom="1701" w:left="1701" w:header="851" w:footer="992" w:gutter="0"/>
          <w:pgNumType w:start="1"/>
          <w:cols w:space="425"/>
          <w:titlePg/>
          <w:docGrid w:type="lines" w:linePitch="312"/>
        </w:sectPr>
      </w:pPr>
      <w:r w:rsidRPr="00056FF7">
        <w:rPr>
          <w:rFonts w:asciiTheme="minorEastAsia" w:eastAsiaTheme="minorEastAsia" w:hAnsiTheme="minorEastAsia" w:cs="黑体" w:hint="eastAsia"/>
          <w:b/>
          <w:bCs/>
          <w:szCs w:val="24"/>
        </w:rPr>
        <w:t>关键词</w:t>
      </w:r>
      <w:r>
        <w:rPr>
          <w:rFonts w:asciiTheme="minorEastAsia" w:eastAsiaTheme="minorEastAsia" w:hAnsiTheme="minorEastAsia" w:cs="黑体" w:hint="eastAsia"/>
          <w:b/>
          <w:bCs/>
          <w:szCs w:val="24"/>
        </w:rPr>
        <w:t>:假日效应；风险补偿；中美对比</w:t>
      </w:r>
    </w:p>
    <w:p w:rsidR="007B25C9" w:rsidRPr="001F6426" w:rsidP="007B25C9" w14:paraId="040FCC5B" w14:textId="77777777">
      <w:pPr>
        <w:pStyle w:val="Title"/>
        <w:spacing w:before="936" w:after="624"/>
        <w:rPr>
          <w:rFonts w:ascii="Times New Roman" w:hAnsi="Times New Roman" w:cs="Times New Roman"/>
          <w:szCs w:val="44"/>
        </w:rPr>
      </w:pPr>
      <w:bookmarkStart w:id="1" w:name="_Toc36279489"/>
      <w:r w:rsidRPr="00602138">
        <w:rPr>
          <w:rFonts w:ascii="Times New Roman" w:hAnsi="Times New Roman" w:cs="Times New Roman"/>
          <w:szCs w:val="44"/>
        </w:rPr>
        <w:t>Abstract</w:t>
      </w:r>
      <w:bookmarkEnd w:id="1"/>
    </w:p>
    <w:p w:rsidR="007B25C9" w:rsidP="007B25C9" w14:paraId="6D1F71DC" w14:textId="77777777">
      <w:pPr>
        <w:widowControl/>
        <w:rPr>
          <w:rFonts w:ascii="Times New Roman" w:eastAsia="黑体" w:hAnsi="Times New Roman"/>
          <w:b/>
          <w:bCs/>
          <w:szCs w:val="20"/>
        </w:rPr>
      </w:pPr>
      <w:r>
        <w:rPr>
          <w:rFonts w:ascii="Times New Roman" w:eastAsia="黑体" w:hAnsi="Times New Roman"/>
          <w:b/>
          <w:bCs/>
          <w:szCs w:val="20"/>
        </w:rPr>
        <w:t xml:space="preserve">  Researchers have always paid lots of attention to the financial markets</w:t>
      </w:r>
      <w:r w:rsidRPr="003E669A">
        <w:rPr>
          <w:rFonts w:ascii="Times New Roman" w:eastAsia="黑体" w:hAnsi="Times New Roman"/>
          <w:b/>
          <w:bCs/>
          <w:szCs w:val="20"/>
        </w:rPr>
        <w:t xml:space="preserve">, and many studies at home and abroad have shown that </w:t>
      </w:r>
      <w:r>
        <w:rPr>
          <w:rFonts w:ascii="Times New Roman" w:eastAsia="黑体" w:hAnsi="Times New Roman"/>
          <w:b/>
          <w:bCs/>
          <w:szCs w:val="20"/>
        </w:rPr>
        <w:t>there are many anomalies in those markets,</w:t>
      </w:r>
      <w:r w:rsidRPr="003E669A">
        <w:rPr>
          <w:rFonts w:ascii="Times New Roman" w:eastAsia="黑体" w:hAnsi="Times New Roman"/>
          <w:b/>
          <w:bCs/>
          <w:szCs w:val="20"/>
        </w:rPr>
        <w:t xml:space="preserve"> </w:t>
      </w:r>
      <w:r>
        <w:rPr>
          <w:rFonts w:ascii="Times New Roman" w:eastAsia="黑体" w:hAnsi="Times New Roman"/>
          <w:b/>
          <w:bCs/>
          <w:szCs w:val="20"/>
        </w:rPr>
        <w:t xml:space="preserve">which are some </w:t>
      </w:r>
      <w:r w:rsidRPr="003E669A">
        <w:rPr>
          <w:rFonts w:ascii="Times New Roman" w:eastAsia="黑体" w:hAnsi="Times New Roman"/>
          <w:b/>
          <w:bCs/>
          <w:szCs w:val="20"/>
        </w:rPr>
        <w:t xml:space="preserve">price fluctuations that cannot be explained by the </w:t>
      </w:r>
      <w:r>
        <w:rPr>
          <w:rFonts w:ascii="Times New Roman" w:eastAsia="黑体" w:hAnsi="Times New Roman"/>
          <w:b/>
          <w:bCs/>
          <w:szCs w:val="20"/>
        </w:rPr>
        <w:t>E</w:t>
      </w:r>
      <w:r w:rsidRPr="003E669A">
        <w:rPr>
          <w:rFonts w:ascii="Times New Roman" w:eastAsia="黑体" w:hAnsi="Times New Roman"/>
          <w:b/>
          <w:bCs/>
          <w:szCs w:val="20"/>
        </w:rPr>
        <w:t xml:space="preserve">fficient </w:t>
      </w:r>
      <w:r>
        <w:rPr>
          <w:rFonts w:ascii="Times New Roman" w:eastAsia="黑体" w:hAnsi="Times New Roman"/>
          <w:b/>
          <w:bCs/>
          <w:szCs w:val="20"/>
        </w:rPr>
        <w:t>M</w:t>
      </w:r>
      <w:r w:rsidRPr="003E669A">
        <w:rPr>
          <w:rFonts w:ascii="Times New Roman" w:eastAsia="黑体" w:hAnsi="Times New Roman"/>
          <w:b/>
          <w:bCs/>
          <w:szCs w:val="20"/>
        </w:rPr>
        <w:t xml:space="preserve">arket </w:t>
      </w:r>
      <w:r>
        <w:rPr>
          <w:rFonts w:ascii="Times New Roman" w:eastAsia="黑体" w:hAnsi="Times New Roman"/>
          <w:b/>
          <w:bCs/>
          <w:szCs w:val="20"/>
        </w:rPr>
        <w:t>H</w:t>
      </w:r>
      <w:r w:rsidRPr="003E669A">
        <w:rPr>
          <w:rFonts w:ascii="Times New Roman" w:eastAsia="黑体" w:hAnsi="Times New Roman"/>
          <w:b/>
          <w:bCs/>
          <w:szCs w:val="20"/>
        </w:rPr>
        <w:t xml:space="preserve">ypothesis. </w:t>
      </w:r>
      <w:r>
        <w:rPr>
          <w:rFonts w:ascii="Times New Roman" w:eastAsia="黑体" w:hAnsi="Times New Roman"/>
          <w:b/>
          <w:bCs/>
          <w:szCs w:val="20"/>
        </w:rPr>
        <w:t>T</w:t>
      </w:r>
      <w:r w:rsidRPr="003E669A">
        <w:rPr>
          <w:rFonts w:ascii="Times New Roman" w:eastAsia="黑体" w:hAnsi="Times New Roman"/>
          <w:b/>
          <w:bCs/>
          <w:szCs w:val="20"/>
        </w:rPr>
        <w:t xml:space="preserve">he </w:t>
      </w:r>
      <w:r>
        <w:rPr>
          <w:rFonts w:ascii="Times New Roman" w:eastAsia="黑体" w:hAnsi="Times New Roman"/>
          <w:b/>
          <w:bCs/>
          <w:szCs w:val="20"/>
        </w:rPr>
        <w:t>C</w:t>
      </w:r>
      <w:r w:rsidRPr="003E669A">
        <w:rPr>
          <w:rFonts w:ascii="Times New Roman" w:eastAsia="黑体" w:hAnsi="Times New Roman"/>
          <w:b/>
          <w:bCs/>
          <w:szCs w:val="20"/>
        </w:rPr>
        <w:t xml:space="preserve">alendar </w:t>
      </w:r>
      <w:r>
        <w:rPr>
          <w:rFonts w:ascii="Times New Roman" w:eastAsia="黑体" w:hAnsi="Times New Roman"/>
          <w:b/>
          <w:bCs/>
          <w:szCs w:val="20"/>
        </w:rPr>
        <w:t>E</w:t>
      </w:r>
      <w:r w:rsidRPr="003E669A">
        <w:rPr>
          <w:rFonts w:ascii="Times New Roman" w:eastAsia="黑体" w:hAnsi="Times New Roman"/>
          <w:b/>
          <w:bCs/>
          <w:szCs w:val="20"/>
        </w:rPr>
        <w:t>ffect is a very typical one</w:t>
      </w:r>
      <w:r>
        <w:rPr>
          <w:rFonts w:ascii="Times New Roman" w:eastAsia="黑体" w:hAnsi="Times New Roman"/>
          <w:b/>
          <w:bCs/>
          <w:szCs w:val="20"/>
        </w:rPr>
        <w:t xml:space="preserve"> of them.</w:t>
      </w:r>
      <w:r w:rsidRPr="003E669A">
        <w:rPr>
          <w:rFonts w:ascii="Times New Roman" w:eastAsia="黑体" w:hAnsi="Times New Roman"/>
          <w:b/>
          <w:bCs/>
          <w:szCs w:val="20"/>
        </w:rPr>
        <w:t xml:space="preserve"> </w:t>
      </w:r>
      <w:r>
        <w:rPr>
          <w:rFonts w:ascii="Times New Roman" w:eastAsia="黑体" w:hAnsi="Times New Roman"/>
          <w:b/>
          <w:bCs/>
          <w:szCs w:val="20"/>
        </w:rPr>
        <w:t>I</w:t>
      </w:r>
      <w:r w:rsidRPr="003E669A">
        <w:rPr>
          <w:rFonts w:ascii="Times New Roman" w:eastAsia="黑体" w:hAnsi="Times New Roman"/>
          <w:b/>
          <w:bCs/>
          <w:szCs w:val="20"/>
        </w:rPr>
        <w:t>t shows that the price of financial assets fluctuates significantly with the seasonal changes</w:t>
      </w:r>
      <w:r>
        <w:rPr>
          <w:rFonts w:ascii="Times New Roman" w:eastAsia="黑体" w:hAnsi="Times New Roman"/>
          <w:b/>
          <w:bCs/>
          <w:szCs w:val="20"/>
        </w:rPr>
        <w:t>. And t</w:t>
      </w:r>
      <w:r w:rsidRPr="003E669A">
        <w:rPr>
          <w:rFonts w:ascii="Times New Roman" w:eastAsia="黑体" w:hAnsi="Times New Roman"/>
          <w:b/>
          <w:bCs/>
          <w:szCs w:val="20"/>
        </w:rPr>
        <w:t xml:space="preserve">he </w:t>
      </w:r>
      <w:r>
        <w:rPr>
          <w:rFonts w:ascii="Times New Roman" w:eastAsia="黑体" w:hAnsi="Times New Roman"/>
          <w:b/>
          <w:bCs/>
          <w:szCs w:val="20"/>
        </w:rPr>
        <w:t>pre-</w:t>
      </w:r>
      <w:r w:rsidRPr="003E669A">
        <w:rPr>
          <w:rFonts w:ascii="Times New Roman" w:eastAsia="黑体" w:hAnsi="Times New Roman"/>
          <w:b/>
          <w:bCs/>
          <w:szCs w:val="20"/>
        </w:rPr>
        <w:t>holiday effect studied in this paper is one of the</w:t>
      </w:r>
      <w:r>
        <w:rPr>
          <w:rFonts w:ascii="Times New Roman" w:eastAsia="黑体" w:hAnsi="Times New Roman"/>
          <w:b/>
          <w:bCs/>
          <w:szCs w:val="20"/>
        </w:rPr>
        <w:t>m</w:t>
      </w:r>
      <w:r w:rsidRPr="003E669A">
        <w:rPr>
          <w:rFonts w:ascii="Times New Roman" w:eastAsia="黑体" w:hAnsi="Times New Roman"/>
          <w:b/>
          <w:bCs/>
          <w:szCs w:val="20"/>
        </w:rPr>
        <w:t xml:space="preserve">. Much literature suggests a significant difference between stock </w:t>
      </w:r>
      <w:r>
        <w:rPr>
          <w:rFonts w:ascii="Times New Roman" w:eastAsia="黑体" w:hAnsi="Times New Roman"/>
          <w:b/>
          <w:bCs/>
          <w:szCs w:val="20"/>
        </w:rPr>
        <w:t>returns</w:t>
      </w:r>
      <w:r w:rsidRPr="003E669A">
        <w:rPr>
          <w:rFonts w:ascii="Times New Roman" w:eastAsia="黑体" w:hAnsi="Times New Roman"/>
          <w:b/>
          <w:bCs/>
          <w:szCs w:val="20"/>
        </w:rPr>
        <w:t xml:space="preserve"> </w:t>
      </w:r>
      <w:r>
        <w:rPr>
          <w:rFonts w:ascii="Times New Roman" w:eastAsia="黑体" w:hAnsi="Times New Roman"/>
          <w:b/>
          <w:bCs/>
          <w:szCs w:val="20"/>
        </w:rPr>
        <w:t>on the days prior to</w:t>
      </w:r>
      <w:r w:rsidRPr="003E669A">
        <w:rPr>
          <w:rFonts w:ascii="Times New Roman" w:eastAsia="黑体" w:hAnsi="Times New Roman"/>
          <w:b/>
          <w:bCs/>
          <w:szCs w:val="20"/>
        </w:rPr>
        <w:t xml:space="preserve"> holiday</w:t>
      </w:r>
      <w:r>
        <w:rPr>
          <w:rFonts w:ascii="Times New Roman" w:eastAsia="黑体" w:hAnsi="Times New Roman"/>
          <w:b/>
          <w:bCs/>
          <w:szCs w:val="20"/>
        </w:rPr>
        <w:t>s</w:t>
      </w:r>
      <w:r w:rsidRPr="003E669A">
        <w:rPr>
          <w:rFonts w:ascii="Times New Roman" w:eastAsia="黑体" w:hAnsi="Times New Roman"/>
          <w:b/>
          <w:bCs/>
          <w:szCs w:val="20"/>
        </w:rPr>
        <w:t xml:space="preserve"> and </w:t>
      </w:r>
      <w:r>
        <w:rPr>
          <w:rFonts w:ascii="Times New Roman" w:eastAsia="黑体" w:hAnsi="Times New Roman"/>
          <w:b/>
          <w:bCs/>
          <w:szCs w:val="20"/>
        </w:rPr>
        <w:t xml:space="preserve">those for </w:t>
      </w:r>
      <w:r w:rsidRPr="003E669A">
        <w:rPr>
          <w:rFonts w:ascii="Times New Roman" w:eastAsia="黑体" w:hAnsi="Times New Roman"/>
          <w:b/>
          <w:bCs/>
          <w:szCs w:val="20"/>
        </w:rPr>
        <w:t xml:space="preserve">other </w:t>
      </w:r>
      <w:r>
        <w:rPr>
          <w:rFonts w:ascii="Times New Roman" w:eastAsia="黑体" w:hAnsi="Times New Roman"/>
          <w:b/>
          <w:bCs/>
          <w:szCs w:val="20"/>
        </w:rPr>
        <w:t>trading</w:t>
      </w:r>
      <w:r w:rsidRPr="003E669A">
        <w:rPr>
          <w:rFonts w:ascii="Times New Roman" w:eastAsia="黑体" w:hAnsi="Times New Roman"/>
          <w:b/>
          <w:bCs/>
          <w:szCs w:val="20"/>
        </w:rPr>
        <w:t xml:space="preserve"> days. Considering that the United States is the world's largest economy</w:t>
      </w:r>
      <w:r>
        <w:rPr>
          <w:rFonts w:ascii="Times New Roman" w:eastAsia="黑体" w:hAnsi="Times New Roman"/>
          <w:b/>
          <w:bCs/>
          <w:szCs w:val="20"/>
        </w:rPr>
        <w:t xml:space="preserve"> and </w:t>
      </w:r>
      <w:r w:rsidRPr="003E669A">
        <w:rPr>
          <w:rFonts w:ascii="Times New Roman" w:eastAsia="黑体" w:hAnsi="Times New Roman"/>
          <w:b/>
          <w:bCs/>
          <w:szCs w:val="20"/>
        </w:rPr>
        <w:t xml:space="preserve">China is the largest emerging economy, this paper </w:t>
      </w:r>
      <w:r>
        <w:rPr>
          <w:rFonts w:ascii="Times New Roman" w:eastAsia="黑体" w:hAnsi="Times New Roman"/>
          <w:b/>
          <w:bCs/>
          <w:szCs w:val="20"/>
        </w:rPr>
        <w:t xml:space="preserve">tries to </w:t>
      </w:r>
      <w:r w:rsidRPr="003E669A">
        <w:rPr>
          <w:rFonts w:ascii="Times New Roman" w:eastAsia="黑体" w:hAnsi="Times New Roman"/>
          <w:b/>
          <w:bCs/>
          <w:szCs w:val="20"/>
        </w:rPr>
        <w:t>verif</w:t>
      </w:r>
      <w:r>
        <w:rPr>
          <w:rFonts w:ascii="Times New Roman" w:eastAsia="黑体" w:hAnsi="Times New Roman"/>
          <w:b/>
          <w:bCs/>
          <w:szCs w:val="20"/>
        </w:rPr>
        <w:t>y</w:t>
      </w:r>
      <w:r w:rsidRPr="003E669A">
        <w:rPr>
          <w:rFonts w:ascii="Times New Roman" w:eastAsia="黑体" w:hAnsi="Times New Roman"/>
          <w:b/>
          <w:bCs/>
          <w:szCs w:val="20"/>
        </w:rPr>
        <w:t xml:space="preserve"> the existence of the holiday effect </w:t>
      </w:r>
      <w:r>
        <w:rPr>
          <w:rFonts w:ascii="Times New Roman" w:eastAsia="黑体" w:hAnsi="Times New Roman"/>
          <w:b/>
          <w:bCs/>
          <w:szCs w:val="20"/>
        </w:rPr>
        <w:t>in the American and Chinese stock markets by comparing the stock return in different trading days. The result shows</w:t>
      </w:r>
      <w:r w:rsidRPr="003E669A">
        <w:rPr>
          <w:rFonts w:ascii="Times New Roman" w:eastAsia="黑体" w:hAnsi="Times New Roman"/>
          <w:b/>
          <w:bCs/>
          <w:szCs w:val="20"/>
        </w:rPr>
        <w:t xml:space="preserve"> that the holiday effect is significant in</w:t>
      </w:r>
      <w:r>
        <w:rPr>
          <w:rFonts w:ascii="Times New Roman" w:eastAsia="黑体" w:hAnsi="Times New Roman"/>
          <w:b/>
          <w:bCs/>
          <w:szCs w:val="20"/>
        </w:rPr>
        <w:t xml:space="preserve"> both</w:t>
      </w:r>
      <w:r w:rsidRPr="003E669A">
        <w:rPr>
          <w:rFonts w:ascii="Times New Roman" w:eastAsia="黑体" w:hAnsi="Times New Roman"/>
          <w:b/>
          <w:bCs/>
          <w:szCs w:val="20"/>
        </w:rPr>
        <w:t xml:space="preserve"> the Chinese </w:t>
      </w:r>
      <w:r>
        <w:rPr>
          <w:rFonts w:ascii="Times New Roman" w:eastAsia="黑体" w:hAnsi="Times New Roman"/>
          <w:b/>
          <w:bCs/>
          <w:szCs w:val="20"/>
        </w:rPr>
        <w:t xml:space="preserve">and the U.S </w:t>
      </w:r>
      <w:r w:rsidRPr="003E669A">
        <w:rPr>
          <w:rFonts w:ascii="Times New Roman" w:eastAsia="黑体" w:hAnsi="Times New Roman"/>
          <w:b/>
          <w:bCs/>
          <w:szCs w:val="20"/>
        </w:rPr>
        <w:t xml:space="preserve">stock market. </w:t>
      </w:r>
      <w:r>
        <w:rPr>
          <w:rFonts w:ascii="Times New Roman" w:eastAsia="黑体" w:hAnsi="Times New Roman"/>
          <w:b/>
          <w:bCs/>
          <w:szCs w:val="20"/>
        </w:rPr>
        <w:t>What’s more</w:t>
      </w:r>
      <w:r w:rsidRPr="003E669A">
        <w:rPr>
          <w:rFonts w:ascii="Times New Roman" w:eastAsia="黑体" w:hAnsi="Times New Roman"/>
          <w:b/>
          <w:bCs/>
          <w:szCs w:val="20"/>
        </w:rPr>
        <w:t xml:space="preserve">, this paper </w:t>
      </w:r>
      <w:r>
        <w:rPr>
          <w:rFonts w:ascii="Times New Roman" w:eastAsia="黑体" w:hAnsi="Times New Roman"/>
          <w:b/>
          <w:bCs/>
          <w:szCs w:val="20"/>
        </w:rPr>
        <w:t xml:space="preserve">adds the conditional variance factor to </w:t>
      </w:r>
      <w:r w:rsidRPr="003E669A">
        <w:rPr>
          <w:rFonts w:ascii="Times New Roman" w:eastAsia="黑体" w:hAnsi="Times New Roman"/>
          <w:b/>
          <w:bCs/>
          <w:szCs w:val="20"/>
        </w:rPr>
        <w:t xml:space="preserve">study the </w:t>
      </w:r>
      <w:r>
        <w:rPr>
          <w:rFonts w:ascii="Times New Roman" w:eastAsia="黑体" w:hAnsi="Times New Roman"/>
          <w:b/>
          <w:bCs/>
          <w:szCs w:val="20"/>
        </w:rPr>
        <w:t>possible source</w:t>
      </w:r>
      <w:r w:rsidRPr="003E669A">
        <w:rPr>
          <w:rFonts w:ascii="Times New Roman" w:eastAsia="黑体" w:hAnsi="Times New Roman"/>
          <w:b/>
          <w:bCs/>
          <w:szCs w:val="20"/>
        </w:rPr>
        <w:t xml:space="preserve"> of the </w:t>
      </w:r>
      <w:r>
        <w:rPr>
          <w:rFonts w:ascii="Times New Roman" w:eastAsia="黑体" w:hAnsi="Times New Roman"/>
          <w:b/>
          <w:bCs/>
          <w:szCs w:val="20"/>
        </w:rPr>
        <w:t>pre-</w:t>
      </w:r>
      <w:r w:rsidRPr="003E669A">
        <w:rPr>
          <w:rFonts w:ascii="Times New Roman" w:eastAsia="黑体" w:hAnsi="Times New Roman"/>
          <w:b/>
          <w:bCs/>
          <w:szCs w:val="20"/>
        </w:rPr>
        <w:t xml:space="preserve">holiday effect </w:t>
      </w:r>
      <w:r>
        <w:rPr>
          <w:rFonts w:ascii="Times New Roman" w:eastAsia="黑体" w:hAnsi="Times New Roman"/>
          <w:b/>
          <w:bCs/>
          <w:szCs w:val="20"/>
        </w:rPr>
        <w:t>in</w:t>
      </w:r>
      <w:r w:rsidRPr="003E669A">
        <w:rPr>
          <w:rFonts w:ascii="Times New Roman" w:eastAsia="黑体" w:hAnsi="Times New Roman"/>
          <w:b/>
          <w:bCs/>
          <w:szCs w:val="20"/>
        </w:rPr>
        <w:t xml:space="preserve"> the</w:t>
      </w:r>
      <w:r>
        <w:rPr>
          <w:rFonts w:ascii="Times New Roman" w:eastAsia="黑体" w:hAnsi="Times New Roman"/>
          <w:b/>
          <w:bCs/>
          <w:szCs w:val="20"/>
        </w:rPr>
        <w:t xml:space="preserve">se two </w:t>
      </w:r>
      <w:r w:rsidRPr="003E669A">
        <w:rPr>
          <w:rFonts w:ascii="Times New Roman" w:eastAsia="黑体" w:hAnsi="Times New Roman"/>
          <w:b/>
          <w:bCs/>
          <w:szCs w:val="20"/>
        </w:rPr>
        <w:t>stock market</w:t>
      </w:r>
      <w:r>
        <w:rPr>
          <w:rFonts w:ascii="Times New Roman" w:eastAsia="黑体" w:hAnsi="Times New Roman"/>
          <w:b/>
          <w:bCs/>
          <w:szCs w:val="20"/>
        </w:rPr>
        <w:t>s</w:t>
      </w:r>
      <w:r w:rsidRPr="003E669A">
        <w:rPr>
          <w:rFonts w:ascii="Times New Roman" w:eastAsia="黑体" w:hAnsi="Times New Roman"/>
          <w:b/>
          <w:bCs/>
          <w:szCs w:val="20"/>
        </w:rPr>
        <w:t>, find</w:t>
      </w:r>
      <w:r>
        <w:rPr>
          <w:rFonts w:ascii="Times New Roman" w:eastAsia="黑体" w:hAnsi="Times New Roman"/>
          <w:b/>
          <w:bCs/>
          <w:szCs w:val="20"/>
        </w:rPr>
        <w:t>ing</w:t>
      </w:r>
      <w:r w:rsidRPr="003E669A">
        <w:rPr>
          <w:rFonts w:ascii="Times New Roman" w:eastAsia="黑体" w:hAnsi="Times New Roman"/>
          <w:b/>
          <w:bCs/>
          <w:szCs w:val="20"/>
        </w:rPr>
        <w:t xml:space="preserve"> that </w:t>
      </w:r>
      <w:r>
        <w:rPr>
          <w:rFonts w:ascii="Times New Roman" w:eastAsia="黑体" w:hAnsi="Times New Roman"/>
          <w:b/>
          <w:bCs/>
          <w:szCs w:val="20"/>
        </w:rPr>
        <w:t>after considering the risk factor,</w:t>
      </w:r>
      <w:r w:rsidRPr="003E669A">
        <w:rPr>
          <w:rFonts w:ascii="Times New Roman" w:eastAsia="黑体" w:hAnsi="Times New Roman"/>
          <w:b/>
          <w:bCs/>
          <w:szCs w:val="20"/>
        </w:rPr>
        <w:t xml:space="preserve"> the </w:t>
      </w:r>
      <w:r>
        <w:rPr>
          <w:rFonts w:ascii="Times New Roman" w:eastAsia="黑体" w:hAnsi="Times New Roman"/>
          <w:b/>
          <w:bCs/>
          <w:szCs w:val="20"/>
        </w:rPr>
        <w:t>pre-</w:t>
      </w:r>
      <w:r w:rsidRPr="003E669A">
        <w:rPr>
          <w:rFonts w:ascii="Times New Roman" w:eastAsia="黑体" w:hAnsi="Times New Roman"/>
          <w:b/>
          <w:bCs/>
          <w:szCs w:val="20"/>
        </w:rPr>
        <w:t>holiday effect</w:t>
      </w:r>
      <w:r>
        <w:rPr>
          <w:rFonts w:ascii="Times New Roman" w:eastAsia="黑体" w:hAnsi="Times New Roman"/>
          <w:b/>
          <w:bCs/>
          <w:szCs w:val="20"/>
        </w:rPr>
        <w:t xml:space="preserve"> is still significant in China</w:t>
      </w:r>
      <w:r w:rsidRPr="003E669A">
        <w:rPr>
          <w:rFonts w:ascii="Times New Roman" w:eastAsia="黑体" w:hAnsi="Times New Roman"/>
          <w:b/>
          <w:bCs/>
          <w:szCs w:val="20"/>
        </w:rPr>
        <w:t xml:space="preserve">, but </w:t>
      </w:r>
      <w:r>
        <w:rPr>
          <w:rFonts w:ascii="Times New Roman" w:eastAsia="黑体" w:hAnsi="Times New Roman"/>
          <w:b/>
          <w:bCs/>
          <w:szCs w:val="20"/>
        </w:rPr>
        <w:t xml:space="preserve">insignificant </w:t>
      </w:r>
      <w:r w:rsidRPr="003E669A">
        <w:rPr>
          <w:rFonts w:ascii="Times New Roman" w:eastAsia="黑体" w:hAnsi="Times New Roman"/>
          <w:b/>
          <w:bCs/>
          <w:szCs w:val="20"/>
        </w:rPr>
        <w:t>in the United States</w:t>
      </w:r>
      <w:r>
        <w:rPr>
          <w:rFonts w:ascii="Times New Roman" w:eastAsia="黑体" w:hAnsi="Times New Roman"/>
          <w:b/>
          <w:bCs/>
          <w:szCs w:val="20"/>
        </w:rPr>
        <w:t xml:space="preserve">. The result </w:t>
      </w:r>
      <w:r w:rsidRPr="003E669A">
        <w:rPr>
          <w:rFonts w:ascii="Times New Roman" w:eastAsia="黑体" w:hAnsi="Times New Roman"/>
          <w:b/>
          <w:bCs/>
          <w:szCs w:val="20"/>
        </w:rPr>
        <w:t>indicat</w:t>
      </w:r>
      <w:r>
        <w:rPr>
          <w:rFonts w:ascii="Times New Roman" w:eastAsia="黑体" w:hAnsi="Times New Roman"/>
          <w:b/>
          <w:bCs/>
          <w:szCs w:val="20"/>
        </w:rPr>
        <w:t>es</w:t>
      </w:r>
      <w:r w:rsidRPr="003E669A">
        <w:rPr>
          <w:rFonts w:ascii="Times New Roman" w:eastAsia="黑体" w:hAnsi="Times New Roman"/>
          <w:b/>
          <w:bCs/>
          <w:szCs w:val="20"/>
        </w:rPr>
        <w:t xml:space="preserve"> that the financial market in the United States </w:t>
      </w:r>
      <w:r>
        <w:rPr>
          <w:rFonts w:ascii="Times New Roman" w:eastAsia="黑体" w:hAnsi="Times New Roman"/>
          <w:b/>
          <w:bCs/>
          <w:szCs w:val="20"/>
        </w:rPr>
        <w:t xml:space="preserve">is weak-form </w:t>
      </w:r>
      <w:r w:rsidRPr="003E669A">
        <w:rPr>
          <w:rFonts w:ascii="Times New Roman" w:eastAsia="黑体" w:hAnsi="Times New Roman"/>
          <w:b/>
          <w:bCs/>
          <w:szCs w:val="20"/>
        </w:rPr>
        <w:t>effective</w:t>
      </w:r>
      <w:r>
        <w:rPr>
          <w:rFonts w:ascii="Times New Roman" w:eastAsia="黑体" w:hAnsi="Times New Roman"/>
          <w:b/>
          <w:bCs/>
          <w:szCs w:val="20"/>
        </w:rPr>
        <w:t xml:space="preserve"> and the abnormal positive stock returns on days prior to holidays can be explained by the time-varying volatilities. However, there is no relations between the expected risk and the high pre-holiday stock returns in China.</w:t>
      </w:r>
    </w:p>
    <w:p w:rsidR="007B25C9" w:rsidRPr="006B2FF2" w:rsidP="007B25C9" w14:paraId="6A5FE49A" w14:textId="77777777">
      <w:pPr>
        <w:widowControl/>
        <w:rPr>
          <w:rFonts w:ascii="Times New Roman" w:eastAsia="黑体" w:hAnsi="Times New Roman"/>
          <w:szCs w:val="20"/>
        </w:rPr>
      </w:pPr>
      <w:r>
        <w:rPr>
          <w:rFonts w:ascii="Times New Roman" w:eastAsia="黑体" w:hAnsi="Times New Roman"/>
          <w:b/>
          <w:bCs/>
          <w:szCs w:val="20"/>
        </w:rPr>
        <w:t>Keyword: Holiday Effect; Risk Compensation; Comparison between China and America</w:t>
      </w:r>
      <w:r w:rsidRPr="006B2FF2">
        <w:rPr>
          <w:rFonts w:ascii="Times New Roman" w:eastAsia="黑体" w:hAnsi="Times New Roman"/>
          <w:szCs w:val="20"/>
        </w:rPr>
        <w:br/>
      </w:r>
      <w:r w:rsidRPr="006B2FF2">
        <w:rPr>
          <w:rFonts w:ascii="Times New Roman" w:eastAsia="黑体" w:hAnsi="Times New Roman"/>
          <w:szCs w:val="20"/>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https://d.book118.com/605140330332011103</w:t>
        </w:r>
      </w:hyperlink>
    </w:p>
    <w:p w:rsidR="007B25C9" w:rsidRPr="006B2FF2" w:rsidP="007B25C9">
      <w:pPr>
        <w:widowControl/>
        <w:rPr>
          <w:rFonts w:ascii="Times New Roman" w:eastAsia="黑体" w:hAnsi="Times New Roman"/>
          <w:szCs w:val="20"/>
        </w:rPr>
      </w:pPr>
    </w:p>
    <w:sectPr w:rsidSect="00AF33AB">
      <w:footerReference w:type="first" r:id="rId7"/>
      <w:pgSz w:w="11906" w:h="16838"/>
      <w:pgMar w:top="1701" w:right="1701" w:bottom="1701" w:left="1701"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2AEF" w:usb1="4000207B" w:usb2="00000000"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3135963"/>
      <w:docPartObj>
        <w:docPartGallery w:val="Page Numbers (Bottom of Page)"/>
        <w:docPartUnique/>
      </w:docPartObj>
    </w:sdtPr>
    <w:sdtEndPr>
      <w:rPr>
        <w:noProof/>
      </w:rPr>
    </w:sdtEndPr>
    <w:sdtContent>
      <w:p w:rsidR="00B00D97" w14:paraId="01AE8DE1" w14:textId="77777777">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B00D97" w14:paraId="2085B0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8456323"/>
      <w:docPartObj>
        <w:docPartGallery w:val="Page Numbers (Bottom of Page)"/>
        <w:docPartUnique/>
      </w:docPartObj>
    </w:sdtPr>
    <w:sdtEndPr>
      <w:rPr>
        <w:noProof/>
      </w:rPr>
    </w:sdtEndPr>
    <w:sdtContent>
      <w:p w:rsidR="00B00D97" w14:textId="77777777">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B00D97"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8E3C2C"/>
    <w:multiLevelType w:val="multilevel"/>
    <w:tmpl w:val="169CE4D2"/>
    <w:lvl w:ilvl="0">
      <w:start w:val="1"/>
      <w:numFmt w:val="decimal"/>
      <w:lvlText w:val="%1."/>
      <w:lvlJc w:val="left"/>
      <w:pPr>
        <w:ind w:left="4547" w:hanging="720"/>
      </w:pPr>
      <w:rPr>
        <w:rFonts w:hint="default"/>
      </w:rPr>
    </w:lvl>
    <w:lvl w:ilvl="1">
      <w:start w:val="1"/>
      <w:numFmt w:val="decimal"/>
      <w:isLgl/>
      <w:lvlText w:val="%1.%2"/>
      <w:lvlJc w:val="left"/>
      <w:pPr>
        <w:ind w:left="4547" w:hanging="720"/>
      </w:pPr>
      <w:rPr>
        <w:rFonts w:hint="default"/>
      </w:rPr>
    </w:lvl>
    <w:lvl w:ilvl="2">
      <w:start w:val="1"/>
      <w:numFmt w:val="decimal"/>
      <w:isLgl/>
      <w:lvlText w:val="%1.%2.%3"/>
      <w:lvlJc w:val="left"/>
      <w:pPr>
        <w:ind w:left="4907" w:hanging="1080"/>
      </w:pPr>
      <w:rPr>
        <w:rFonts w:hint="default"/>
      </w:rPr>
    </w:lvl>
    <w:lvl w:ilvl="3">
      <w:start w:val="1"/>
      <w:numFmt w:val="decimal"/>
      <w:isLgl/>
      <w:lvlText w:val="%1.%2.%3.%4"/>
      <w:lvlJc w:val="left"/>
      <w:pPr>
        <w:ind w:left="4907" w:hanging="1080"/>
      </w:pPr>
      <w:rPr>
        <w:rFonts w:hint="default"/>
      </w:rPr>
    </w:lvl>
    <w:lvl w:ilvl="4">
      <w:start w:val="1"/>
      <w:numFmt w:val="decimal"/>
      <w:isLgl/>
      <w:lvlText w:val="%1.%2.%3.%4.%5"/>
      <w:lvlJc w:val="left"/>
      <w:pPr>
        <w:ind w:left="5267" w:hanging="1440"/>
      </w:pPr>
      <w:rPr>
        <w:rFonts w:hint="default"/>
      </w:rPr>
    </w:lvl>
    <w:lvl w:ilvl="5">
      <w:start w:val="1"/>
      <w:numFmt w:val="decimal"/>
      <w:isLgl/>
      <w:lvlText w:val="%1.%2.%3.%4.%5.%6"/>
      <w:lvlJc w:val="left"/>
      <w:pPr>
        <w:ind w:left="5627" w:hanging="1800"/>
      </w:pPr>
      <w:rPr>
        <w:rFonts w:hint="default"/>
      </w:rPr>
    </w:lvl>
    <w:lvl w:ilvl="6">
      <w:start w:val="1"/>
      <w:numFmt w:val="decimal"/>
      <w:isLgl/>
      <w:lvlText w:val="%1.%2.%3.%4.%5.%6.%7"/>
      <w:lvlJc w:val="left"/>
      <w:pPr>
        <w:ind w:left="5987" w:hanging="2160"/>
      </w:pPr>
      <w:rPr>
        <w:rFonts w:hint="default"/>
      </w:rPr>
    </w:lvl>
    <w:lvl w:ilvl="7">
      <w:start w:val="1"/>
      <w:numFmt w:val="decimal"/>
      <w:isLgl/>
      <w:lvlText w:val="%1.%2.%3.%4.%5.%6.%7.%8"/>
      <w:lvlJc w:val="left"/>
      <w:pPr>
        <w:ind w:left="6347" w:hanging="2520"/>
      </w:pPr>
      <w:rPr>
        <w:rFonts w:hint="default"/>
      </w:rPr>
    </w:lvl>
    <w:lvl w:ilvl="8">
      <w:start w:val="1"/>
      <w:numFmt w:val="decimal"/>
      <w:isLgl/>
      <w:lvlText w:val="%1.%2.%3.%4.%5.%6.%7.%8.%9"/>
      <w:lvlJc w:val="left"/>
      <w:pPr>
        <w:ind w:left="6707" w:hanging="2880"/>
      </w:pPr>
      <w:rPr>
        <w:rFonts w:hint="default"/>
      </w:rPr>
    </w:lvl>
  </w:abstractNum>
  <w:abstractNum w:abstractNumId="1">
    <w:nsid w:val="18245852"/>
    <w:multiLevelType w:val="hybridMultilevel"/>
    <w:tmpl w:val="607266A8"/>
    <w:lvl w:ilvl="0">
      <w:start w:val="1"/>
      <w:numFmt w:val="japaneseCounting"/>
      <w:lvlText w:val="（%1）"/>
      <w:lvlJc w:val="left"/>
      <w:pPr>
        <w:ind w:left="1800" w:hanging="720"/>
      </w:pPr>
      <w:rPr>
        <w:rFonts w:hint="default"/>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
    <w:nsid w:val="3CAF50F5"/>
    <w:multiLevelType w:val="multilevel"/>
    <w:tmpl w:val="169CE4D2"/>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3">
    <w:nsid w:val="4092504E"/>
    <w:multiLevelType w:val="hybridMultilevel"/>
    <w:tmpl w:val="FF18D83E"/>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4">
    <w:nsid w:val="45E65773"/>
    <w:multiLevelType w:val="multilevel"/>
    <w:tmpl w:val="169CE4D2"/>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5">
    <w:nsid w:val="48577228"/>
    <w:multiLevelType w:val="hybridMultilevel"/>
    <w:tmpl w:val="2DB866AC"/>
    <w:lvl w:ilvl="0">
      <w:start w:val="1"/>
      <w:numFmt w:val="decimal"/>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59B6587D"/>
    <w:multiLevelType w:val="multilevel"/>
    <w:tmpl w:val="D684103E"/>
    <w:lvl w:ilvl="0">
      <w:start w:val="2"/>
      <w:numFmt w:val="decimal"/>
      <w:lvlText w:val="%1"/>
      <w:lvlJc w:val="left"/>
      <w:pPr>
        <w:ind w:left="480" w:hanging="480"/>
      </w:pPr>
      <w:rPr>
        <w:rFonts w:hint="default"/>
      </w:rPr>
    </w:lvl>
    <w:lvl w:ilvl="1">
      <w:start w:val="1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6AEB7F3F"/>
    <w:multiLevelType w:val="hybridMultilevel"/>
    <w:tmpl w:val="4AAAE094"/>
    <w:lvl w:ilvl="0">
      <w:start w:val="1"/>
      <w:numFmt w:val="decimal"/>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6E5A4B6E"/>
    <w:multiLevelType w:val="hybridMultilevel"/>
    <w:tmpl w:val="AA3AFA64"/>
    <w:lvl w:ilvl="0">
      <w:start w:val="1"/>
      <w:numFmt w:val="decimal"/>
      <w:lvlText w:val="（%1）"/>
      <w:lvlJc w:val="left"/>
      <w:pPr>
        <w:ind w:left="1080" w:hanging="108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3"/>
  </w:num>
  <w:num w:numId="2">
    <w:abstractNumId w:val="7"/>
  </w:num>
  <w:num w:numId="3">
    <w:abstractNumId w:val="4"/>
  </w:num>
  <w:num w:numId="4">
    <w:abstractNumId w:val="1"/>
  </w:num>
  <w:num w:numId="5">
    <w:abstractNumId w:val="8"/>
  </w:num>
  <w:num w:numId="6">
    <w:abstractNumId w:val="6"/>
  </w:num>
  <w:num w:numId="7">
    <w:abstractNumId w:val="5"/>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5C9"/>
    <w:rsid w:val="00041D18"/>
    <w:rsid w:val="00056FF7"/>
    <w:rsid w:val="00076A2D"/>
    <w:rsid w:val="000A0596"/>
    <w:rsid w:val="000D3208"/>
    <w:rsid w:val="00105297"/>
    <w:rsid w:val="001079D6"/>
    <w:rsid w:val="001810E6"/>
    <w:rsid w:val="001F6426"/>
    <w:rsid w:val="00212282"/>
    <w:rsid w:val="0021440A"/>
    <w:rsid w:val="003305D6"/>
    <w:rsid w:val="00361A42"/>
    <w:rsid w:val="00372E19"/>
    <w:rsid w:val="00383124"/>
    <w:rsid w:val="003C3A61"/>
    <w:rsid w:val="003D2F39"/>
    <w:rsid w:val="003E669A"/>
    <w:rsid w:val="005F1993"/>
    <w:rsid w:val="00602138"/>
    <w:rsid w:val="0061274E"/>
    <w:rsid w:val="006B2FF2"/>
    <w:rsid w:val="006C2A8F"/>
    <w:rsid w:val="0072652A"/>
    <w:rsid w:val="00727C2A"/>
    <w:rsid w:val="00777421"/>
    <w:rsid w:val="007B25C9"/>
    <w:rsid w:val="007F09B1"/>
    <w:rsid w:val="00800F48"/>
    <w:rsid w:val="0080687C"/>
    <w:rsid w:val="008F29D9"/>
    <w:rsid w:val="009409C7"/>
    <w:rsid w:val="00956FB0"/>
    <w:rsid w:val="009A3049"/>
    <w:rsid w:val="009B4418"/>
    <w:rsid w:val="00A52CE0"/>
    <w:rsid w:val="00A60037"/>
    <w:rsid w:val="00A85736"/>
    <w:rsid w:val="00B00B2F"/>
    <w:rsid w:val="00B00D97"/>
    <w:rsid w:val="00B961F0"/>
    <w:rsid w:val="00C174BF"/>
    <w:rsid w:val="00C26661"/>
    <w:rsid w:val="00C647BC"/>
    <w:rsid w:val="00CA7DCE"/>
    <w:rsid w:val="00CF6D2E"/>
    <w:rsid w:val="00DF7334"/>
    <w:rsid w:val="00E8485F"/>
    <w:rsid w:val="00FE1E09"/>
  </w:rsid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14:docId w14:val="39218983"/>
  <w15:chartTrackingRefBased/>
  <w15:docId w15:val="{A336E493-AEC9-4C24-9438-6244251C8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25C9"/>
    <w:pPr>
      <w:widowControl w:val="0"/>
      <w:spacing w:after="0" w:line="360" w:lineRule="auto"/>
    </w:pPr>
    <w:rPr>
      <w:rFonts w:ascii="Calibri" w:eastAsia="宋体" w:hAnsi="Calibri" w:cs="Times New Roman"/>
      <w:kern w:val="2"/>
      <w:sz w:val="24"/>
    </w:rPr>
  </w:style>
  <w:style w:type="paragraph" w:styleId="Heading1">
    <w:name w:val="heading 1"/>
    <w:aliases w:val="一级标题"/>
    <w:basedOn w:val="Normal"/>
    <w:next w:val="Normal"/>
    <w:link w:val="1"/>
    <w:uiPriority w:val="9"/>
    <w:qFormat/>
    <w:rsid w:val="007B25C9"/>
    <w:pPr>
      <w:keepNext/>
      <w:keepLines/>
      <w:spacing w:before="300" w:beforeLines="300" w:after="200" w:afterLines="200"/>
      <w:jc w:val="center"/>
      <w:outlineLvl w:val="0"/>
    </w:pPr>
    <w:rPr>
      <w:rFonts w:ascii="黑体" w:eastAsia="华文中宋" w:hAnsi="黑体" w:cstheme="majorBidi"/>
      <w:b/>
      <w:color w:val="000000" w:themeColor="text1"/>
      <w:sz w:val="44"/>
      <w:szCs w:val="32"/>
    </w:rPr>
  </w:style>
  <w:style w:type="paragraph" w:styleId="Heading2">
    <w:name w:val="heading 2"/>
    <w:aliases w:val="二级标题"/>
    <w:basedOn w:val="Normal"/>
    <w:next w:val="Normal"/>
    <w:link w:val="2"/>
    <w:uiPriority w:val="9"/>
    <w:unhideWhenUsed/>
    <w:qFormat/>
    <w:rsid w:val="007B25C9"/>
    <w:pPr>
      <w:keepNext/>
      <w:keepLines/>
      <w:spacing w:before="100" w:beforeLines="100" w:after="100" w:afterLines="100"/>
      <w:outlineLvl w:val="1"/>
    </w:pPr>
    <w:rPr>
      <w:rFonts w:eastAsia="黑体" w:asciiTheme="majorHAnsi" w:hAnsiTheme="majorHAnsi" w:cstheme="majorBidi"/>
      <w:color w:val="000000" w:themeColor="text1"/>
      <w:sz w:val="30"/>
      <w:szCs w:val="26"/>
    </w:rPr>
  </w:style>
  <w:style w:type="paragraph" w:styleId="Heading3">
    <w:name w:val="heading 3"/>
    <w:aliases w:val="三级标题"/>
    <w:basedOn w:val="Normal"/>
    <w:next w:val="Normal"/>
    <w:link w:val="3"/>
    <w:uiPriority w:val="9"/>
    <w:unhideWhenUsed/>
    <w:qFormat/>
    <w:rsid w:val="007B25C9"/>
    <w:pPr>
      <w:keepNext/>
      <w:keepLines/>
      <w:spacing w:before="100" w:beforeLines="100" w:after="100" w:afterLines="100"/>
      <w:outlineLvl w:val="2"/>
    </w:pPr>
    <w:rPr>
      <w:rFonts w:eastAsia="黑体" w:asciiTheme="majorHAnsi" w:hAnsiTheme="majorHAnsi" w:cstheme="majorBidi"/>
      <w:color w:val="000000" w:themeColor="text1"/>
      <w:szCs w:val="24"/>
    </w:rPr>
  </w:style>
  <w:style w:type="paragraph" w:styleId="Heading4">
    <w:name w:val="heading 4"/>
    <w:aliases w:val="图表题目"/>
    <w:basedOn w:val="Normal"/>
    <w:next w:val="Normal"/>
    <w:link w:val="4"/>
    <w:uiPriority w:val="9"/>
    <w:unhideWhenUsed/>
    <w:qFormat/>
    <w:rsid w:val="007B25C9"/>
    <w:pPr>
      <w:keepNext/>
      <w:keepLines/>
      <w:spacing w:before="50" w:beforeLines="50" w:after="50" w:afterLines="50" w:line="240" w:lineRule="auto"/>
      <w:jc w:val="center"/>
      <w:outlineLvl w:val="3"/>
    </w:pPr>
    <w:rPr>
      <w:rFonts w:eastAsia="黑体" w:asciiTheme="majorHAnsi" w:hAnsiTheme="majorHAnsi" w:cstheme="majorBidi"/>
      <w:b/>
      <w:bCs/>
      <w:sz w:val="21"/>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aliases w:val="一级标题 字符"/>
    <w:basedOn w:val="DefaultParagraphFont"/>
    <w:link w:val="Heading1"/>
    <w:uiPriority w:val="9"/>
    <w:rsid w:val="007B25C9"/>
    <w:rPr>
      <w:rFonts w:ascii="黑体" w:eastAsia="华文中宋" w:hAnsi="黑体" w:cstheme="majorBidi"/>
      <w:b/>
      <w:color w:val="000000" w:themeColor="text1"/>
      <w:kern w:val="2"/>
      <w:sz w:val="44"/>
      <w:szCs w:val="32"/>
    </w:rPr>
  </w:style>
  <w:style w:type="character" w:customStyle="1" w:styleId="2">
    <w:name w:val="标题 2 字符"/>
    <w:aliases w:val="二级标题 字符"/>
    <w:basedOn w:val="DefaultParagraphFont"/>
    <w:link w:val="Heading2"/>
    <w:uiPriority w:val="9"/>
    <w:rsid w:val="007B25C9"/>
    <w:rPr>
      <w:rFonts w:eastAsia="黑体" w:asciiTheme="majorHAnsi" w:hAnsiTheme="majorHAnsi" w:cstheme="majorBidi"/>
      <w:color w:val="000000" w:themeColor="text1"/>
      <w:kern w:val="2"/>
      <w:sz w:val="30"/>
      <w:szCs w:val="26"/>
    </w:rPr>
  </w:style>
  <w:style w:type="character" w:customStyle="1" w:styleId="3">
    <w:name w:val="标题 3 字符"/>
    <w:aliases w:val="三级标题 字符"/>
    <w:basedOn w:val="DefaultParagraphFont"/>
    <w:link w:val="Heading3"/>
    <w:uiPriority w:val="9"/>
    <w:rsid w:val="007B25C9"/>
    <w:rPr>
      <w:rFonts w:eastAsia="黑体" w:asciiTheme="majorHAnsi" w:hAnsiTheme="majorHAnsi" w:cstheme="majorBidi"/>
      <w:color w:val="000000" w:themeColor="text1"/>
      <w:kern w:val="2"/>
      <w:sz w:val="24"/>
      <w:szCs w:val="24"/>
    </w:rPr>
  </w:style>
  <w:style w:type="character" w:customStyle="1" w:styleId="4">
    <w:name w:val="标题 4 字符"/>
    <w:aliases w:val="图表题目 字符"/>
    <w:basedOn w:val="DefaultParagraphFont"/>
    <w:link w:val="Heading4"/>
    <w:uiPriority w:val="9"/>
    <w:rsid w:val="007B25C9"/>
    <w:rPr>
      <w:rFonts w:eastAsia="黑体" w:asciiTheme="majorHAnsi" w:hAnsiTheme="majorHAnsi" w:cstheme="majorBidi"/>
      <w:b/>
      <w:bCs/>
      <w:kern w:val="2"/>
      <w:sz w:val="21"/>
      <w:szCs w:val="28"/>
    </w:rPr>
  </w:style>
  <w:style w:type="paragraph" w:styleId="Footer">
    <w:name w:val="footer"/>
    <w:basedOn w:val="Normal"/>
    <w:link w:val="a"/>
    <w:uiPriority w:val="99"/>
    <w:rsid w:val="007B25C9"/>
    <w:pPr>
      <w:tabs>
        <w:tab w:val="center" w:pos="4153"/>
        <w:tab w:val="right" w:pos="8306"/>
      </w:tabs>
      <w:snapToGrid w:val="0"/>
    </w:pPr>
    <w:rPr>
      <w:sz w:val="18"/>
      <w:szCs w:val="18"/>
    </w:rPr>
  </w:style>
  <w:style w:type="character" w:customStyle="1" w:styleId="a">
    <w:name w:val="页脚 字符"/>
    <w:basedOn w:val="DefaultParagraphFont"/>
    <w:link w:val="Footer"/>
    <w:uiPriority w:val="99"/>
    <w:qFormat/>
    <w:rsid w:val="007B25C9"/>
    <w:rPr>
      <w:rFonts w:ascii="Calibri" w:eastAsia="宋体" w:hAnsi="Calibri" w:cs="Times New Roman"/>
      <w:kern w:val="2"/>
      <w:sz w:val="18"/>
      <w:szCs w:val="18"/>
    </w:rPr>
  </w:style>
  <w:style w:type="paragraph" w:styleId="BalloonText">
    <w:name w:val="Balloon Text"/>
    <w:basedOn w:val="Normal"/>
    <w:link w:val="a0"/>
    <w:uiPriority w:val="99"/>
    <w:semiHidden/>
    <w:unhideWhenUsed/>
    <w:rsid w:val="007B25C9"/>
    <w:rPr>
      <w:sz w:val="18"/>
      <w:szCs w:val="18"/>
    </w:rPr>
  </w:style>
  <w:style w:type="character" w:customStyle="1" w:styleId="a0">
    <w:name w:val="批注框文本 字符"/>
    <w:basedOn w:val="DefaultParagraphFont"/>
    <w:link w:val="BalloonText"/>
    <w:uiPriority w:val="99"/>
    <w:semiHidden/>
    <w:rsid w:val="007B25C9"/>
    <w:rPr>
      <w:rFonts w:ascii="Calibri" w:eastAsia="宋体" w:hAnsi="Calibri" w:cs="Times New Roman"/>
      <w:kern w:val="2"/>
      <w:sz w:val="18"/>
      <w:szCs w:val="18"/>
    </w:rPr>
  </w:style>
  <w:style w:type="paragraph" w:styleId="ListParagraph">
    <w:name w:val="List Paragraph"/>
    <w:basedOn w:val="Normal"/>
    <w:uiPriority w:val="34"/>
    <w:qFormat/>
    <w:rsid w:val="007B25C9"/>
    <w:pPr>
      <w:ind w:firstLine="420" w:firstLineChars="200"/>
    </w:pPr>
  </w:style>
  <w:style w:type="paragraph" w:styleId="Header">
    <w:name w:val="header"/>
    <w:basedOn w:val="Normal"/>
    <w:link w:val="a1"/>
    <w:uiPriority w:val="99"/>
    <w:unhideWhenUsed/>
    <w:rsid w:val="007B25C9"/>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7B25C9"/>
    <w:rPr>
      <w:rFonts w:ascii="Calibri" w:eastAsia="宋体" w:hAnsi="Calibri" w:cs="Times New Roman"/>
      <w:kern w:val="2"/>
      <w:sz w:val="18"/>
      <w:szCs w:val="18"/>
    </w:rPr>
  </w:style>
  <w:style w:type="paragraph" w:styleId="CommentText">
    <w:name w:val="annotation text"/>
    <w:basedOn w:val="Normal"/>
    <w:link w:val="a2"/>
    <w:uiPriority w:val="99"/>
    <w:unhideWhenUsed/>
    <w:qFormat/>
    <w:rsid w:val="007B25C9"/>
  </w:style>
  <w:style w:type="character" w:customStyle="1" w:styleId="a2">
    <w:name w:val="批注文字 字符"/>
    <w:basedOn w:val="DefaultParagraphFont"/>
    <w:link w:val="CommentText"/>
    <w:uiPriority w:val="99"/>
    <w:rsid w:val="007B25C9"/>
    <w:rPr>
      <w:rFonts w:ascii="Calibri" w:eastAsia="宋体" w:hAnsi="Calibri" w:cs="Times New Roman"/>
      <w:kern w:val="2"/>
      <w:sz w:val="24"/>
    </w:rPr>
  </w:style>
  <w:style w:type="paragraph" w:customStyle="1" w:styleId="11">
    <w:name w:val="列出段落1"/>
    <w:basedOn w:val="Normal"/>
    <w:uiPriority w:val="34"/>
    <w:qFormat/>
    <w:rsid w:val="007B25C9"/>
    <w:pPr>
      <w:ind w:firstLine="420" w:firstLineChars="200"/>
    </w:pPr>
  </w:style>
  <w:style w:type="paragraph" w:styleId="TOCHeading">
    <w:name w:val="TOC Heading"/>
    <w:basedOn w:val="Heading1"/>
    <w:next w:val="Normal"/>
    <w:uiPriority w:val="39"/>
    <w:unhideWhenUsed/>
    <w:qFormat/>
    <w:rsid w:val="007B25C9"/>
    <w:pPr>
      <w:widowControl/>
      <w:spacing w:line="259" w:lineRule="auto"/>
      <w:outlineLvl w:val="9"/>
    </w:pPr>
    <w:rPr>
      <w:kern w:val="0"/>
      <w:lang w:eastAsia="en-US"/>
    </w:rPr>
  </w:style>
  <w:style w:type="character" w:styleId="Hyperlink">
    <w:name w:val="Hyperlink"/>
    <w:basedOn w:val="DefaultParagraphFont"/>
    <w:uiPriority w:val="99"/>
    <w:unhideWhenUsed/>
    <w:rsid w:val="007B25C9"/>
    <w:rPr>
      <w:color w:val="0563C1" w:themeColor="hyperlink"/>
      <w:u w:val="single"/>
    </w:rPr>
  </w:style>
  <w:style w:type="table" w:styleId="TableGrid">
    <w:name w:val="Table Grid"/>
    <w:basedOn w:val="TableNormal"/>
    <w:uiPriority w:val="59"/>
    <w:rsid w:val="007B25C9"/>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B25C9"/>
    <w:pPr>
      <w:spacing w:after="0" w:line="240" w:lineRule="auto"/>
    </w:pPr>
    <w:rPr>
      <w:kern w:val="2"/>
      <w:sz w:val="21"/>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7B25C9"/>
    <w:rPr>
      <w:color w:val="808080"/>
    </w:rPr>
  </w:style>
  <w:style w:type="paragraph" w:styleId="HTMLPreformatted">
    <w:name w:val="HTML Preformatted"/>
    <w:basedOn w:val="Normal"/>
    <w:link w:val="HTML"/>
    <w:uiPriority w:val="99"/>
    <w:unhideWhenUsed/>
    <w:rsid w:val="007B25C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rPr>
  </w:style>
  <w:style w:type="character" w:customStyle="1" w:styleId="HTML">
    <w:name w:val="HTML 预设格式 字符"/>
    <w:basedOn w:val="DefaultParagraphFont"/>
    <w:link w:val="HTMLPreformatted"/>
    <w:uiPriority w:val="99"/>
    <w:rsid w:val="007B25C9"/>
    <w:rPr>
      <w:rFonts w:ascii="Courier New" w:eastAsia="Times New Roman" w:hAnsi="Courier New" w:cs="Courier New"/>
      <w:sz w:val="20"/>
      <w:szCs w:val="20"/>
    </w:rPr>
  </w:style>
  <w:style w:type="paragraph" w:styleId="Title">
    <w:name w:val="Title"/>
    <w:basedOn w:val="Normal"/>
    <w:next w:val="Normal"/>
    <w:link w:val="a3"/>
    <w:uiPriority w:val="10"/>
    <w:qFormat/>
    <w:rsid w:val="007B25C9"/>
    <w:pPr>
      <w:spacing w:before="300" w:beforeLines="300" w:after="200" w:afterLines="200"/>
      <w:contextualSpacing/>
      <w:jc w:val="center"/>
    </w:pPr>
    <w:rPr>
      <w:rFonts w:ascii="华文中宋" w:eastAsia="华文中宋" w:hAnsi="华文中宋" w:cstheme="majorBidi"/>
      <w:b/>
      <w:spacing w:val="-10"/>
      <w:kern w:val="28"/>
      <w:sz w:val="44"/>
      <w:szCs w:val="56"/>
    </w:rPr>
  </w:style>
  <w:style w:type="character" w:customStyle="1" w:styleId="a3">
    <w:name w:val="标题 字符"/>
    <w:basedOn w:val="DefaultParagraphFont"/>
    <w:link w:val="Title"/>
    <w:uiPriority w:val="10"/>
    <w:rsid w:val="007B25C9"/>
    <w:rPr>
      <w:rFonts w:ascii="华文中宋" w:eastAsia="华文中宋" w:hAnsi="华文中宋" w:cstheme="majorBidi"/>
      <w:b/>
      <w:spacing w:val="-10"/>
      <w:kern w:val="28"/>
      <w:sz w:val="44"/>
      <w:szCs w:val="56"/>
    </w:rPr>
  </w:style>
  <w:style w:type="character" w:styleId="UnresolvedMention">
    <w:name w:val="Unresolved Mention"/>
    <w:basedOn w:val="DefaultParagraphFont"/>
    <w:uiPriority w:val="99"/>
    <w:semiHidden/>
    <w:unhideWhenUsed/>
    <w:rsid w:val="007B25C9"/>
    <w:rPr>
      <w:color w:val="605E5C"/>
      <w:shd w:val="clear" w:color="auto" w:fill="E1DFDD"/>
    </w:rPr>
  </w:style>
  <w:style w:type="paragraph" w:styleId="TOC1">
    <w:name w:val="toc 1"/>
    <w:basedOn w:val="Normal"/>
    <w:next w:val="Normal"/>
    <w:autoRedefine/>
    <w:uiPriority w:val="39"/>
    <w:unhideWhenUsed/>
    <w:rsid w:val="007B25C9"/>
    <w:pPr>
      <w:spacing w:after="100"/>
    </w:pPr>
    <w:rPr>
      <w:rFonts w:asciiTheme="minorEastAsia" w:hAnsiTheme="minorEastAsia"/>
      <w:b/>
    </w:rPr>
  </w:style>
  <w:style w:type="paragraph" w:styleId="TOC2">
    <w:name w:val="toc 2"/>
    <w:basedOn w:val="Normal"/>
    <w:next w:val="Normal"/>
    <w:autoRedefine/>
    <w:uiPriority w:val="39"/>
    <w:unhideWhenUsed/>
    <w:rsid w:val="007B25C9"/>
    <w:pPr>
      <w:spacing w:after="100"/>
      <w:ind w:left="210"/>
    </w:pPr>
  </w:style>
  <w:style w:type="paragraph" w:styleId="TOC3">
    <w:name w:val="toc 3"/>
    <w:basedOn w:val="Normal"/>
    <w:next w:val="Normal"/>
    <w:autoRedefine/>
    <w:uiPriority w:val="39"/>
    <w:unhideWhenUsed/>
    <w:rsid w:val="007B25C9"/>
    <w:pPr>
      <w:widowControl/>
      <w:spacing w:after="100" w:line="259" w:lineRule="auto"/>
      <w:ind w:left="440"/>
    </w:pPr>
    <w:rPr>
      <w:rFonts w:asciiTheme="minorHAnsi" w:eastAsiaTheme="minorEastAsia" w:hAnsiTheme="minorHAnsi"/>
      <w:kern w:val="0"/>
      <w:sz w:val="22"/>
    </w:rPr>
  </w:style>
  <w:style w:type="character" w:styleId="CommentReference">
    <w:name w:val="annotation reference"/>
    <w:basedOn w:val="DefaultParagraphFont"/>
    <w:uiPriority w:val="99"/>
    <w:semiHidden/>
    <w:unhideWhenUsed/>
    <w:rsid w:val="007B25C9"/>
    <w:rPr>
      <w:sz w:val="16"/>
      <w:szCs w:val="16"/>
    </w:rPr>
  </w:style>
  <w:style w:type="paragraph" w:styleId="CommentSubject">
    <w:name w:val="annotation subject"/>
    <w:basedOn w:val="CommentText"/>
    <w:next w:val="CommentText"/>
    <w:link w:val="a4"/>
    <w:uiPriority w:val="99"/>
    <w:semiHidden/>
    <w:unhideWhenUsed/>
    <w:rsid w:val="007B25C9"/>
    <w:pPr>
      <w:jc w:val="both"/>
    </w:pPr>
    <w:rPr>
      <w:b/>
      <w:bCs/>
      <w:sz w:val="20"/>
      <w:szCs w:val="20"/>
    </w:rPr>
  </w:style>
  <w:style w:type="character" w:customStyle="1" w:styleId="a4">
    <w:name w:val="批注主题 字符"/>
    <w:basedOn w:val="a2"/>
    <w:link w:val="CommentSubject"/>
    <w:uiPriority w:val="99"/>
    <w:semiHidden/>
    <w:rsid w:val="007B25C9"/>
    <w:rPr>
      <w:rFonts w:ascii="Calibri" w:eastAsia="宋体" w:hAnsi="Calibri" w:cs="Times New Roman"/>
      <w:b/>
      <w:bCs/>
      <w:kern w:val="2"/>
      <w:sz w:val="20"/>
      <w:szCs w:val="20"/>
    </w:rPr>
  </w:style>
  <w:style w:type="paragraph" w:styleId="IntenseQuote">
    <w:name w:val="Intense Quote"/>
    <w:basedOn w:val="Normal"/>
    <w:next w:val="Normal"/>
    <w:link w:val="a5"/>
    <w:uiPriority w:val="30"/>
    <w:qFormat/>
    <w:rsid w:val="007B25C9"/>
    <w:pPr>
      <w:pBdr>
        <w:bottom w:val="single" w:sz="4" w:space="1" w:color="auto"/>
      </w:pBdr>
      <w:spacing w:line="240" w:lineRule="auto"/>
      <w:jc w:val="center"/>
    </w:pPr>
    <w:rPr>
      <w:iCs/>
      <w:color w:val="000000" w:themeColor="text1"/>
      <w:sz w:val="21"/>
    </w:rPr>
  </w:style>
  <w:style w:type="character" w:customStyle="1" w:styleId="a5">
    <w:name w:val="明显引用 字符"/>
    <w:basedOn w:val="DefaultParagraphFont"/>
    <w:link w:val="IntenseQuote"/>
    <w:uiPriority w:val="30"/>
    <w:rsid w:val="007B25C9"/>
    <w:rPr>
      <w:rFonts w:ascii="Calibri" w:eastAsia="宋体" w:hAnsi="Calibri" w:cs="Times New Roman"/>
      <w:iCs/>
      <w:color w:val="000000" w:themeColor="text1"/>
      <w:kern w:val="2"/>
      <w:sz w:val="21"/>
    </w:rPr>
  </w:style>
  <w:style w:type="paragraph" w:styleId="NoSpacing">
    <w:name w:val="No Spacing"/>
    <w:aliases w:val="注释脚注"/>
    <w:uiPriority w:val="1"/>
    <w:qFormat/>
    <w:rsid w:val="007B25C9"/>
    <w:pPr>
      <w:widowControl w:val="0"/>
      <w:spacing w:after="0" w:line="240" w:lineRule="auto"/>
    </w:pPr>
    <w:rPr>
      <w:rFonts w:ascii="Calibri" w:eastAsia="宋体" w:hAnsi="Calibri" w:cs="Times New Roman"/>
      <w:kern w:val="2"/>
      <w:sz w:val="18"/>
    </w:rPr>
  </w:style>
  <w:style w:type="paragraph" w:styleId="Subtitle">
    <w:name w:val="Subtitle"/>
    <w:aliases w:val="图标内容"/>
    <w:basedOn w:val="Normal"/>
    <w:next w:val="Normal"/>
    <w:link w:val="a6"/>
    <w:uiPriority w:val="11"/>
    <w:qFormat/>
    <w:rsid w:val="007B25C9"/>
    <w:pPr>
      <w:spacing w:line="240" w:lineRule="auto"/>
      <w:outlineLvl w:val="1"/>
    </w:pPr>
    <w:rPr>
      <w:rFonts w:asciiTheme="minorHAnsi" w:eastAsiaTheme="minorEastAsia" w:hAnsiTheme="minorHAnsi" w:cstheme="minorBidi"/>
      <w:bCs/>
      <w:kern w:val="28"/>
      <w:sz w:val="21"/>
      <w:szCs w:val="32"/>
    </w:rPr>
  </w:style>
  <w:style w:type="character" w:customStyle="1" w:styleId="a6">
    <w:name w:val="副标题 字符"/>
    <w:aliases w:val="图标内容 字符"/>
    <w:basedOn w:val="DefaultParagraphFont"/>
    <w:link w:val="Subtitle"/>
    <w:uiPriority w:val="11"/>
    <w:rsid w:val="007B25C9"/>
    <w:rPr>
      <w:bCs/>
      <w:kern w:val="28"/>
      <w:sz w:val="21"/>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605140330332011103"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CE0256-9C00-4516-AA54-071BFF67A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2306</Words>
  <Characters>13146</Characters>
  <Application>Microsoft Office Word</Application>
  <DocSecurity>0</DocSecurity>
  <Lines>109</Lines>
  <Paragraphs>30</Paragraphs>
  <ScaleCrop>false</ScaleCrop>
  <Company/>
  <LinksUpToDate>false</LinksUpToDate>
  <CharactersWithSpaces>15422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XINRUI.WANG1@baruchmail.cuny.edu</dc:creator>
  <cp:lastModifiedBy>XINRUI.WANG1@baruchmail.cuny.edu</cp:lastModifiedBy>
  <cp:revision>1</cp:revision>
  <dcterms:created xsi:type="dcterms:W3CDTF">2020-03-30T15:06:00Z</dcterms:created>
  <dcterms:modified xsi:type="dcterms:W3CDTF">2020-03-30T15:09:00Z</dcterms:modified>
</cp:coreProperties>
</file>