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5"/>
        <w:ind w:left="1069" w:right="12925"/>
        <w:jc w:val="center"/>
      </w:pPr>
      <w:r>
        <w:t>、单选题</w:t>
      </w:r>
    </w:p>
    <w:p>
      <w:pPr>
        <w:pStyle w:val="BodyText"/>
        <w:tabs>
          <w:tab w:val="left" w:pos="5972"/>
        </w:tabs>
        <w:spacing w:before="283" w:line="439" w:lineRule="auto"/>
        <w:ind w:left="1083" w:right="8778"/>
      </w:pPr>
      <w:r>
        <w:rPr>
          <w:rFonts w:ascii="Arial" w:eastAsia="Arial"/>
        </w:rPr>
        <w:t>1</w:t>
      </w:r>
      <w:r>
        <w:t>、</w:t>
      </w:r>
      <w:r>
        <w:rPr>
          <w:spacing w:val="3"/>
        </w:rPr>
        <w:t xml:space="preserve"> </w:t>
      </w:r>
      <w:r>
        <w:t>人身保险按实施方式分为</w:t>
        <w:tab/>
      </w:r>
      <w:r>
        <w:rPr>
          <w:rFonts w:ascii="宋体" w:eastAsia="宋体" w:hint="eastAsia"/>
          <w:position w:val="6"/>
          <w:sz w:val="42"/>
        </w:rPr>
        <w:t>（</w:t>
      </w:r>
      <w:r>
        <w:rPr>
          <w:rFonts w:ascii="Arial" w:eastAsia="Arial"/>
        </w:rPr>
        <w:t>D</w:t>
      </w:r>
      <w:r>
        <w:rPr>
          <w:rFonts w:ascii="Arial" w:eastAsia="Arial"/>
          <w:spacing w:val="4"/>
        </w:rPr>
        <w:t xml:space="preserve"> </w:t>
      </w:r>
      <w:r>
        <w:rPr>
          <w:rFonts w:ascii="宋体" w:eastAsia="宋体" w:hint="eastAsia"/>
        </w:rPr>
        <w:t>）</w:t>
      </w:r>
      <w:r>
        <w:rPr>
          <w:spacing w:val="-18"/>
        </w:rPr>
        <w:t>。</w:t>
      </w:r>
      <w:r>
        <w:t>人寿保险、健康保险和人身意外伤害保险</w:t>
      </w:r>
    </w:p>
    <w:p>
      <w:pPr>
        <w:pStyle w:val="BodyText"/>
        <w:spacing w:before="48" w:line="468" w:lineRule="auto"/>
        <w:ind w:left="1083" w:right="8121"/>
      </w:pPr>
      <w:r>
        <w:t>个人保险、联合传统人身保险和新型人身保险保险和团体保险</w:t>
      </w:r>
    </w:p>
    <w:p>
      <w:pPr>
        <w:pStyle w:val="BodyText"/>
        <w:spacing w:line="443" w:lineRule="exact"/>
        <w:ind w:left="1083"/>
      </w:pPr>
      <w:r>
        <w:t>强制人身保险和自愿人身保险</w:t>
      </w:r>
    </w:p>
    <w:p>
      <w:pPr>
        <w:pStyle w:val="BodyText"/>
        <w:spacing w:before="5"/>
        <w:rPr>
          <w:sz w:val="31"/>
        </w:rPr>
      </w:pPr>
    </w:p>
    <w:p>
      <w:pPr>
        <w:pStyle w:val="BodyText"/>
        <w:tabs>
          <w:tab w:val="left" w:pos="7884"/>
        </w:tabs>
        <w:spacing w:line="477" w:lineRule="auto"/>
        <w:ind w:left="1083" w:right="6955"/>
      </w:pPr>
      <w:r>
        <w:rPr>
          <w:rFonts w:ascii="Arial" w:eastAsia="Arial"/>
        </w:rPr>
        <w:t>2</w:t>
      </w:r>
      <w:r>
        <w:t>、</w:t>
      </w:r>
      <w:r>
        <w:rPr>
          <w:spacing w:val="6"/>
        </w:rPr>
        <w:t xml:space="preserve"> </w:t>
      </w:r>
      <w:r>
        <w:t>认可资产减去认可负债的差额指的是</w:t>
        <w:tab/>
      </w:r>
      <w:r>
        <w:rPr>
          <w:rFonts w:ascii="宋体" w:eastAsia="宋体" w:hint="eastAsia"/>
        </w:rPr>
        <w:t>（</w:t>
      </w:r>
      <w:r>
        <w:rPr>
          <w:rFonts w:ascii="Arial" w:eastAsia="Arial"/>
        </w:rPr>
        <w:t>B</w:t>
      </w:r>
      <w:r>
        <w:rPr>
          <w:rFonts w:ascii="Arial" w:eastAsia="Arial"/>
          <w:spacing w:val="2"/>
        </w:rPr>
        <w:t xml:space="preserve"> </w:t>
      </w:r>
      <w:r>
        <w:rPr>
          <w:rFonts w:ascii="宋体" w:eastAsia="宋体" w:hint="eastAsia"/>
        </w:rPr>
        <w:t>）</w:t>
      </w:r>
      <w:r>
        <w:rPr>
          <w:spacing w:val="-16"/>
        </w:rPr>
        <w:t>。</w:t>
      </w:r>
      <w:r>
        <w:t>保险责任准备金</w:t>
      </w:r>
    </w:p>
    <w:p>
      <w:pPr>
        <w:pStyle w:val="BodyText"/>
        <w:spacing w:line="428" w:lineRule="exact"/>
        <w:ind w:left="1083"/>
      </w:pPr>
      <w:r>
        <w:t>实际偿付能力</w:t>
      </w:r>
    </w:p>
    <w:p>
      <w:pPr>
        <w:pStyle w:val="BodyText"/>
        <w:spacing w:before="2"/>
        <w:rPr>
          <w:sz w:val="33"/>
        </w:rPr>
      </w:pPr>
    </w:p>
    <w:p>
      <w:pPr>
        <w:pStyle w:val="BodyText"/>
        <w:ind w:left="1069" w:right="13021"/>
        <w:jc w:val="center"/>
      </w:pPr>
      <w:r>
        <w:t>最低偿付能力</w:t>
      </w:r>
    </w:p>
    <w:p>
      <w:pPr>
        <w:pStyle w:val="BodyText"/>
        <w:rPr>
          <w:sz w:val="20"/>
        </w:rPr>
      </w:pPr>
    </w:p>
    <w:p>
      <w:pPr>
        <w:spacing w:after="0"/>
        <w:rPr>
          <w:sz w:val="20"/>
        </w:rPr>
        <w:sectPr>
          <w:type w:val="continuous"/>
          <w:pgSz w:w="22370" w:h="31660"/>
          <w:pgMar w:top="2480" w:right="3000" w:bottom="280" w:left="3140" w:header="708" w:footer="708"/>
          <w:cols w:space="708"/>
        </w:sectPr>
      </w:pPr>
    </w:p>
    <w:p>
      <w:pPr>
        <w:pStyle w:val="BodyText"/>
        <w:spacing w:before="166"/>
        <w:ind w:left="1083"/>
      </w:pPr>
      <w:r>
        <w:t>法定偿付能力</w:t>
      </w:r>
    </w:p>
    <w:p>
      <w:pPr>
        <w:pStyle w:val="BodyText"/>
        <w:spacing w:before="272" w:line="439" w:lineRule="auto"/>
        <w:ind w:left="1083"/>
      </w:pPr>
      <w:r>
        <w:rPr>
          <w:rFonts w:ascii="Arial" w:eastAsia="Arial"/>
        </w:rPr>
        <w:t>3</w:t>
      </w:r>
      <w:r>
        <w:t>、 下列选项中</w:t>
      </w:r>
      <w:r>
        <w:rPr>
          <w:rFonts w:ascii="宋体" w:eastAsia="宋体" w:hint="eastAsia"/>
          <w:position w:val="6"/>
          <w:sz w:val="42"/>
        </w:rPr>
        <w:t>，</w:t>
      </w:r>
      <w:r>
        <w:t>不属于万能型人身保险特点的是兼具投资和保障功能</w:t>
      </w:r>
    </w:p>
    <w:p>
      <w:pPr>
        <w:pStyle w:val="BodyText"/>
        <w:rPr>
          <w:sz w:val="46"/>
        </w:rPr>
      </w:pPr>
      <w:r>
        <w:br w:type="column"/>
      </w:r>
    </w:p>
    <w:p>
      <w:pPr>
        <w:pStyle w:val="ListParagraph"/>
        <w:numPr>
          <w:ilvl w:val="0"/>
          <w:numId w:val="5"/>
        </w:numPr>
        <w:tabs>
          <w:tab w:val="left" w:pos="1273"/>
        </w:tabs>
        <w:spacing w:before="297" w:after="0" w:line="240" w:lineRule="auto"/>
        <w:ind w:left="1272" w:right="0" w:hanging="1027"/>
        <w:jc w:val="left"/>
        <w:rPr>
          <w:rFonts w:ascii="宋体" w:eastAsia="宋体" w:hint="eastAsia"/>
          <w:sz w:val="22"/>
        </w:rPr>
      </w:pPr>
      <w:r>
        <w:rPr>
          <w:rFonts w:ascii="宋体" w:eastAsia="宋体" w:hint="eastAsia"/>
          <w:w w:val="102"/>
          <w:position w:val="8"/>
          <w:sz w:val="22"/>
        </w:rPr>
        <w:t>。</w:t>
      </w:r>
    </w:p>
    <w:p>
      <w:pPr>
        <w:spacing w:after="0" w:line="240" w:lineRule="auto"/>
        <w:jc w:val="left"/>
        <w:rPr>
          <w:rFonts w:ascii="宋体" w:eastAsia="宋体" w:hint="eastAsia"/>
          <w:sz w:val="22"/>
        </w:rPr>
        <w:sectPr>
          <w:type w:val="continuous"/>
          <w:pgSz w:w="22370" w:h="31660"/>
          <w:pgMar w:top="2480" w:right="3000" w:bottom="280" w:left="3140" w:header="708" w:footer="708"/>
          <w:pgNumType w:start="2"/>
          <w:cols w:num="2" w:space="708" w:equalWidth="0">
            <w:col w:w="8896" w:space="40"/>
            <w:col w:w="7294" w:space="0"/>
          </w:cols>
        </w:sectPr>
      </w:pPr>
    </w:p>
    <w:p>
      <w:pPr>
        <w:pStyle w:val="BodyText"/>
        <w:spacing w:before="48"/>
        <w:ind w:left="1083"/>
      </w:pPr>
      <w:r>
        <w:t>交费灵活、收费透明</w:t>
      </w:r>
    </w:p>
    <w:p>
      <w:pPr>
        <w:pStyle w:val="BodyText"/>
        <w:spacing w:before="295" w:line="369" w:lineRule="auto"/>
        <w:ind w:left="1083" w:right="4541"/>
      </w:pPr>
      <w:r>
        <w:t>通常不设定最低保证利率</w:t>
      </w:r>
      <w:r>
        <w:rPr>
          <w:rFonts w:ascii="宋体" w:eastAsia="宋体" w:hint="eastAsia"/>
          <w:position w:val="6"/>
          <w:sz w:val="42"/>
        </w:rPr>
        <w:t>，</w:t>
      </w:r>
      <w:r>
        <w:t>投资收益可以在账户价格波动中反映出来灵活性高</w:t>
      </w:r>
      <w:r>
        <w:rPr>
          <w:rFonts w:ascii="宋体" w:eastAsia="宋体" w:hint="eastAsia"/>
          <w:position w:val="6"/>
          <w:sz w:val="42"/>
        </w:rPr>
        <w:t>，</w:t>
      </w:r>
      <w:r>
        <w:t>保额可调整</w:t>
      </w:r>
    </w:p>
    <w:p>
      <w:pPr>
        <w:spacing w:after="0" w:line="369" w:lineRule="auto"/>
        <w:sectPr>
          <w:type w:val="continuous"/>
          <w:pgSz w:w="22370" w:h="31660"/>
          <w:pgMar w:top="2480" w:right="3000" w:bottom="280" w:left="3140" w:header="708" w:footer="708"/>
          <w:pgNumType w:start="3"/>
          <w:cols w:space="708"/>
        </w:sectPr>
      </w:pPr>
    </w:p>
    <w:p>
      <w:pPr>
        <w:pStyle w:val="BodyText"/>
        <w:spacing w:before="115"/>
        <w:ind w:left="1083"/>
      </w:pPr>
      <w:r>
        <w:rPr>
          <w:rFonts w:ascii="Arial" w:eastAsia="Arial"/>
        </w:rPr>
        <w:t>4</w:t>
      </w:r>
      <w:r>
        <w:t>、 保险公司开业时最少要有</w:t>
      </w:r>
    </w:p>
    <w:p>
      <w:pPr>
        <w:pStyle w:val="BodyText"/>
        <w:spacing w:before="12"/>
        <w:rPr>
          <w:sz w:val="32"/>
        </w:rPr>
      </w:pPr>
    </w:p>
    <w:p>
      <w:pPr>
        <w:pStyle w:val="ListParagraph"/>
        <w:numPr>
          <w:ilvl w:val="1"/>
          <w:numId w:val="5"/>
        </w:numPr>
        <w:tabs>
          <w:tab w:val="left" w:pos="1356"/>
        </w:tabs>
        <w:spacing w:before="0" w:after="0" w:line="240" w:lineRule="auto"/>
        <w:ind w:left="1355" w:right="0" w:hanging="273"/>
        <w:jc w:val="left"/>
        <w:rPr>
          <w:sz w:val="35"/>
        </w:rPr>
      </w:pPr>
      <w:r>
        <w:rPr>
          <w:sz w:val="35"/>
        </w:rPr>
        <w:t>亿元</w:t>
      </w:r>
    </w:p>
    <w:p>
      <w:pPr>
        <w:pStyle w:val="BodyText"/>
        <w:spacing w:before="12"/>
        <w:rPr>
          <w:sz w:val="32"/>
        </w:rPr>
      </w:pPr>
    </w:p>
    <w:p>
      <w:pPr>
        <w:pStyle w:val="ListParagraph"/>
        <w:numPr>
          <w:ilvl w:val="1"/>
          <w:numId w:val="5"/>
        </w:numPr>
        <w:tabs>
          <w:tab w:val="left" w:pos="1356"/>
        </w:tabs>
        <w:spacing w:before="0" w:after="0" w:line="240" w:lineRule="auto"/>
        <w:ind w:left="1355" w:right="0" w:hanging="273"/>
        <w:jc w:val="left"/>
        <w:rPr>
          <w:sz w:val="35"/>
        </w:rPr>
      </w:pPr>
      <w:r>
        <w:rPr>
          <w:sz w:val="35"/>
        </w:rPr>
        <w:t>亿元</w:t>
      </w:r>
    </w:p>
    <w:p>
      <w:pPr>
        <w:pStyle w:val="BodyText"/>
        <w:spacing w:before="2"/>
        <w:rPr>
          <w:sz w:val="33"/>
        </w:rPr>
      </w:pPr>
    </w:p>
    <w:p>
      <w:pPr>
        <w:pStyle w:val="BodyText"/>
        <w:ind w:left="1083"/>
      </w:pPr>
      <w:r>
        <w:rPr>
          <w:rFonts w:ascii="Arial" w:eastAsia="Arial"/>
        </w:rPr>
        <w:t xml:space="preserve">5 </w:t>
      </w:r>
      <w:r>
        <w:t>亿元</w:t>
      </w:r>
    </w:p>
    <w:p>
      <w:pPr>
        <w:pStyle w:val="BodyText"/>
        <w:spacing w:line="564" w:lineRule="exact"/>
        <w:ind w:left="266"/>
      </w:pPr>
      <w:r>
        <w:br w:type="column"/>
      </w:r>
      <w:r>
        <w:rPr>
          <w:rFonts w:ascii="宋体" w:eastAsia="宋体" w:hint="eastAsia"/>
          <w:position w:val="6"/>
          <w:sz w:val="42"/>
        </w:rPr>
        <w:t>（</w:t>
      </w:r>
      <w:r>
        <w:rPr>
          <w:rFonts w:ascii="Arial" w:eastAsia="Arial"/>
        </w:rPr>
        <w:t>B</w:t>
      </w:r>
      <w:r>
        <w:rPr>
          <w:rFonts w:ascii="宋体" w:eastAsia="宋体" w:hint="eastAsia"/>
        </w:rPr>
        <w:t>）</w:t>
      </w:r>
      <w:r>
        <w:t>人民币的资本。</w:t>
      </w:r>
    </w:p>
    <w:p>
      <w:pPr>
        <w:spacing w:after="0" w:line="564" w:lineRule="exact"/>
        <w:sectPr>
          <w:type w:val="continuous"/>
          <w:pgSz w:w="22370" w:h="31660"/>
          <w:pgMar w:top="2480" w:right="3000" w:bottom="280" w:left="3140" w:header="708" w:footer="708"/>
          <w:pgNumType w:start="4"/>
          <w:cols w:num="2" w:space="708" w:equalWidth="0">
            <w:col w:w="5666" w:space="40"/>
            <w:col w:w="10524" w:space="0"/>
          </w:cols>
        </w:sectPr>
      </w:pPr>
    </w:p>
    <w:p>
      <w:pPr>
        <w:pStyle w:val="BodyText"/>
        <w:spacing w:before="6"/>
        <w:rPr>
          <w:sz w:val="25"/>
        </w:rPr>
      </w:pPr>
    </w:p>
    <w:p>
      <w:pPr>
        <w:spacing w:after="0"/>
        <w:rPr>
          <w:sz w:val="25"/>
        </w:rPr>
        <w:sectPr>
          <w:type w:val="continuous"/>
          <w:pgSz w:w="22370" w:h="31660"/>
          <w:pgMar w:top="2480" w:right="3000" w:bottom="280" w:left="3140" w:header="708" w:footer="708"/>
          <w:pgNumType w:start="5"/>
          <w:cols w:space="708"/>
        </w:sectPr>
      </w:pPr>
    </w:p>
    <w:p>
      <w:pPr>
        <w:pStyle w:val="BodyText"/>
        <w:spacing w:before="93"/>
        <w:ind w:left="1083"/>
      </w:pPr>
      <w:r>
        <w:rPr>
          <w:rFonts w:ascii="Arial" w:eastAsia="Arial"/>
        </w:rPr>
        <w:t xml:space="preserve">10 </w:t>
      </w:r>
      <w:r>
        <w:t>亿元</w:t>
      </w:r>
    </w:p>
    <w:p>
      <w:pPr>
        <w:pStyle w:val="BodyText"/>
        <w:spacing w:before="7"/>
      </w:pPr>
    </w:p>
    <w:p>
      <w:pPr>
        <w:pStyle w:val="BodyText"/>
        <w:ind w:left="1083"/>
      </w:pPr>
      <w:r>
        <w:rPr>
          <w:rFonts w:ascii="Arial" w:eastAsia="Arial"/>
        </w:rPr>
        <w:t>5</w:t>
      </w:r>
      <w:r>
        <w:t>、 保险公司根据已有资料尚不能作出准确的理赔结论</w:t>
      </w:r>
    </w:p>
    <w:p>
      <w:pPr>
        <w:pStyle w:val="BodyText"/>
        <w:spacing w:before="9"/>
        <w:rPr>
          <w:sz w:val="67"/>
        </w:rPr>
      </w:pPr>
      <w:r>
        <w:br w:type="column"/>
      </w:r>
    </w:p>
    <w:p>
      <w:pPr>
        <w:pStyle w:val="BodyText"/>
        <w:ind w:left="716"/>
      </w:pPr>
      <w:r>
        <w:rPr>
          <w:rFonts w:ascii="宋体" w:eastAsia="宋体" w:hint="eastAsia"/>
          <w:position w:val="6"/>
          <w:sz w:val="42"/>
        </w:rPr>
        <w:t>，</w:t>
      </w:r>
      <w:r>
        <w:t>需进一步明确发生的事故是否</w:t>
      </w:r>
    </w:p>
    <w:p>
      <w:pPr>
        <w:spacing w:after="0"/>
        <w:sectPr>
          <w:type w:val="continuous"/>
          <w:pgSz w:w="22370" w:h="31660"/>
          <w:pgMar w:top="2480" w:right="3000" w:bottom="280" w:left="3140" w:header="708" w:footer="708"/>
          <w:pgNumType w:start="6"/>
          <w:cols w:num="2" w:space="708" w:equalWidth="0">
            <w:col w:w="9527" w:space="40"/>
            <w:col w:w="6663" w:space="0"/>
          </w:cols>
        </w:sectPr>
      </w:pPr>
    </w:p>
    <w:p>
      <w:pPr>
        <w:pStyle w:val="BodyText"/>
        <w:tabs>
          <w:tab w:val="left" w:pos="13189"/>
        </w:tabs>
        <w:spacing w:before="9"/>
        <w:ind w:left="170"/>
      </w:pPr>
      <w:r>
        <w:t>属于保险责任而向事故的相关知情人、联系人或处理人进行核实取证的工作</w:t>
        <w:tab/>
      </w:r>
      <w:r>
        <w:rPr>
          <w:rFonts w:ascii="宋体" w:eastAsia="宋体" w:hint="eastAsia"/>
          <w:position w:val="6"/>
          <w:sz w:val="42"/>
        </w:rPr>
        <w:t>，</w:t>
      </w:r>
      <w:r>
        <w:t>属于</w:t>
      </w:r>
      <w:r>
        <w:rPr>
          <w:rFonts w:ascii="宋体" w:eastAsia="宋体" w:hint="eastAsia"/>
        </w:rPr>
        <w:t>（</w:t>
      </w:r>
      <w:r>
        <w:rPr>
          <w:rFonts w:ascii="Arial" w:eastAsia="Arial"/>
        </w:rPr>
        <w:t>C</w:t>
      </w:r>
      <w:r>
        <w:rPr>
          <w:rFonts w:ascii="Arial" w:eastAsia="Arial"/>
          <w:spacing w:val="1"/>
        </w:rPr>
        <w:t xml:space="preserve"> </w:t>
      </w:r>
      <w:r>
        <w:rPr>
          <w:rFonts w:ascii="宋体" w:eastAsia="宋体" w:hint="eastAsia"/>
          <w:spacing w:val="-3"/>
        </w:rPr>
        <w:t>）</w:t>
      </w:r>
      <w:r>
        <w:t>。</w:t>
      </w:r>
    </w:p>
    <w:p>
      <w:pPr>
        <w:pStyle w:val="BodyText"/>
        <w:spacing w:before="12"/>
        <w:rPr>
          <w:sz w:val="29"/>
        </w:rPr>
      </w:pPr>
    </w:p>
    <w:p>
      <w:pPr>
        <w:pStyle w:val="BodyText"/>
        <w:spacing w:before="38" w:line="468" w:lineRule="auto"/>
        <w:ind w:left="1083" w:right="13737"/>
        <w:jc w:val="both"/>
      </w:pPr>
      <w:r>
        <w:t>理赔报案理赔受理理赔调查理赔审核</w:t>
      </w:r>
    </w:p>
    <w:p>
      <w:pPr>
        <w:pStyle w:val="BodyText"/>
        <w:spacing w:line="418" w:lineRule="exact"/>
        <w:ind w:left="1105"/>
      </w:pPr>
      <w:r>
        <w:rPr>
          <w:rFonts w:ascii="Arial" w:eastAsia="Arial"/>
        </w:rPr>
        <w:t>6</w:t>
      </w:r>
      <w:r>
        <w:t>、 理赔调查的方法多种多样</w:t>
      </w:r>
      <w:r>
        <w:rPr>
          <w:rFonts w:ascii="宋体" w:eastAsia="宋体" w:hint="eastAsia"/>
          <w:position w:val="6"/>
          <w:sz w:val="42"/>
        </w:rPr>
        <w:t>，</w:t>
      </w:r>
      <w:r>
        <w:t>其中以事故发生现场中与理赔案件有关的物质客体为对 象的调</w:t>
      </w:r>
    </w:p>
    <w:p>
      <w:pPr>
        <w:pStyle w:val="BodyText"/>
        <w:spacing w:before="9" w:line="429" w:lineRule="auto"/>
        <w:ind w:left="1083" w:right="12521" w:hanging="913"/>
      </w:pPr>
      <w:r>
        <w:t>查活动</w:t>
      </w:r>
      <w:r>
        <w:rPr>
          <w:rFonts w:ascii="宋体" w:eastAsia="宋体" w:hint="eastAsia"/>
          <w:spacing w:val="-3"/>
          <w:position w:val="6"/>
          <w:sz w:val="42"/>
        </w:rPr>
        <w:t>，</w:t>
      </w:r>
      <w:r>
        <w:t>属于</w:t>
      </w:r>
      <w:r>
        <w:rPr>
          <w:rFonts w:ascii="宋体" w:eastAsia="宋体" w:hint="eastAsia"/>
          <w:position w:val="6"/>
          <w:sz w:val="42"/>
        </w:rPr>
        <w:t>（</w:t>
      </w:r>
      <w:r>
        <w:rPr>
          <w:rFonts w:ascii="Arial" w:eastAsia="Arial"/>
        </w:rPr>
        <w:t>B</w:t>
      </w:r>
      <w:r>
        <w:rPr>
          <w:rFonts w:ascii="宋体" w:eastAsia="宋体" w:hint="eastAsia"/>
        </w:rPr>
        <w:t>）</w:t>
      </w:r>
      <w:r>
        <w:rPr>
          <w:spacing w:val="-15"/>
        </w:rPr>
        <w:t>。</w:t>
      </w:r>
      <w:r>
        <w:t>走访调查</w:t>
      </w:r>
    </w:p>
    <w:p>
      <w:pPr>
        <w:pStyle w:val="BodyText"/>
        <w:spacing w:before="68"/>
        <w:ind w:left="1083"/>
      </w:pPr>
      <w:r>
        <w:t>现场勘查</w:t>
      </w:r>
    </w:p>
    <w:p>
      <w:pPr>
        <w:spacing w:after="0"/>
        <w:sectPr>
          <w:type w:val="continuous"/>
          <w:pgSz w:w="22370" w:h="31660"/>
          <w:pgMar w:top="2480" w:right="3000" w:bottom="280" w:left="3140" w:header="708" w:footer="708"/>
          <w:pgNumType w:start="7"/>
          <w:cols w:space="708"/>
        </w:sectPr>
      </w:pPr>
    </w:p>
    <w:p>
      <w:pPr>
        <w:pStyle w:val="BodyText"/>
        <w:spacing w:before="22" w:line="468" w:lineRule="auto"/>
        <w:ind w:left="1105" w:right="12661"/>
      </w:pPr>
      <w:r>
        <w:t xml:space="preserve">现场模拟实验 </w:t>
      </w:r>
      <w:r>
        <w:rPr>
          <w:spacing w:val="-3"/>
        </w:rPr>
        <w:t>咨询和委托鉴定</w:t>
      </w:r>
    </w:p>
    <w:p>
      <w:pPr>
        <w:pStyle w:val="BodyText"/>
        <w:spacing w:line="420" w:lineRule="exact"/>
        <w:ind w:left="1105"/>
      </w:pPr>
      <w:r>
        <w:rPr>
          <w:rFonts w:ascii="Arial" w:eastAsia="Arial"/>
        </w:rPr>
        <w:t>7</w:t>
      </w:r>
      <w:r>
        <w:t>、 保险理赔工作中</w:t>
      </w:r>
      <w:r>
        <w:rPr>
          <w:rFonts w:ascii="宋体" w:eastAsia="宋体" w:hint="eastAsia"/>
          <w:position w:val="6"/>
          <w:sz w:val="42"/>
        </w:rPr>
        <w:t>，</w:t>
      </w:r>
      <w:r>
        <w:t>报案受理的第一项工作是</w:t>
      </w:r>
      <w:r>
        <w:rPr>
          <w:rFonts w:ascii="宋体" w:eastAsia="宋体" w:hint="eastAsia"/>
          <w:position w:val="6"/>
          <w:sz w:val="42"/>
        </w:rPr>
        <w:t>（</w:t>
      </w:r>
      <w:r>
        <w:rPr>
          <w:rFonts w:ascii="Arial" w:eastAsia="Arial"/>
        </w:rPr>
        <w:t>B</w:t>
      </w:r>
      <w:r>
        <w:rPr>
          <w:rFonts w:ascii="宋体" w:eastAsia="宋体" w:hint="eastAsia"/>
        </w:rPr>
        <w:t>）</w:t>
      </w:r>
      <w:r>
        <w:t>。</w:t>
      </w:r>
    </w:p>
    <w:p>
      <w:pPr>
        <w:pStyle w:val="BodyText"/>
        <w:spacing w:before="4"/>
        <w:rPr>
          <w:sz w:val="34"/>
        </w:rPr>
      </w:pPr>
    </w:p>
    <w:p>
      <w:pPr>
        <w:pStyle w:val="BodyText"/>
        <w:ind w:left="1105"/>
      </w:pPr>
      <w:r>
        <w:t>保单信息查询</w:t>
      </w:r>
    </w:p>
    <w:p>
      <w:pPr>
        <w:pStyle w:val="BodyText"/>
        <w:spacing w:before="9"/>
        <w:rPr>
          <w:sz w:val="32"/>
        </w:rPr>
      </w:pPr>
    </w:p>
    <w:p>
      <w:pPr>
        <w:pStyle w:val="BodyText"/>
        <w:spacing w:line="463" w:lineRule="auto"/>
        <w:ind w:left="1105" w:right="11959"/>
      </w:pPr>
      <w:r>
        <w:t>报案信息询问和记录索赔指导</w:t>
      </w:r>
    </w:p>
    <w:p>
      <w:pPr>
        <w:spacing w:after="0" w:line="463" w:lineRule="auto"/>
        <w:sectPr>
          <w:pgSz w:w="22370" w:h="31660"/>
          <w:pgMar w:top="2320" w:right="3000" w:bottom="280" w:left="3140" w:header="708" w:footer="708"/>
          <w:pgNumType w:start="8"/>
          <w:cols w:space="708"/>
        </w:sectPr>
      </w:pPr>
    </w:p>
    <w:p>
      <w:pPr>
        <w:pStyle w:val="BodyText"/>
        <w:spacing w:before="4"/>
        <w:ind w:left="1105"/>
      </w:pPr>
      <w:r>
        <w:t>案件通报</w:t>
      </w:r>
    </w:p>
    <w:p>
      <w:pPr>
        <w:pStyle w:val="BodyText"/>
        <w:spacing w:before="4"/>
        <w:rPr>
          <w:sz w:val="31"/>
        </w:rPr>
      </w:pPr>
    </w:p>
    <w:p>
      <w:pPr>
        <w:pStyle w:val="BodyText"/>
        <w:spacing w:before="1"/>
        <w:ind w:left="1105"/>
      </w:pPr>
      <w:r>
        <w:rPr>
          <w:rFonts w:ascii="Arial" w:eastAsia="Arial"/>
        </w:rPr>
        <w:t>8</w:t>
      </w:r>
      <w:r>
        <w:t>、 理赔人员根据保险金申请人提供的索赔资料</w:t>
      </w:r>
    </w:p>
    <w:p>
      <w:pPr>
        <w:pStyle w:val="BodyText"/>
        <w:spacing w:before="7"/>
        <w:rPr>
          <w:sz w:val="56"/>
        </w:rPr>
      </w:pPr>
      <w:r>
        <w:br w:type="column"/>
      </w:r>
    </w:p>
    <w:p>
      <w:pPr>
        <w:pStyle w:val="BodyText"/>
        <w:ind w:left="598"/>
      </w:pPr>
      <w:r>
        <w:rPr>
          <w:rFonts w:ascii="宋体" w:eastAsia="宋体" w:hint="eastAsia"/>
          <w:position w:val="6"/>
          <w:sz w:val="42"/>
        </w:rPr>
        <w:t>，</w:t>
      </w:r>
      <w:r>
        <w:t>结合投保单、健康告知、财务告知、 体</w:t>
      </w:r>
    </w:p>
    <w:p>
      <w:pPr>
        <w:spacing w:after="0"/>
        <w:sectPr>
          <w:type w:val="continuous"/>
          <w:pgSz w:w="22370" w:h="31660"/>
          <w:pgMar w:top="2480" w:right="3000" w:bottom="280" w:left="3140" w:header="708" w:footer="708"/>
          <w:pgNumType w:start="9"/>
          <w:cols w:num="2" w:space="708" w:equalWidth="0">
            <w:col w:w="8496" w:space="40"/>
            <w:col w:w="7694" w:space="0"/>
          </w:cols>
        </w:sectPr>
      </w:pPr>
    </w:p>
    <w:p>
      <w:pPr>
        <w:pStyle w:val="BodyText"/>
        <w:spacing w:before="28" w:line="244" w:lineRule="auto"/>
        <w:ind w:left="170" w:right="466"/>
      </w:pPr>
      <w:r>
        <w:t xml:space="preserve">检资料、保单变更情况和既往赔付情况 </w:t>
      </w:r>
      <w:r>
        <w:rPr>
          <w:rFonts w:ascii="宋体" w:eastAsia="宋体" w:hint="eastAsia"/>
          <w:position w:val="6"/>
          <w:sz w:val="42"/>
        </w:rPr>
        <w:t>，</w:t>
      </w:r>
      <w:r>
        <w:t>对赔案进行审核</w:t>
      </w:r>
      <w:r>
        <w:rPr>
          <w:rFonts w:ascii="宋体" w:eastAsia="宋体" w:hint="eastAsia"/>
          <w:position w:val="6"/>
          <w:sz w:val="42"/>
        </w:rPr>
        <w:t>，</w:t>
      </w:r>
      <w:r>
        <w:t>作出理赔结论并确定赔付金额 我们把这一过程称为</w:t>
      </w:r>
      <w:r>
        <w:rPr>
          <w:rFonts w:ascii="宋体" w:eastAsia="宋体" w:hint="eastAsia"/>
          <w:position w:val="6"/>
          <w:sz w:val="42"/>
        </w:rPr>
        <w:t>（</w:t>
      </w:r>
      <w:r>
        <w:rPr>
          <w:rFonts w:ascii="Arial" w:eastAsia="Arial"/>
        </w:rPr>
        <w:t xml:space="preserve">D </w:t>
      </w:r>
      <w:r>
        <w:rPr>
          <w:rFonts w:ascii="宋体" w:eastAsia="宋体" w:hint="eastAsia"/>
        </w:rPr>
        <w:t>）</w:t>
      </w:r>
      <w:r>
        <w:t>。</w:t>
      </w:r>
    </w:p>
    <w:p>
      <w:pPr>
        <w:pStyle w:val="BodyText"/>
        <w:spacing w:before="10"/>
        <w:rPr>
          <w:sz w:val="28"/>
        </w:rPr>
      </w:pPr>
    </w:p>
    <w:p>
      <w:pPr>
        <w:pStyle w:val="BodyText"/>
        <w:spacing w:before="38" w:line="463" w:lineRule="auto"/>
        <w:ind w:left="1105" w:right="13714"/>
        <w:jc w:val="both"/>
      </w:pPr>
      <w:r>
        <w:t>理赔报案理赔受理理赔调查</w:t>
      </w:r>
    </w:p>
    <w:p>
      <w:pPr>
        <w:spacing w:after="0" w:line="463" w:lineRule="auto"/>
        <w:jc w:val="both"/>
        <w:sectPr>
          <w:type w:val="continuous"/>
          <w:pgSz w:w="22370" w:h="31660"/>
          <w:pgMar w:top="2480" w:right="3000" w:bottom="280" w:left="3140" w:header="708" w:footer="708"/>
          <w:pgNumType w:start="10"/>
          <w:cols w:space="708"/>
        </w:sectPr>
      </w:pPr>
    </w:p>
    <w:p>
      <w:pPr>
        <w:pStyle w:val="BodyText"/>
        <w:spacing w:before="9"/>
        <w:ind w:left="1105"/>
      </w:pPr>
      <w:r>
        <w:t>理赔审核</w:t>
      </w:r>
    </w:p>
    <w:p>
      <w:pPr>
        <w:pStyle w:val="BodyText"/>
        <w:spacing w:before="2"/>
        <w:rPr>
          <w:sz w:val="31"/>
        </w:rPr>
      </w:pPr>
    </w:p>
    <w:p>
      <w:pPr>
        <w:pStyle w:val="BodyText"/>
        <w:ind w:left="1105"/>
      </w:pPr>
      <w:r>
        <w:rPr>
          <w:rFonts w:ascii="Arial" w:eastAsia="Arial"/>
        </w:rPr>
        <w:t>9</w:t>
      </w:r>
      <w:r>
        <w:t>、 当理赔案件进入保险金给付环节时</w:t>
      </w:r>
    </w:p>
    <w:p>
      <w:pPr>
        <w:pStyle w:val="BodyText"/>
        <w:spacing w:before="9"/>
        <w:rPr>
          <w:sz w:val="56"/>
        </w:rPr>
      </w:pPr>
      <w:r>
        <w:br w:type="column"/>
      </w:r>
    </w:p>
    <w:p>
      <w:pPr>
        <w:pStyle w:val="BodyText"/>
        <w:ind w:left="471"/>
      </w:pPr>
      <w:r>
        <w:rPr>
          <w:rFonts w:ascii="宋体" w:eastAsia="宋体" w:hint="eastAsia"/>
          <w:position w:val="6"/>
          <w:sz w:val="42"/>
        </w:rPr>
        <w:t>，</w:t>
      </w:r>
      <w:r>
        <w:t>对于属于保险责任的</w:t>
      </w:r>
      <w:r>
        <w:rPr>
          <w:rFonts w:ascii="宋体" w:eastAsia="宋体" w:hint="eastAsia"/>
          <w:position w:val="6"/>
          <w:sz w:val="42"/>
        </w:rPr>
        <w:t>，</w:t>
      </w:r>
      <w:r>
        <w:t>保险公司应在与被保险人</w:t>
      </w:r>
    </w:p>
    <w:p>
      <w:pPr>
        <w:spacing w:after="0"/>
        <w:sectPr>
          <w:type w:val="continuous"/>
          <w:pgSz w:w="22370" w:h="31660"/>
          <w:pgMar w:top="2480" w:right="3000" w:bottom="280" w:left="3140" w:header="708" w:footer="708"/>
          <w:pgNumType w:start="11"/>
          <w:cols w:num="2" w:space="708" w:equalWidth="0">
            <w:col w:w="7092" w:space="40"/>
            <w:col w:w="9098" w:space="0"/>
          </w:cols>
        </w:sectPr>
      </w:pPr>
    </w:p>
    <w:p>
      <w:pPr>
        <w:pStyle w:val="BodyText"/>
        <w:tabs>
          <w:tab w:val="left" w:pos="7994"/>
        </w:tabs>
        <w:spacing w:before="29"/>
        <w:ind w:left="170"/>
      </w:pPr>
      <w:r>
        <w:t>或者受益人达成赔偿或者给付保险金的协议后</w:t>
        <w:tab/>
      </w:r>
      <w:r>
        <w:rPr>
          <w:rFonts w:ascii="宋体" w:eastAsia="宋体" w:hint="eastAsia"/>
        </w:rPr>
        <w:t>（</w:t>
      </w:r>
      <w:r>
        <w:rPr>
          <w:rFonts w:ascii="Arial" w:eastAsia="Arial"/>
        </w:rPr>
        <w:t>C</w:t>
      </w:r>
      <w:r>
        <w:rPr>
          <w:rFonts w:ascii="Arial" w:eastAsia="Arial"/>
          <w:spacing w:val="1"/>
        </w:rPr>
        <w:t xml:space="preserve"> </w:t>
      </w:r>
      <w:r>
        <w:rPr>
          <w:rFonts w:ascii="宋体" w:eastAsia="宋体" w:hint="eastAsia"/>
        </w:rPr>
        <w:t>）</w:t>
      </w:r>
      <w:r>
        <w:t>内</w:t>
      </w:r>
      <w:r>
        <w:rPr>
          <w:rFonts w:ascii="宋体" w:eastAsia="宋体" w:hint="eastAsia"/>
          <w:spacing w:val="-3"/>
          <w:position w:val="6"/>
          <w:sz w:val="42"/>
        </w:rPr>
        <w:t>，</w:t>
      </w:r>
      <w:r>
        <w:t>履行赔偿或者给付保险金义务。</w:t>
      </w:r>
    </w:p>
    <w:p>
      <w:pPr>
        <w:pStyle w:val="BodyText"/>
        <w:spacing w:before="10"/>
        <w:rPr>
          <w:sz w:val="29"/>
        </w:rPr>
      </w:pPr>
    </w:p>
    <w:p>
      <w:pPr>
        <w:pStyle w:val="BodyText"/>
        <w:spacing w:before="93"/>
        <w:ind w:left="1105"/>
      </w:pPr>
      <w:r>
        <w:rPr>
          <w:rFonts w:ascii="Arial" w:eastAsia="Arial"/>
        </w:rPr>
        <w:t>3</w:t>
      </w:r>
      <w:r>
        <w:rPr>
          <w:rFonts w:ascii="Arial" w:eastAsia="Arial"/>
          <w:spacing w:val="-20"/>
        </w:rPr>
        <w:t xml:space="preserve"> </w:t>
      </w:r>
      <w:r>
        <w:t>日</w:t>
      </w:r>
    </w:p>
    <w:p>
      <w:pPr>
        <w:pStyle w:val="BodyText"/>
        <w:spacing w:before="11"/>
        <w:rPr>
          <w:sz w:val="38"/>
        </w:rPr>
      </w:pPr>
    </w:p>
    <w:p>
      <w:pPr>
        <w:pStyle w:val="BodyText"/>
        <w:ind w:left="1105"/>
      </w:pPr>
      <w:r>
        <w:rPr>
          <w:rFonts w:ascii="Arial" w:eastAsia="Arial"/>
        </w:rPr>
        <w:t>5</w:t>
      </w:r>
      <w:r>
        <w:rPr>
          <w:rFonts w:ascii="Arial" w:eastAsia="Arial"/>
          <w:spacing w:val="-20"/>
        </w:rPr>
        <w:t xml:space="preserve"> </w:t>
      </w:r>
      <w:r>
        <w:t>日</w:t>
      </w:r>
    </w:p>
    <w:p>
      <w:pPr>
        <w:pStyle w:val="BodyText"/>
        <w:spacing w:before="11"/>
        <w:rPr>
          <w:sz w:val="38"/>
        </w:rPr>
      </w:pPr>
    </w:p>
    <w:p>
      <w:pPr>
        <w:pStyle w:val="BodyText"/>
        <w:ind w:left="1105"/>
      </w:pPr>
      <w:r>
        <w:rPr>
          <w:rFonts w:ascii="Arial" w:eastAsia="Arial"/>
        </w:rPr>
        <w:t>10</w:t>
      </w:r>
      <w:r>
        <w:rPr>
          <w:rFonts w:ascii="Arial" w:eastAsia="Arial"/>
          <w:spacing w:val="-18"/>
        </w:rPr>
        <w:t xml:space="preserve"> </w:t>
      </w:r>
      <w:r>
        <w:t>日</w:t>
      </w:r>
    </w:p>
    <w:p>
      <w:pPr>
        <w:pStyle w:val="BodyText"/>
        <w:spacing w:before="11"/>
        <w:rPr>
          <w:sz w:val="38"/>
        </w:rPr>
      </w:pPr>
    </w:p>
    <w:p>
      <w:pPr>
        <w:pStyle w:val="BodyText"/>
        <w:ind w:left="1105"/>
      </w:pPr>
      <w:r>
        <w:rPr>
          <w:rFonts w:ascii="Arial" w:eastAsia="Arial"/>
        </w:rPr>
        <w:t>30</w:t>
      </w:r>
      <w:r>
        <w:rPr>
          <w:rFonts w:ascii="Arial" w:eastAsia="Arial"/>
          <w:spacing w:val="-18"/>
        </w:rPr>
        <w:t xml:space="preserve"> </w:t>
      </w:r>
      <w:r>
        <w:t>日</w:t>
      </w:r>
    </w:p>
    <w:p>
      <w:pPr>
        <w:pStyle w:val="BodyText"/>
        <w:spacing w:before="10"/>
        <w:rPr>
          <w:sz w:val="37"/>
        </w:rPr>
      </w:pPr>
    </w:p>
    <w:p>
      <w:pPr>
        <w:pStyle w:val="BodyText"/>
        <w:tabs>
          <w:tab w:val="left" w:pos="2136"/>
        </w:tabs>
        <w:spacing w:line="472" w:lineRule="auto"/>
        <w:ind w:left="1105" w:right="572"/>
      </w:pPr>
      <w:r>
        <w:rPr>
          <w:rFonts w:ascii="Arial" w:eastAsia="Arial"/>
        </w:rPr>
        <w:t>10</w:t>
      </w:r>
      <w:r>
        <w:t>、</w:t>
        <w:tab/>
        <w:t>以一次事故所发生的赔款总额来确定自负责任额和分保责任额的再保险方式是</w:t>
      </w:r>
      <w:r>
        <w:rPr>
          <w:spacing w:val="27"/>
        </w:rPr>
        <w:t xml:space="preserve"> </w:t>
      </w:r>
      <w:r>
        <w:rPr>
          <w:rFonts w:ascii="宋体" w:eastAsia="宋体" w:hint="eastAsia"/>
        </w:rPr>
        <w:t>（</w:t>
      </w:r>
      <w:r>
        <w:rPr>
          <w:rFonts w:ascii="Arial" w:eastAsia="Arial"/>
        </w:rPr>
        <w:t>D</w:t>
      </w:r>
      <w:r>
        <w:rPr>
          <w:rFonts w:ascii="Arial" w:eastAsia="Arial"/>
          <w:spacing w:val="12"/>
        </w:rPr>
        <w:t xml:space="preserve"> </w:t>
      </w:r>
      <w:r>
        <w:rPr>
          <w:rFonts w:ascii="宋体" w:eastAsia="宋体" w:hint="eastAsia"/>
          <w:spacing w:val="-3"/>
        </w:rPr>
        <w:t>）</w:t>
      </w:r>
      <w:r>
        <w:rPr>
          <w:spacing w:val="-16"/>
        </w:rPr>
        <w:t>。</w:t>
      </w:r>
      <w:r>
        <w:t>溢额再保险</w:t>
      </w:r>
    </w:p>
    <w:p>
      <w:pPr>
        <w:pStyle w:val="BodyText"/>
        <w:spacing w:line="434" w:lineRule="exact"/>
        <w:ind w:left="1105"/>
      </w:pPr>
      <w:r>
        <w:t>险位超赔再保险</w:t>
      </w:r>
    </w:p>
    <w:p>
      <w:pPr>
        <w:pStyle w:val="BodyText"/>
        <w:spacing w:before="9"/>
        <w:rPr>
          <w:sz w:val="32"/>
        </w:rPr>
      </w:pPr>
    </w:p>
    <w:p>
      <w:pPr>
        <w:pStyle w:val="BodyText"/>
        <w:spacing w:line="463" w:lineRule="auto"/>
        <w:ind w:left="1105" w:right="12310"/>
      </w:pPr>
      <w:r>
        <w:rPr>
          <w:spacing w:val="-3"/>
        </w:rPr>
        <w:t>赔付率超赔再保险</w:t>
      </w:r>
      <w:r>
        <w:t>事故超赔再保险</w:t>
      </w:r>
    </w:p>
    <w:p>
      <w:pPr>
        <w:pStyle w:val="BodyText"/>
        <w:tabs>
          <w:tab w:val="left" w:pos="2136"/>
        </w:tabs>
        <w:spacing w:line="432" w:lineRule="exact"/>
        <w:ind w:left="1105"/>
      </w:pPr>
      <w:r>
        <w:rPr>
          <w:rFonts w:ascii="Arial" w:eastAsia="Arial"/>
        </w:rPr>
        <w:t>11</w:t>
      </w:r>
      <w:r>
        <w:t>、</w:t>
        <w:tab/>
        <w:t>关于疾病身</w:t>
      </w:r>
      <w:r>
        <w:rPr>
          <w:spacing w:val="3"/>
        </w:rPr>
        <w:t>故</w:t>
      </w:r>
      <w:r>
        <w:rPr>
          <w:rFonts w:ascii="宋体" w:eastAsia="宋体" w:hint="eastAsia"/>
          <w:spacing w:val="-3"/>
          <w:position w:val="6"/>
          <w:sz w:val="42"/>
        </w:rPr>
        <w:t>，</w:t>
      </w:r>
      <w:r>
        <w:t>在保险理赔时应该重点关注</w:t>
      </w:r>
      <w:r>
        <w:rPr>
          <w:spacing w:val="5"/>
        </w:rPr>
        <w:t xml:space="preserve"> </w:t>
      </w:r>
      <w:r>
        <w:rPr>
          <w:rFonts w:ascii="宋体" w:eastAsia="宋体" w:hint="eastAsia"/>
          <w:position w:val="6"/>
          <w:sz w:val="42"/>
        </w:rPr>
        <w:t>（</w:t>
      </w:r>
      <w:r>
        <w:rPr>
          <w:rFonts w:ascii="Arial" w:eastAsia="Arial"/>
        </w:rPr>
        <w:t>A</w:t>
      </w:r>
      <w:r>
        <w:rPr>
          <w:rFonts w:ascii="宋体" w:eastAsia="宋体" w:hint="eastAsia"/>
        </w:rPr>
        <w:t>）</w:t>
      </w:r>
      <w:r>
        <w:t>。</w:t>
      </w:r>
    </w:p>
    <w:p>
      <w:pPr>
        <w:pStyle w:val="BodyText"/>
        <w:spacing w:before="6"/>
        <w:rPr>
          <w:sz w:val="34"/>
        </w:rPr>
      </w:pPr>
    </w:p>
    <w:p>
      <w:pPr>
        <w:pStyle w:val="BodyText"/>
        <w:spacing w:before="1" w:line="465" w:lineRule="auto"/>
        <w:ind w:left="1105" w:right="11608"/>
      </w:pPr>
      <w:r>
        <w:rPr>
          <w:spacing w:val="-2"/>
        </w:rPr>
        <w:t>是否违反如实告知义务</w:t>
      </w:r>
      <w:r>
        <w:t>职业类别</w:t>
      </w:r>
    </w:p>
    <w:p>
      <w:pPr>
        <w:pStyle w:val="BodyText"/>
        <w:spacing w:line="477" w:lineRule="auto"/>
        <w:ind w:left="1105" w:right="11608"/>
      </w:pPr>
      <w:r>
        <w:rPr>
          <w:spacing w:val="-2"/>
        </w:rPr>
        <w:t>遗书、遗嘱等书面材料</w:t>
      </w:r>
      <w:r>
        <w:t>投保经历</w:t>
      </w:r>
    </w:p>
    <w:p>
      <w:pPr>
        <w:pStyle w:val="BodyText"/>
        <w:tabs>
          <w:tab w:val="left" w:pos="10153"/>
        </w:tabs>
        <w:spacing w:line="418" w:lineRule="exact"/>
        <w:ind w:left="1083"/>
      </w:pPr>
      <w:r>
        <w:rPr>
          <w:rFonts w:ascii="Arial" w:eastAsia="Arial"/>
        </w:rPr>
        <w:t>12</w:t>
      </w:r>
      <w:r>
        <w:t>、</w:t>
      </w:r>
      <w:r>
        <w:rPr>
          <w:spacing w:val="9"/>
        </w:rPr>
        <w:t xml:space="preserve"> </w:t>
      </w:r>
      <w:r>
        <w:t>若被保险人为无民事行为能力或限制行为能力人</w:t>
        <w:tab/>
      </w:r>
      <w:r>
        <w:rPr>
          <w:rFonts w:ascii="宋体" w:eastAsia="宋体" w:hint="eastAsia"/>
          <w:position w:val="6"/>
          <w:sz w:val="42"/>
        </w:rPr>
        <w:t>，</w:t>
      </w:r>
      <w:r>
        <w:t>失能保险的理赔申请人是</w:t>
      </w:r>
    </w:p>
    <w:p>
      <w:pPr>
        <w:spacing w:after="0" w:line="418" w:lineRule="exact"/>
        <w:sectPr>
          <w:type w:val="continuous"/>
          <w:pgSz w:w="22370" w:h="31660"/>
          <w:pgMar w:top="2480" w:right="3000" w:bottom="280" w:left="3140" w:header="708" w:footer="708"/>
          <w:pgNumType w:start="12"/>
          <w:cols w:space="708"/>
        </w:sectPr>
      </w:pPr>
    </w:p>
    <w:p>
      <w:pPr>
        <w:pStyle w:val="BodyText"/>
        <w:spacing w:before="15"/>
        <w:ind w:left="170"/>
      </w:pPr>
      <w:r>
        <w:rPr>
          <w:rFonts w:ascii="宋体" w:eastAsia="宋体" w:hint="eastAsia"/>
          <w:position w:val="6"/>
          <w:sz w:val="42"/>
        </w:rPr>
        <w:t>（</w:t>
      </w:r>
      <w:r>
        <w:rPr>
          <w:rFonts w:ascii="Century Gothic" w:eastAsia="Century Gothic"/>
        </w:rPr>
        <w:t xml:space="preserve">C </w:t>
      </w:r>
      <w:r>
        <w:rPr>
          <w:rFonts w:ascii="宋体" w:eastAsia="宋体" w:hint="eastAsia"/>
        </w:rPr>
        <w:t>）</w:t>
      </w:r>
      <w:r>
        <w:t>。</w:t>
      </w:r>
    </w:p>
    <w:p>
      <w:pPr>
        <w:pStyle w:val="BodyText"/>
        <w:spacing w:before="426" w:line="456" w:lineRule="auto"/>
        <w:ind w:left="1083" w:right="14088"/>
      </w:pPr>
      <w:r>
        <w:t>投保人受益人</w:t>
      </w:r>
    </w:p>
    <w:p>
      <w:pPr>
        <w:pStyle w:val="BodyText"/>
        <w:ind w:left="1083"/>
      </w:pPr>
      <w:r>
        <w:t>法定监护人</w:t>
      </w:r>
    </w:p>
    <w:p>
      <w:pPr>
        <w:pStyle w:val="BodyText"/>
        <w:spacing w:before="8"/>
        <w:rPr>
          <w:sz w:val="28"/>
        </w:rPr>
      </w:pPr>
    </w:p>
    <w:p>
      <w:pPr>
        <w:spacing w:after="0"/>
        <w:rPr>
          <w:sz w:val="28"/>
        </w:rPr>
        <w:sectPr>
          <w:pgSz w:w="22370" w:h="31660"/>
          <w:pgMar w:top="2320" w:right="3000" w:bottom="280" w:left="3140" w:header="708" w:footer="708"/>
          <w:pgNumType w:start="13"/>
          <w:cols w:space="708"/>
        </w:sectPr>
      </w:pPr>
    </w:p>
    <w:p>
      <w:pPr>
        <w:pStyle w:val="BodyText"/>
        <w:spacing w:before="38"/>
        <w:ind w:left="1083"/>
      </w:pPr>
      <w:r>
        <w:t>被保险人本人</w:t>
      </w:r>
    </w:p>
    <w:p>
      <w:pPr>
        <w:pStyle w:val="BodyText"/>
        <w:spacing w:before="11"/>
        <w:rPr>
          <w:sz w:val="29"/>
        </w:rPr>
      </w:pPr>
    </w:p>
    <w:p>
      <w:pPr>
        <w:pStyle w:val="BodyText"/>
        <w:spacing w:line="465" w:lineRule="auto"/>
        <w:ind w:left="1083"/>
      </w:pPr>
      <w:r>
        <w:rPr>
          <w:rFonts w:ascii="Century Gothic" w:eastAsia="Century Gothic"/>
        </w:rPr>
        <w:t>13</w:t>
      </w:r>
      <w:r>
        <w:rPr>
          <w:spacing w:val="-2"/>
        </w:rPr>
        <w:t>、 长期护理保险理赔起源于</w:t>
      </w:r>
      <w:r>
        <w:t>美国</w:t>
      </w:r>
    </w:p>
    <w:p>
      <w:pPr>
        <w:pStyle w:val="BodyText"/>
        <w:spacing w:line="433" w:lineRule="exact"/>
        <w:ind w:left="1083"/>
      </w:pPr>
      <w:r>
        <w:t>日本</w:t>
      </w:r>
    </w:p>
    <w:p>
      <w:pPr>
        <w:pStyle w:val="BodyText"/>
        <w:spacing w:before="8"/>
        <w:rPr>
          <w:sz w:val="31"/>
        </w:rPr>
      </w:pPr>
    </w:p>
    <w:p>
      <w:pPr>
        <w:pStyle w:val="BodyText"/>
        <w:ind w:left="1083"/>
      </w:pPr>
      <w:r>
        <w:t>法国</w:t>
      </w:r>
    </w:p>
    <w:p>
      <w:pPr>
        <w:pStyle w:val="BodyText"/>
        <w:spacing w:before="11"/>
        <w:rPr>
          <w:sz w:val="57"/>
        </w:rPr>
      </w:pPr>
      <w:r>
        <w:br w:type="column"/>
      </w:r>
    </w:p>
    <w:p>
      <w:pPr>
        <w:spacing w:before="0"/>
        <w:ind w:left="275" w:right="0" w:firstLine="0"/>
        <w:jc w:val="left"/>
        <w:rPr>
          <w:sz w:val="35"/>
        </w:rPr>
      </w:pPr>
      <w:r>
        <w:rPr>
          <w:rFonts w:ascii="宋体" w:eastAsia="宋体" w:hint="eastAsia"/>
          <w:position w:val="6"/>
          <w:sz w:val="42"/>
        </w:rPr>
        <w:t>（</w:t>
      </w:r>
      <w:r>
        <w:rPr>
          <w:rFonts w:ascii="Century Gothic" w:eastAsia="Century Gothic"/>
          <w:sz w:val="35"/>
        </w:rPr>
        <w:t>A</w:t>
      </w:r>
      <w:r>
        <w:rPr>
          <w:rFonts w:ascii="宋体" w:eastAsia="宋体" w:hint="eastAsia"/>
          <w:sz w:val="35"/>
        </w:rPr>
        <w:t>）</w:t>
      </w:r>
      <w:r>
        <w:rPr>
          <w:sz w:val="35"/>
        </w:rPr>
        <w:t>。</w:t>
      </w:r>
    </w:p>
    <w:p>
      <w:pPr>
        <w:spacing w:after="0"/>
        <w:jc w:val="left"/>
        <w:rPr>
          <w:sz w:val="35"/>
        </w:rPr>
        <w:sectPr>
          <w:type w:val="continuous"/>
          <w:pgSz w:w="22370" w:h="31660"/>
          <w:pgMar w:top="2480" w:right="3000" w:bottom="280" w:left="3140" w:header="708" w:footer="708"/>
          <w:pgNumType w:start="14"/>
          <w:cols w:num="2" w:space="708" w:equalWidth="0">
            <w:col w:w="5863" w:space="40"/>
            <w:col w:w="10327" w:space="0"/>
          </w:cols>
        </w:sectPr>
      </w:pPr>
    </w:p>
    <w:p>
      <w:pPr>
        <w:pStyle w:val="BodyText"/>
        <w:spacing w:before="9"/>
        <w:rPr>
          <w:sz w:val="28"/>
        </w:rPr>
      </w:pPr>
    </w:p>
    <w:p>
      <w:pPr>
        <w:pStyle w:val="BodyText"/>
        <w:spacing w:before="38"/>
        <w:ind w:left="1083"/>
      </w:pPr>
      <w:r>
        <w:t>德国</w:t>
      </w:r>
    </w:p>
    <w:p>
      <w:pPr>
        <w:pStyle w:val="BodyText"/>
        <w:tabs>
          <w:tab w:val="left" w:pos="5463"/>
        </w:tabs>
        <w:spacing w:before="252"/>
        <w:ind w:left="1083"/>
        <w:rPr>
          <w:rFonts w:ascii="宋体" w:eastAsia="宋体" w:hint="eastAsia"/>
          <w:sz w:val="22"/>
        </w:rPr>
      </w:pPr>
      <w:r>
        <w:rPr>
          <w:rFonts w:ascii="Century Gothic" w:eastAsia="Century Gothic"/>
        </w:rPr>
        <w:t>14</w:t>
      </w:r>
      <w:r>
        <w:t>、</w:t>
      </w:r>
      <w:r>
        <w:rPr>
          <w:spacing w:val="5"/>
        </w:rPr>
        <w:t xml:space="preserve"> </w:t>
      </w:r>
      <w:r>
        <w:t>日常生活活动简称为</w:t>
        <w:tab/>
      </w:r>
      <w:r>
        <w:rPr>
          <w:rFonts w:ascii="Century Gothic" w:eastAsia="Century Gothic"/>
        </w:rPr>
        <w:t>ADL,</w:t>
      </w:r>
      <w:r>
        <w:t>应用最广泛的标准化的</w:t>
      </w:r>
      <w:r>
        <w:rPr>
          <w:spacing w:val="7"/>
        </w:rPr>
        <w:t xml:space="preserve"> </w:t>
      </w:r>
      <w:r>
        <w:rPr>
          <w:rFonts w:ascii="Century Gothic" w:eastAsia="Century Gothic"/>
        </w:rPr>
        <w:t>PADL</w:t>
      </w:r>
      <w:r>
        <w:rPr>
          <w:rFonts w:ascii="Century Gothic" w:eastAsia="Century Gothic"/>
          <w:spacing w:val="-22"/>
        </w:rPr>
        <w:t xml:space="preserve"> </w:t>
      </w:r>
      <w:r>
        <w:t>评定方法</w:t>
      </w:r>
      <w:r>
        <w:rPr>
          <w:spacing w:val="3"/>
        </w:rPr>
        <w:t>是</w:t>
      </w:r>
      <w:r>
        <w:rPr>
          <w:rFonts w:ascii="宋体" w:eastAsia="宋体" w:hint="eastAsia"/>
          <w:position w:val="6"/>
          <w:sz w:val="42"/>
        </w:rPr>
        <w:t>（</w:t>
      </w:r>
      <w:r>
        <w:rPr>
          <w:rFonts w:ascii="Century Gothic" w:eastAsia="Century Gothic"/>
        </w:rPr>
        <w:t>A</w:t>
      </w:r>
      <w:r>
        <w:rPr>
          <w:rFonts w:ascii="宋体" w:eastAsia="宋体" w:hint="eastAsia"/>
        </w:rPr>
        <w:t>）</w:t>
      </w:r>
      <w:r>
        <w:rPr>
          <w:rFonts w:ascii="宋体" w:eastAsia="宋体" w:hint="eastAsia"/>
          <w:position w:val="8"/>
          <w:sz w:val="22"/>
        </w:rPr>
        <w:t>。</w:t>
      </w:r>
    </w:p>
    <w:p>
      <w:pPr>
        <w:pStyle w:val="BodyText"/>
        <w:spacing w:before="426" w:line="499" w:lineRule="auto"/>
        <w:ind w:left="1083" w:right="13162"/>
        <w:rPr>
          <w:rFonts w:ascii="Century Gothic" w:eastAsia="Century Gothic"/>
        </w:rPr>
      </w:pPr>
      <w:r>
        <w:rPr>
          <w:rFonts w:ascii="Century Gothic" w:eastAsia="Century Gothic"/>
        </w:rPr>
        <w:t xml:space="preserve">Barthel </w:t>
      </w:r>
      <w:r>
        <w:t>指数</w:t>
      </w:r>
      <w:r>
        <w:rPr>
          <w:rFonts w:ascii="Century Gothic" w:eastAsia="Century Gothic"/>
          <w:w w:val="105"/>
        </w:rPr>
        <w:t xml:space="preserve">Katz </w:t>
      </w:r>
      <w:r>
        <w:rPr>
          <w:w w:val="105"/>
        </w:rPr>
        <w:t>指数</w:t>
      </w:r>
      <w:r>
        <w:rPr>
          <w:rFonts w:ascii="Century Gothic" w:eastAsia="Century Gothic"/>
          <w:w w:val="105"/>
        </w:rPr>
        <w:t>PULSES</w:t>
      </w:r>
    </w:p>
    <w:p>
      <w:pPr>
        <w:spacing w:after="0" w:line="499" w:lineRule="auto"/>
        <w:rPr>
          <w:rFonts w:ascii="Century Gothic" w:eastAsia="Century Gothic"/>
        </w:rPr>
        <w:sectPr>
          <w:type w:val="continuous"/>
          <w:pgSz w:w="22370" w:h="31660"/>
          <w:pgMar w:top="2480" w:right="3000" w:bottom="280" w:left="3140" w:header="708" w:footer="708"/>
          <w:pgNumType w:start="15"/>
          <w:cols w:space="708"/>
        </w:sectPr>
      </w:pPr>
    </w:p>
    <w:p>
      <w:pPr>
        <w:pStyle w:val="BodyText"/>
        <w:spacing w:line="387" w:lineRule="exact"/>
        <w:ind w:left="1083"/>
      </w:pPr>
      <w:r>
        <w:t xml:space="preserve">修订的 </w:t>
      </w:r>
      <w:r>
        <w:rPr>
          <w:rFonts w:ascii="Century Gothic" w:eastAsia="Century Gothic"/>
        </w:rPr>
        <w:t xml:space="preserve">Kenny </w:t>
      </w:r>
      <w:r>
        <w:t>自理评定</w:t>
      </w:r>
    </w:p>
    <w:p>
      <w:pPr>
        <w:pStyle w:val="BodyText"/>
        <w:spacing w:before="11"/>
        <w:rPr>
          <w:sz w:val="29"/>
        </w:rPr>
      </w:pPr>
    </w:p>
    <w:p>
      <w:pPr>
        <w:pStyle w:val="BodyText"/>
        <w:spacing w:line="328" w:lineRule="auto"/>
        <w:ind w:left="170" w:right="38" w:firstLine="934"/>
      </w:pPr>
      <w:r>
        <w:rPr>
          <w:rFonts w:ascii="Century Gothic" w:eastAsia="Century Gothic"/>
        </w:rPr>
        <w:t>15</w:t>
      </w:r>
      <w:r>
        <w:t>、 被保险人在保险合同成立或者合同效力恢复之日起时 为无民事行为能力人的除外。</w:t>
      </w:r>
    </w:p>
    <w:p>
      <w:pPr>
        <w:pStyle w:val="ListParagraph"/>
        <w:numPr>
          <w:ilvl w:val="0"/>
          <w:numId w:val="4"/>
        </w:numPr>
        <w:tabs>
          <w:tab w:val="left" w:pos="1356"/>
        </w:tabs>
        <w:spacing w:before="218" w:after="0" w:line="240" w:lineRule="auto"/>
        <w:ind w:left="1355" w:right="0" w:hanging="273"/>
        <w:jc w:val="left"/>
        <w:rPr>
          <w:sz w:val="35"/>
        </w:rPr>
      </w:pPr>
      <w:r>
        <w:rPr>
          <w:w w:val="100"/>
          <w:sz w:val="35"/>
        </w:rPr>
        <w:t>年</w:t>
      </w:r>
    </w:p>
    <w:p>
      <w:pPr>
        <w:pStyle w:val="BodyText"/>
        <w:spacing w:before="3"/>
        <w:rPr>
          <w:sz w:val="31"/>
        </w:rPr>
      </w:pPr>
    </w:p>
    <w:p>
      <w:pPr>
        <w:pStyle w:val="ListParagraph"/>
        <w:numPr>
          <w:ilvl w:val="0"/>
          <w:numId w:val="4"/>
        </w:numPr>
        <w:tabs>
          <w:tab w:val="left" w:pos="1356"/>
        </w:tabs>
        <w:spacing w:before="0" w:after="0" w:line="240" w:lineRule="auto"/>
        <w:ind w:left="1355" w:right="0" w:hanging="273"/>
        <w:jc w:val="left"/>
        <w:rPr>
          <w:sz w:val="35"/>
        </w:rPr>
      </w:pPr>
      <w:r>
        <w:rPr>
          <w:w w:val="100"/>
          <w:sz w:val="35"/>
        </w:rPr>
        <w:t>年</w:t>
      </w:r>
    </w:p>
    <w:p>
      <w:pPr>
        <w:pStyle w:val="BodyText"/>
        <w:spacing w:before="6"/>
        <w:rPr>
          <w:sz w:val="31"/>
        </w:rPr>
      </w:pPr>
    </w:p>
    <w:p>
      <w:pPr>
        <w:pStyle w:val="ListParagraph"/>
        <w:numPr>
          <w:ilvl w:val="0"/>
          <w:numId w:val="4"/>
        </w:numPr>
        <w:tabs>
          <w:tab w:val="left" w:pos="1356"/>
        </w:tabs>
        <w:spacing w:before="0" w:after="0" w:line="240" w:lineRule="auto"/>
        <w:ind w:left="1355" w:right="0" w:hanging="273"/>
        <w:jc w:val="left"/>
        <w:rPr>
          <w:sz w:val="35"/>
        </w:rPr>
      </w:pPr>
      <w:r>
        <w:rPr>
          <w:w w:val="100"/>
          <w:sz w:val="35"/>
        </w:rPr>
        <w:t>年</w:t>
      </w:r>
    </w:p>
    <w:p>
      <w:pPr>
        <w:pStyle w:val="BodyText"/>
        <w:spacing w:before="1"/>
        <w:rPr>
          <w:sz w:val="50"/>
        </w:rPr>
      </w:pPr>
      <w:r>
        <w:br w:type="column"/>
      </w:r>
    </w:p>
    <w:p>
      <w:pPr>
        <w:pStyle w:val="BodyText"/>
        <w:ind w:left="170"/>
      </w:pPr>
      <w:r>
        <w:rPr>
          <w:rFonts w:ascii="宋体" w:eastAsia="宋体" w:hint="eastAsia"/>
        </w:rPr>
        <w:t>（</w:t>
      </w:r>
      <w:r>
        <w:rPr>
          <w:rFonts w:ascii="Century Gothic" w:eastAsia="Century Gothic"/>
        </w:rPr>
        <w:t xml:space="preserve">B </w:t>
      </w:r>
      <w:r>
        <w:rPr>
          <w:rFonts w:ascii="宋体" w:eastAsia="宋体" w:hint="eastAsia"/>
        </w:rPr>
        <w:t>）</w:t>
      </w:r>
      <w:r>
        <w:t>内自杀</w:t>
      </w:r>
      <w:r>
        <w:rPr>
          <w:rFonts w:ascii="宋体" w:eastAsia="宋体" w:hint="eastAsia"/>
          <w:position w:val="6"/>
          <w:sz w:val="42"/>
        </w:rPr>
        <w:t>，</w:t>
      </w:r>
      <w:r>
        <w:t>但被保险人自杀</w:t>
      </w:r>
    </w:p>
    <w:p>
      <w:pPr>
        <w:spacing w:after="0"/>
        <w:sectPr>
          <w:type w:val="continuous"/>
          <w:pgSz w:w="22370" w:h="31660"/>
          <w:pgMar w:top="2480" w:right="3000" w:bottom="280" w:left="3140" w:header="708" w:footer="708"/>
          <w:pgNumType w:start="16"/>
          <w:cols w:num="2" w:space="708" w:equalWidth="0">
            <w:col w:w="9786" w:space="615"/>
            <w:col w:w="5829" w:space="0"/>
          </w:cols>
        </w:sectPr>
      </w:pPr>
    </w:p>
    <w:p>
      <w:pPr>
        <w:pStyle w:val="BodyText"/>
        <w:spacing w:before="5"/>
        <w:rPr>
          <w:sz w:val="25"/>
        </w:rPr>
      </w:pPr>
    </w:p>
    <w:p>
      <w:pPr>
        <w:spacing w:after="0"/>
        <w:rPr>
          <w:sz w:val="25"/>
        </w:rPr>
        <w:sectPr>
          <w:type w:val="continuous"/>
          <w:pgSz w:w="22370" w:h="31660"/>
          <w:pgMar w:top="2480" w:right="3000" w:bottom="280" w:left="3140" w:header="708" w:footer="708"/>
          <w:pgNumType w:start="17"/>
          <w:cols w:space="708"/>
        </w:sectPr>
      </w:pPr>
    </w:p>
    <w:p>
      <w:pPr>
        <w:pStyle w:val="BodyText"/>
        <w:spacing w:before="78"/>
        <w:ind w:left="1083"/>
      </w:pPr>
      <w:r>
        <w:rPr>
          <w:rFonts w:ascii="Century Gothic" w:eastAsia="Century Gothic"/>
        </w:rPr>
        <w:t xml:space="preserve">5 </w:t>
      </w:r>
      <w:r>
        <w:t>年</w:t>
      </w:r>
    </w:p>
    <w:p>
      <w:pPr>
        <w:pStyle w:val="BodyText"/>
        <w:spacing w:before="6"/>
        <w:rPr>
          <w:sz w:val="31"/>
        </w:rPr>
      </w:pPr>
    </w:p>
    <w:p>
      <w:pPr>
        <w:pStyle w:val="BodyText"/>
        <w:spacing w:line="465" w:lineRule="auto"/>
        <w:ind w:left="1083"/>
      </w:pPr>
      <w:r>
        <w:rPr>
          <w:rFonts w:ascii="Century Gothic" w:eastAsia="Century Gothic"/>
        </w:rPr>
        <w:t>16</w:t>
      </w:r>
      <w:r>
        <w:rPr>
          <w:spacing w:val="-2"/>
        </w:rPr>
        <w:t>、 长期护理保险理赔的申请人一般是</w:t>
      </w:r>
      <w:r>
        <w:t>投保人</w:t>
      </w:r>
    </w:p>
    <w:p>
      <w:pPr>
        <w:pStyle w:val="BodyText"/>
        <w:spacing w:line="433" w:lineRule="exact"/>
        <w:ind w:left="1083"/>
      </w:pPr>
      <w:r>
        <w:t>受益人</w:t>
      </w:r>
    </w:p>
    <w:p>
      <w:pPr>
        <w:pStyle w:val="BodyText"/>
        <w:spacing w:before="8"/>
        <w:rPr>
          <w:sz w:val="31"/>
        </w:rPr>
      </w:pPr>
    </w:p>
    <w:p>
      <w:pPr>
        <w:pStyle w:val="BodyText"/>
        <w:ind w:left="1083"/>
      </w:pPr>
      <w:r>
        <w:t>法定监护人</w:t>
      </w:r>
    </w:p>
    <w:p>
      <w:pPr>
        <w:pStyle w:val="BodyText"/>
        <w:spacing w:before="9"/>
        <w:rPr>
          <w:sz w:val="62"/>
        </w:rPr>
      </w:pPr>
      <w:r>
        <w:br w:type="column"/>
      </w:r>
    </w:p>
    <w:p>
      <w:pPr>
        <w:pStyle w:val="BodyText"/>
        <w:ind w:left="398"/>
      </w:pPr>
      <w:r>
        <w:rPr>
          <w:rFonts w:ascii="宋体" w:eastAsia="宋体" w:hint="eastAsia"/>
          <w:position w:val="6"/>
          <w:sz w:val="42"/>
        </w:rPr>
        <w:t>（</w:t>
      </w:r>
      <w:r>
        <w:rPr>
          <w:rFonts w:ascii="Century Gothic" w:eastAsia="Century Gothic"/>
        </w:rPr>
        <w:t xml:space="preserve">D </w:t>
      </w:r>
      <w:r>
        <w:rPr>
          <w:rFonts w:ascii="宋体" w:eastAsia="宋体" w:hint="eastAsia"/>
        </w:rPr>
        <w:t>）</w:t>
      </w:r>
      <w:r>
        <w:t>。</w:t>
      </w:r>
    </w:p>
    <w:p>
      <w:pPr>
        <w:spacing w:after="0"/>
        <w:sectPr>
          <w:type w:val="continuous"/>
          <w:pgSz w:w="22370" w:h="31660"/>
          <w:pgMar w:top="2480" w:right="3000" w:bottom="280" w:left="3140" w:header="708" w:footer="708"/>
          <w:pgNumType w:start="18"/>
          <w:cols w:num="2" w:space="708" w:equalWidth="0">
            <w:col w:w="7266" w:space="40"/>
            <w:col w:w="8924" w:space="0"/>
          </w:cols>
        </w:sectPr>
      </w:pPr>
    </w:p>
    <w:p>
      <w:pPr>
        <w:pStyle w:val="BodyText"/>
        <w:spacing w:before="8"/>
        <w:rPr>
          <w:sz w:val="28"/>
        </w:rPr>
      </w:pPr>
    </w:p>
    <w:p>
      <w:pPr>
        <w:pStyle w:val="BodyText"/>
        <w:spacing w:before="38"/>
        <w:ind w:left="1083"/>
      </w:pPr>
      <w:r>
        <w:t>被保险人本人</w:t>
      </w:r>
    </w:p>
    <w:p>
      <w:pPr>
        <w:pStyle w:val="BodyText"/>
        <w:spacing w:before="253" w:line="429" w:lineRule="auto"/>
        <w:ind w:left="1083" w:right="4605"/>
      </w:pPr>
      <w:r>
        <w:rPr>
          <w:rFonts w:ascii="Century Gothic" w:eastAsia="Century Gothic"/>
        </w:rPr>
        <w:t>17</w:t>
      </w:r>
      <w:r>
        <w:t>、 保险医学与临床医学关系紧密</w:t>
      </w:r>
      <w:r>
        <w:rPr>
          <w:rFonts w:ascii="宋体" w:eastAsia="宋体" w:hint="eastAsia"/>
          <w:position w:val="6"/>
          <w:sz w:val="42"/>
        </w:rPr>
        <w:t>，</w:t>
      </w:r>
      <w:r>
        <w:t>下列说法不正确的是</w:t>
      </w:r>
      <w:r>
        <w:rPr>
          <w:rFonts w:ascii="宋体" w:eastAsia="宋体" w:hint="eastAsia"/>
          <w:position w:val="6"/>
          <w:sz w:val="42"/>
        </w:rPr>
        <w:t>（</w:t>
      </w:r>
      <w:r>
        <w:rPr>
          <w:rFonts w:ascii="Century Gothic" w:eastAsia="Century Gothic"/>
        </w:rPr>
        <w:t xml:space="preserve">D </w:t>
      </w:r>
      <w:r>
        <w:rPr>
          <w:rFonts w:ascii="宋体" w:eastAsia="宋体" w:hint="eastAsia"/>
        </w:rPr>
        <w:t>）</w:t>
      </w:r>
      <w:r>
        <w:t>。二者同属医学范畴</w:t>
      </w:r>
    </w:p>
    <w:p>
      <w:pPr>
        <w:pStyle w:val="BodyText"/>
        <w:spacing w:before="51"/>
        <w:ind w:left="1083"/>
      </w:pPr>
      <w:r>
        <w:t>二者相辅相成</w:t>
      </w:r>
    </w:p>
    <w:p>
      <w:pPr>
        <w:pStyle w:val="BodyText"/>
        <w:spacing w:before="8"/>
        <w:rPr>
          <w:sz w:val="31"/>
        </w:rPr>
      </w:pPr>
    </w:p>
    <w:p>
      <w:pPr>
        <w:pStyle w:val="BodyText"/>
        <w:ind w:left="1083"/>
      </w:pPr>
      <w:r>
        <w:t>二者均属于应用医学</w:t>
      </w:r>
    </w:p>
    <w:p>
      <w:pPr>
        <w:pStyle w:val="BodyText"/>
        <w:spacing w:before="259"/>
        <w:ind w:left="1083"/>
      </w:pPr>
      <w:r>
        <w:t>二者对重大疾病的定义的使用相同</w:t>
      </w:r>
    </w:p>
    <w:p>
      <w:pPr>
        <w:spacing w:after="0"/>
        <w:sectPr>
          <w:type w:val="continuous"/>
          <w:pgSz w:w="22370" w:h="31660"/>
          <w:pgMar w:top="2480" w:right="3000" w:bottom="280" w:left="3140" w:header="708" w:footer="708"/>
          <w:pgNumType w:start="19"/>
          <w:cols w:space="708"/>
        </w:sectPr>
      </w:pPr>
    </w:p>
    <w:p>
      <w:pPr>
        <w:pStyle w:val="BodyText"/>
        <w:tabs>
          <w:tab w:val="left" w:pos="6564"/>
        </w:tabs>
        <w:spacing w:before="21"/>
        <w:ind w:left="1083"/>
        <w:rPr>
          <w:rFonts w:ascii="宋体" w:eastAsia="宋体" w:hint="eastAsia"/>
          <w:sz w:val="44"/>
        </w:rPr>
      </w:pPr>
      <w:r>
        <w:rPr>
          <w:rFonts w:ascii="Century Gothic" w:eastAsia="Century Gothic"/>
        </w:rPr>
        <w:t>18</w:t>
      </w:r>
      <w:r>
        <w:t>、</w:t>
      </w:r>
      <w:r>
        <w:rPr>
          <w:spacing w:val="6"/>
        </w:rPr>
        <w:t xml:space="preserve"> </w:t>
      </w:r>
      <w:r>
        <w:t>诊断单基因病的首选方法是</w:t>
        <w:tab/>
      </w:r>
      <w:r>
        <w:rPr>
          <w:rFonts w:ascii="Century Gothic" w:eastAsia="Century Gothic"/>
        </w:rPr>
        <w:t>(B )</w:t>
      </w:r>
      <w:r>
        <w:rPr>
          <w:rFonts w:ascii="宋体" w:eastAsia="宋体" w:hint="eastAsia"/>
          <w:position w:val="8"/>
          <w:sz w:val="44"/>
        </w:rPr>
        <w:t>。</w:t>
      </w:r>
    </w:p>
    <w:p>
      <w:pPr>
        <w:pStyle w:val="BodyText"/>
        <w:spacing w:before="431" w:line="460" w:lineRule="auto"/>
        <w:ind w:left="1083" w:right="12333"/>
      </w:pPr>
      <w:r>
        <w:t>细胞遗传学的检查生物化学检查</w:t>
      </w:r>
    </w:p>
    <w:p>
      <w:pPr>
        <w:pStyle w:val="BodyText"/>
        <w:spacing w:line="442" w:lineRule="exact"/>
        <w:ind w:left="1083"/>
      </w:pPr>
      <w:r>
        <w:t>基因诊断</w:t>
      </w:r>
    </w:p>
    <w:p>
      <w:pPr>
        <w:pStyle w:val="BodyText"/>
        <w:spacing w:before="1"/>
        <w:rPr>
          <w:sz w:val="29"/>
        </w:rPr>
      </w:pPr>
    </w:p>
    <w:p>
      <w:pPr>
        <w:spacing w:after="0"/>
        <w:rPr>
          <w:sz w:val="29"/>
        </w:rPr>
        <w:sectPr>
          <w:pgSz w:w="22370" w:h="31660"/>
          <w:pgMar w:top="2260" w:right="3000" w:bottom="280" w:left="3140" w:header="708" w:footer="708"/>
          <w:pgNumType w:start="20"/>
          <w:cols w:space="708"/>
        </w:sectPr>
      </w:pPr>
    </w:p>
    <w:p>
      <w:pPr>
        <w:pStyle w:val="BodyText"/>
        <w:spacing w:before="39"/>
        <w:ind w:left="1083"/>
      </w:pPr>
      <w:r>
        <w:t>系谱分析</w:t>
      </w:r>
    </w:p>
    <w:p>
      <w:pPr>
        <w:pStyle w:val="BodyText"/>
        <w:spacing w:before="3"/>
        <w:rPr>
          <w:sz w:val="30"/>
        </w:rPr>
      </w:pPr>
    </w:p>
    <w:p>
      <w:pPr>
        <w:pStyle w:val="BodyText"/>
        <w:ind w:left="1083"/>
      </w:pPr>
      <w:r>
        <w:rPr>
          <w:rFonts w:ascii="Century Gothic" w:eastAsia="Century Gothic"/>
        </w:rPr>
        <w:t>19</w:t>
      </w:r>
      <w:r>
        <w:t>、 各保险公司按出单时间顺序赔偿</w:t>
      </w:r>
    </w:p>
    <w:p>
      <w:pPr>
        <w:pStyle w:val="BodyText"/>
        <w:spacing w:before="151"/>
        <w:ind w:left="170"/>
      </w:pPr>
      <w:r>
        <w:rPr>
          <w:w w:val="100"/>
        </w:rPr>
        <w:t>单</w:t>
      </w:r>
    </w:p>
    <w:p>
      <w:pPr>
        <w:pStyle w:val="BodyText"/>
        <w:spacing w:before="130" w:line="460" w:lineRule="auto"/>
        <w:ind w:left="1083" w:right="113" w:hanging="913"/>
      </w:pPr>
      <w:r>
        <w:rPr>
          <w:spacing w:val="-1"/>
        </w:rPr>
        <w:t>的公司只在损失额超出前一家公司的保额时</w:t>
      </w:r>
      <w:r>
        <w:t>比例责任分摊方式</w:t>
      </w:r>
    </w:p>
    <w:p>
      <w:pPr>
        <w:pStyle w:val="BodyText"/>
        <w:spacing w:line="460" w:lineRule="auto"/>
        <w:ind w:left="1083" w:right="3061"/>
      </w:pPr>
      <w:r>
        <w:rPr>
          <w:spacing w:val="-3"/>
        </w:rPr>
        <w:t>顺序责任分摊方式限额责任分摊方式</w:t>
      </w:r>
    </w:p>
    <w:p>
      <w:pPr>
        <w:pStyle w:val="BodyText"/>
        <w:spacing w:before="4"/>
        <w:rPr>
          <w:sz w:val="58"/>
        </w:rPr>
      </w:pPr>
      <w:r>
        <w:br w:type="column"/>
      </w:r>
    </w:p>
    <w:p>
      <w:pPr>
        <w:pStyle w:val="BodyText"/>
        <w:tabs>
          <w:tab w:val="left" w:pos="7283"/>
        </w:tabs>
        <w:ind w:left="170"/>
      </w:pPr>
      <w:r>
        <w:rPr>
          <w:rFonts w:ascii="宋体" w:eastAsia="宋体" w:hint="eastAsia"/>
          <w:position w:val="6"/>
          <w:sz w:val="42"/>
        </w:rPr>
        <w:t>，</w:t>
      </w:r>
      <w:r>
        <w:t>先出单的公司先在其保额限度内负责赔偿</w:t>
        <w:tab/>
      </w:r>
      <w:r>
        <w:rPr>
          <w:rFonts w:ascii="宋体" w:eastAsia="宋体" w:hint="eastAsia"/>
          <w:position w:val="6"/>
          <w:sz w:val="42"/>
        </w:rPr>
        <w:t>，</w:t>
      </w:r>
      <w:r>
        <w:t>后出</w:t>
      </w:r>
    </w:p>
    <w:p>
      <w:pPr>
        <w:pStyle w:val="BodyText"/>
        <w:spacing w:before="9"/>
        <w:rPr>
          <w:sz w:val="46"/>
        </w:rPr>
      </w:pPr>
    </w:p>
    <w:p>
      <w:pPr>
        <w:pStyle w:val="BodyText"/>
        <w:tabs>
          <w:tab w:val="left" w:pos="6556"/>
        </w:tabs>
        <w:spacing w:before="1"/>
        <w:ind w:left="518"/>
      </w:pPr>
      <w:r>
        <w:rPr>
          <w:rFonts w:ascii="宋体" w:eastAsia="宋体" w:hint="eastAsia"/>
          <w:position w:val="6"/>
          <w:sz w:val="42"/>
        </w:rPr>
        <w:t>，</w:t>
      </w:r>
      <w:r>
        <w:t>在自身保额限度内赔偿超出的部分</w:t>
        <w:tab/>
      </w:r>
      <w:r>
        <w:rPr>
          <w:rFonts w:ascii="宋体" w:eastAsia="宋体" w:hint="eastAsia"/>
          <w:position w:val="6"/>
          <w:sz w:val="42"/>
        </w:rPr>
        <w:t>，</w:t>
      </w:r>
      <w:r>
        <w:t>称为</w:t>
      </w:r>
      <w:r>
        <w:rPr>
          <w:rFonts w:ascii="宋体" w:eastAsia="宋体" w:hint="eastAsia"/>
          <w:position w:val="6"/>
          <w:sz w:val="42"/>
        </w:rPr>
        <w:t>(</w:t>
      </w:r>
      <w:r>
        <w:rPr>
          <w:rFonts w:ascii="Century Gothic" w:eastAsia="Century Gothic"/>
        </w:rPr>
        <w:t>B)</w:t>
      </w:r>
      <w:r>
        <w:t>。</w:t>
      </w:r>
    </w:p>
    <w:p>
      <w:pPr>
        <w:spacing w:after="0"/>
        <w:sectPr>
          <w:type w:val="continuous"/>
          <w:pgSz w:w="22370" w:h="31660"/>
          <w:pgMar w:top="2480" w:right="3000" w:bottom="280" w:left="3140" w:header="708" w:footer="708"/>
          <w:pgNumType w:start="21"/>
          <w:cols w:num="2" w:space="708" w:equalWidth="0">
            <w:col w:w="6955" w:space="160"/>
            <w:col w:w="9115" w:space="0"/>
          </w:cols>
        </w:sectPr>
      </w:pPr>
    </w:p>
    <w:p>
      <w:pPr>
        <w:pStyle w:val="BodyText"/>
        <w:spacing w:line="439" w:lineRule="exact"/>
        <w:ind w:left="1083"/>
      </w:pPr>
      <w:r>
        <w:t>近因责任分摊方式</w:t>
      </w:r>
    </w:p>
    <w:p>
      <w:pPr>
        <w:pStyle w:val="BodyText"/>
        <w:spacing w:before="4"/>
        <w:rPr>
          <w:sz w:val="30"/>
        </w:rPr>
      </w:pPr>
    </w:p>
    <w:p>
      <w:pPr>
        <w:pStyle w:val="BodyText"/>
        <w:ind w:left="1083"/>
      </w:pPr>
      <w:r>
        <w:rPr>
          <w:rFonts w:ascii="Century Gothic" w:eastAsia="Century Gothic"/>
        </w:rPr>
        <w:t>20</w:t>
      </w:r>
      <w:r>
        <w:t>、 下列关于先天性疾病与遗传疾病说法不正确的是</w:t>
      </w:r>
    </w:p>
    <w:p>
      <w:pPr>
        <w:pStyle w:val="BodyText"/>
        <w:spacing w:before="7"/>
        <w:rPr>
          <w:sz w:val="54"/>
        </w:rPr>
      </w:pPr>
      <w:r>
        <w:br w:type="column"/>
      </w:r>
    </w:p>
    <w:p>
      <w:pPr>
        <w:pStyle w:val="BodyText"/>
        <w:ind w:left="736"/>
      </w:pPr>
      <w:r>
        <w:rPr>
          <w:rFonts w:ascii="宋体" w:eastAsia="宋体" w:hint="eastAsia"/>
          <w:position w:val="6"/>
          <w:sz w:val="42"/>
        </w:rPr>
        <w:t>(</w:t>
      </w:r>
      <w:r>
        <w:rPr>
          <w:rFonts w:ascii="Century Gothic" w:eastAsia="Century Gothic"/>
        </w:rPr>
        <w:t>C )</w:t>
      </w:r>
      <w:r>
        <w:t>。</w:t>
      </w:r>
    </w:p>
    <w:p>
      <w:pPr>
        <w:spacing w:after="0"/>
        <w:sectPr>
          <w:type w:val="continuous"/>
          <w:pgSz w:w="22370" w:h="31660"/>
          <w:pgMar w:top="2480" w:right="3000" w:bottom="280" w:left="3140" w:header="708" w:footer="708"/>
          <w:pgNumType w:start="22"/>
          <w:cols w:num="2" w:space="708" w:equalWidth="0">
            <w:col w:w="9372" w:space="40"/>
            <w:col w:w="6818" w:space="0"/>
          </w:cols>
        </w:sectPr>
      </w:pPr>
    </w:p>
    <w:p>
      <w:pPr>
        <w:pStyle w:val="BodyText"/>
        <w:spacing w:before="6"/>
        <w:rPr>
          <w:sz w:val="20"/>
        </w:rPr>
      </w:pPr>
    </w:p>
    <w:p>
      <w:pPr>
        <w:spacing w:after="0"/>
        <w:rPr>
          <w:sz w:val="20"/>
        </w:rPr>
        <w:sectPr>
          <w:type w:val="continuous"/>
          <w:pgSz w:w="22370" w:h="31660"/>
          <w:pgMar w:top="2480" w:right="3000" w:bottom="280" w:left="3140" w:header="708" w:footer="708"/>
          <w:pgNumType w:start="23"/>
          <w:cols w:space="708"/>
        </w:sectPr>
      </w:pPr>
    </w:p>
    <w:p>
      <w:pPr>
        <w:pStyle w:val="BodyText"/>
        <w:spacing w:before="168" w:line="309" w:lineRule="auto"/>
        <w:ind w:left="170" w:right="38" w:firstLine="912"/>
      </w:pPr>
      <w:r>
        <w:t>先天性疾病是指出生时已经出现的疾病某些理化和生物因素所致</w:t>
      </w:r>
    </w:p>
    <w:p>
      <w:pPr>
        <w:pStyle w:val="BodyText"/>
        <w:spacing w:before="38"/>
        <w:ind w:left="170"/>
      </w:pPr>
      <w:r>
        <w:br w:type="column"/>
      </w:r>
      <w:r>
        <w:rPr>
          <w:rFonts w:ascii="宋体" w:eastAsia="宋体" w:hint="eastAsia"/>
          <w:position w:val="6"/>
          <w:sz w:val="42"/>
        </w:rPr>
        <w:t>，</w:t>
      </w:r>
      <w:r>
        <w:t>它可能是遗传病引起</w:t>
      </w:r>
      <w:r>
        <w:rPr>
          <w:rFonts w:ascii="宋体" w:eastAsia="宋体" w:hint="eastAsia"/>
          <w:position w:val="6"/>
          <w:sz w:val="42"/>
        </w:rPr>
        <w:t>，</w:t>
      </w:r>
      <w:r>
        <w:t>也可能是因为妊娠早期</w:t>
      </w:r>
    </w:p>
    <w:p>
      <w:pPr>
        <w:spacing w:after="0"/>
        <w:sectPr>
          <w:type w:val="continuous"/>
          <w:pgSz w:w="22370" w:h="31660"/>
          <w:pgMar w:top="2480" w:right="3000" w:bottom="280" w:left="3140" w:header="708" w:footer="708"/>
          <w:pgNumType w:start="24"/>
          <w:cols w:num="2" w:space="708" w:equalWidth="0">
            <w:col w:w="7090" w:space="373"/>
            <w:col w:w="8767" w:space="0"/>
          </w:cols>
        </w:sectPr>
      </w:pPr>
    </w:p>
    <w:p>
      <w:pPr>
        <w:pStyle w:val="BodyText"/>
        <w:spacing w:before="7"/>
        <w:rPr>
          <w:sz w:val="8"/>
        </w:rPr>
      </w:pPr>
    </w:p>
    <w:p>
      <w:pPr>
        <w:spacing w:after="0"/>
        <w:rPr>
          <w:sz w:val="8"/>
        </w:rPr>
        <w:sectPr>
          <w:type w:val="continuous"/>
          <w:pgSz w:w="22370" w:h="31660"/>
          <w:pgMar w:top="2480" w:right="3000" w:bottom="280" w:left="3140" w:header="708" w:footer="708"/>
          <w:pgNumType w:start="25"/>
          <w:cols w:space="708"/>
        </w:sectPr>
      </w:pPr>
    </w:p>
    <w:p>
      <w:pPr>
        <w:pStyle w:val="BodyText"/>
        <w:spacing w:before="169" w:line="309" w:lineRule="auto"/>
        <w:ind w:left="170" w:right="38" w:firstLine="912"/>
      </w:pPr>
      <w:r>
        <w:t>遗传性疾病是指因一种或多种遗传基因缺陷导致的疾病的随着生长发育表现出来</w:t>
      </w:r>
    </w:p>
    <w:p>
      <w:pPr>
        <w:pStyle w:val="BodyText"/>
        <w:spacing w:before="280" w:line="391" w:lineRule="auto"/>
        <w:ind w:left="1105" w:right="366"/>
      </w:pPr>
      <w:r>
        <w:t>先天性疾病与遗传性疾病均涉及环境因素和遗传因素存在某些疾病</w:t>
      </w:r>
      <w:r>
        <w:rPr>
          <w:rFonts w:ascii="宋体" w:eastAsia="宋体" w:hint="eastAsia"/>
          <w:position w:val="6"/>
          <w:sz w:val="42"/>
        </w:rPr>
        <w:t>，</w:t>
      </w:r>
      <w:r>
        <w:t>它们既是先天性又是遗传性疾病</w:t>
      </w:r>
    </w:p>
    <w:p>
      <w:pPr>
        <w:pStyle w:val="BodyText"/>
        <w:spacing w:before="39"/>
        <w:ind w:left="170"/>
      </w:pPr>
      <w:r>
        <w:br w:type="column"/>
      </w:r>
      <w:r>
        <w:rPr>
          <w:rFonts w:ascii="宋体" w:eastAsia="宋体" w:hint="eastAsia"/>
          <w:position w:val="6"/>
          <w:sz w:val="42"/>
        </w:rPr>
        <w:t>，</w:t>
      </w:r>
      <w:r>
        <w:t>有的在出生时表现出来</w:t>
      </w:r>
      <w:r>
        <w:rPr>
          <w:rFonts w:ascii="宋体" w:eastAsia="宋体" w:hint="eastAsia"/>
          <w:position w:val="6"/>
          <w:sz w:val="42"/>
        </w:rPr>
        <w:t>，</w:t>
      </w:r>
      <w:r>
        <w:t>也有</w:t>
      </w:r>
    </w:p>
    <w:p>
      <w:pPr>
        <w:spacing w:after="0"/>
        <w:sectPr>
          <w:type w:val="continuous"/>
          <w:pgSz w:w="22370" w:h="31660"/>
          <w:pgMar w:top="2480" w:right="3000" w:bottom="280" w:left="3140" w:header="708" w:footer="708"/>
          <w:pgNumType w:start="26"/>
          <w:cols w:num="2" w:space="708" w:equalWidth="0">
            <w:col w:w="9547" w:space="728"/>
            <w:col w:w="5955" w:space="0"/>
          </w:cols>
        </w:sectPr>
      </w:pPr>
    </w:p>
    <w:p>
      <w:pPr>
        <w:pStyle w:val="BodyText"/>
        <w:spacing w:before="48"/>
        <w:ind w:left="1105"/>
      </w:pPr>
      <w:r>
        <w:rPr>
          <w:rFonts w:ascii="Century Gothic" w:eastAsia="Century Gothic"/>
        </w:rPr>
        <w:t>21</w:t>
      </w:r>
      <w:r>
        <w:t>、 下列关于急性肝炎的说法不正确的是</w:t>
      </w:r>
    </w:p>
    <w:p>
      <w:pPr>
        <w:spacing w:before="0" w:line="499" w:lineRule="exact"/>
        <w:ind w:left="452" w:right="0" w:firstLine="0"/>
        <w:jc w:val="left"/>
        <w:rPr>
          <w:sz w:val="35"/>
        </w:rPr>
      </w:pPr>
      <w:r>
        <w:br w:type="column"/>
      </w:r>
      <w:r>
        <w:rPr>
          <w:rFonts w:ascii="宋体" w:eastAsia="宋体" w:hint="eastAsia"/>
          <w:position w:val="6"/>
          <w:sz w:val="42"/>
        </w:rPr>
        <w:t>(</w:t>
      </w:r>
      <w:r>
        <w:rPr>
          <w:rFonts w:ascii="Century Gothic" w:eastAsia="Century Gothic"/>
          <w:sz w:val="35"/>
        </w:rPr>
        <w:t>D )</w:t>
      </w:r>
      <w:r>
        <w:rPr>
          <w:sz w:val="35"/>
        </w:rPr>
        <w:t>。</w:t>
      </w:r>
    </w:p>
    <w:p>
      <w:pPr>
        <w:spacing w:after="0" w:line="499" w:lineRule="exact"/>
        <w:jc w:val="left"/>
        <w:rPr>
          <w:sz w:val="35"/>
        </w:rPr>
        <w:sectPr>
          <w:type w:val="continuous"/>
          <w:pgSz w:w="22370" w:h="31660"/>
          <w:pgMar w:top="2480" w:right="3000" w:bottom="280" w:left="3140" w:header="708" w:footer="708"/>
          <w:pgNumType w:start="27"/>
          <w:cols w:num="2" w:space="708" w:equalWidth="0">
            <w:col w:w="7640" w:space="40"/>
            <w:col w:w="8550" w:space="0"/>
          </w:cols>
        </w:sectPr>
      </w:pPr>
    </w:p>
    <w:p>
      <w:pPr>
        <w:pStyle w:val="BodyText"/>
        <w:spacing w:before="6"/>
        <w:rPr>
          <w:sz w:val="20"/>
        </w:rPr>
      </w:pPr>
    </w:p>
    <w:p>
      <w:pPr>
        <w:pStyle w:val="BodyText"/>
        <w:spacing w:before="38" w:line="422" w:lineRule="auto"/>
        <w:ind w:left="1105" w:right="5970"/>
      </w:pPr>
      <w:r>
        <w:rPr>
          <w:spacing w:val="-17"/>
        </w:rPr>
        <w:t xml:space="preserve">潜伏期在 </w:t>
      </w:r>
      <w:r>
        <w:rPr>
          <w:rFonts w:ascii="Century Gothic" w:eastAsia="Century Gothic" w:hAnsi="Century Gothic"/>
        </w:rPr>
        <w:t xml:space="preserve">15 </w:t>
      </w:r>
      <w:r>
        <w:rPr>
          <w:spacing w:val="3"/>
        </w:rPr>
        <w:t xml:space="preserve">— </w:t>
      </w:r>
      <w:r>
        <w:rPr>
          <w:rFonts w:ascii="Century Gothic" w:eastAsia="Century Gothic" w:hAnsi="Century Gothic"/>
        </w:rPr>
        <w:t xml:space="preserve">45 </w:t>
      </w:r>
      <w:r>
        <w:t>天之间</w:t>
      </w:r>
      <w:r>
        <w:rPr>
          <w:rFonts w:ascii="宋体" w:eastAsia="宋体" w:hAnsi="宋体" w:hint="eastAsia"/>
          <w:spacing w:val="-3"/>
          <w:position w:val="6"/>
          <w:sz w:val="42"/>
        </w:rPr>
        <w:t>，</w:t>
      </w:r>
      <w:r>
        <w:rPr>
          <w:spacing w:val="-28"/>
        </w:rPr>
        <w:t xml:space="preserve">平均 </w:t>
      </w:r>
      <w:r>
        <w:rPr>
          <w:rFonts w:ascii="Century Gothic" w:eastAsia="Century Gothic" w:hAnsi="Century Gothic"/>
        </w:rPr>
        <w:t xml:space="preserve">25 </w:t>
      </w:r>
      <w:r>
        <w:t>天</w:t>
      </w:r>
      <w:r>
        <w:rPr>
          <w:rFonts w:ascii="Century Gothic" w:eastAsia="Century Gothic" w:hAnsi="Century Gothic"/>
          <w:spacing w:val="-3"/>
        </w:rPr>
        <w:t>,</w:t>
      </w:r>
      <w:r>
        <w:rPr>
          <w:spacing w:val="-21"/>
        </w:rPr>
        <w:t xml:space="preserve">总病程 </w:t>
      </w:r>
      <w:r>
        <w:rPr>
          <w:rFonts w:ascii="Century Gothic" w:eastAsia="Century Gothic" w:hAnsi="Century Gothic"/>
        </w:rPr>
        <w:t xml:space="preserve">2 </w:t>
      </w:r>
      <w:r>
        <w:rPr>
          <w:spacing w:val="3"/>
        </w:rPr>
        <w:t xml:space="preserve">— </w:t>
      </w:r>
      <w:r>
        <w:rPr>
          <w:rFonts w:ascii="Century Gothic" w:eastAsia="Century Gothic" w:hAnsi="Century Gothic"/>
        </w:rPr>
        <w:t xml:space="preserve">4 </w:t>
      </w:r>
      <w:r>
        <w:t>个月整个病程分为黄疸前期、黄疸期、恢复期三个阶段</w:t>
      </w:r>
    </w:p>
    <w:p>
      <w:pPr>
        <w:pStyle w:val="BodyText"/>
        <w:spacing w:line="517" w:lineRule="exact"/>
        <w:ind w:left="1105"/>
      </w:pPr>
      <w:r>
        <w:rPr>
          <w:w w:val="105"/>
        </w:rPr>
        <w:t>急性肝炎时</w:t>
      </w:r>
      <w:r>
        <w:rPr>
          <w:rFonts w:ascii="宋体" w:eastAsia="宋体" w:hint="eastAsia"/>
          <w:spacing w:val="-3"/>
          <w:w w:val="105"/>
          <w:position w:val="6"/>
          <w:sz w:val="42"/>
        </w:rPr>
        <w:t>，</w:t>
      </w:r>
      <w:r>
        <w:rPr>
          <w:w w:val="105"/>
        </w:rPr>
        <w:t>丙氨酸氨基转移酶</w:t>
      </w:r>
      <w:r>
        <w:rPr>
          <w:rFonts w:ascii="Century Gothic" w:eastAsia="Century Gothic"/>
          <w:w w:val="105"/>
        </w:rPr>
        <w:t>(ALT)</w:t>
      </w:r>
      <w:r>
        <w:rPr>
          <w:spacing w:val="1"/>
          <w:w w:val="105"/>
        </w:rPr>
        <w:t>会升高</w:t>
      </w:r>
      <w:r>
        <w:rPr>
          <w:rFonts w:ascii="宋体" w:eastAsia="宋体" w:hint="eastAsia"/>
          <w:spacing w:val="-3"/>
          <w:w w:val="105"/>
          <w:position w:val="6"/>
          <w:sz w:val="42"/>
        </w:rPr>
        <w:t>，</w:t>
      </w:r>
      <w:r>
        <w:rPr>
          <w:spacing w:val="-35"/>
          <w:w w:val="105"/>
        </w:rPr>
        <w:t xml:space="preserve">若血清 </w:t>
      </w:r>
      <w:r>
        <w:rPr>
          <w:rFonts w:ascii="Century Gothic" w:eastAsia="Century Gothic"/>
          <w:w w:val="105"/>
        </w:rPr>
        <w:t>AST</w:t>
      </w:r>
      <w:r>
        <w:rPr>
          <w:rFonts w:ascii="Century Gothic" w:eastAsia="Century Gothic"/>
          <w:spacing w:val="-62"/>
          <w:w w:val="105"/>
        </w:rPr>
        <w:t xml:space="preserve"> </w:t>
      </w:r>
      <w:r>
        <w:rPr>
          <w:w w:val="105"/>
        </w:rPr>
        <w:t>明显增高</w:t>
      </w:r>
      <w:r>
        <w:rPr>
          <w:rFonts w:ascii="宋体" w:eastAsia="宋体" w:hint="eastAsia"/>
          <w:w w:val="105"/>
          <w:position w:val="6"/>
          <w:sz w:val="42"/>
        </w:rPr>
        <w:t>，</w:t>
      </w:r>
      <w:r>
        <w:rPr>
          <w:spacing w:val="-10"/>
          <w:w w:val="105"/>
        </w:rPr>
        <w:t>常表示肝细胞严重 坏</w:t>
      </w:r>
    </w:p>
    <w:p>
      <w:pPr>
        <w:pStyle w:val="BodyText"/>
        <w:spacing w:before="130"/>
        <w:ind w:left="170"/>
      </w:pPr>
      <w:r>
        <w:t>死急性肝炎根据肝损害程度临床可分为轻度、中度和重度</w:t>
      </w:r>
    </w:p>
    <w:p>
      <w:pPr>
        <w:pStyle w:val="BodyText"/>
        <w:spacing w:before="221"/>
        <w:ind w:left="1105"/>
        <w:rPr>
          <w:rFonts w:ascii="宋体" w:eastAsia="宋体" w:hAnsi="宋体" w:hint="eastAsia"/>
          <w:sz w:val="44"/>
        </w:rPr>
      </w:pPr>
      <w:r>
        <w:rPr>
          <w:rFonts w:ascii="Century Gothic" w:eastAsia="Century Gothic" w:hAnsi="Century Gothic"/>
        </w:rPr>
        <w:t>22</w:t>
      </w:r>
      <w:r>
        <w:t xml:space="preserve">、血清抗 一 </w:t>
      </w:r>
      <w:r>
        <w:rPr>
          <w:rFonts w:ascii="Century Gothic" w:eastAsia="Century Gothic" w:hAnsi="Century Gothic"/>
        </w:rPr>
        <w:t xml:space="preserve">HAV </w:t>
      </w:r>
      <w:r>
        <w:t xml:space="preserve">— </w:t>
      </w:r>
      <w:r>
        <w:rPr>
          <w:rFonts w:ascii="Century Gothic" w:eastAsia="Century Gothic" w:hAnsi="Century Gothic"/>
        </w:rPr>
        <w:t xml:space="preserve">IgM </w:t>
      </w:r>
      <w:r>
        <w:t>阳性可确诊为</w:t>
      </w:r>
      <w:r>
        <w:rPr>
          <w:rFonts w:ascii="Century Gothic" w:eastAsia="Century Gothic" w:hAnsi="Century Gothic"/>
        </w:rPr>
        <w:t>(C )</w:t>
      </w:r>
      <w:r>
        <w:rPr>
          <w:rFonts w:ascii="宋体" w:eastAsia="宋体" w:hAnsi="宋体" w:hint="eastAsia"/>
          <w:position w:val="8"/>
          <w:sz w:val="44"/>
        </w:rPr>
        <w:t>。</w:t>
      </w:r>
    </w:p>
    <w:p>
      <w:pPr>
        <w:pStyle w:val="BodyText"/>
        <w:spacing w:before="431" w:line="460" w:lineRule="auto"/>
        <w:ind w:left="1083" w:right="13737"/>
      </w:pPr>
      <w:r>
        <w:t>急性肝炎慢性肝炎</w:t>
      </w:r>
    </w:p>
    <w:p>
      <w:pPr>
        <w:pStyle w:val="BodyText"/>
        <w:spacing w:line="442" w:lineRule="exact"/>
        <w:ind w:left="1083"/>
      </w:pPr>
      <w:r>
        <w:t>急性甲型肝炎</w:t>
      </w:r>
    </w:p>
    <w:p>
      <w:pPr>
        <w:pStyle w:val="BodyText"/>
        <w:spacing w:before="1"/>
        <w:rPr>
          <w:sz w:val="32"/>
        </w:rPr>
      </w:pPr>
    </w:p>
    <w:p>
      <w:pPr>
        <w:pStyle w:val="BodyText"/>
        <w:ind w:left="1083"/>
      </w:pPr>
      <w:r>
        <w:t>丙型肝炎</w:t>
      </w:r>
    </w:p>
    <w:p>
      <w:pPr>
        <w:pStyle w:val="BodyText"/>
        <w:tabs>
          <w:tab w:val="left" w:pos="7286"/>
        </w:tabs>
        <w:spacing w:before="221"/>
        <w:ind w:left="1083"/>
        <w:rPr>
          <w:rFonts w:ascii="宋体" w:eastAsia="宋体" w:hint="eastAsia"/>
          <w:sz w:val="44"/>
        </w:rPr>
      </w:pPr>
      <w:r>
        <w:rPr>
          <w:rFonts w:ascii="Century Gothic" w:eastAsia="Century Gothic"/>
        </w:rPr>
        <w:t>23</w:t>
      </w:r>
      <w:r>
        <w:t>、</w:t>
      </w:r>
      <w:r>
        <w:rPr>
          <w:spacing w:val="6"/>
        </w:rPr>
        <w:t xml:space="preserve"> </w:t>
      </w:r>
      <w:r>
        <w:t>确诊消化性溃疡最直接的方法是</w:t>
        <w:tab/>
      </w:r>
      <w:r>
        <w:rPr>
          <w:rFonts w:ascii="Century Gothic" w:eastAsia="Century Gothic"/>
        </w:rPr>
        <w:t>(A )</w:t>
      </w:r>
      <w:r>
        <w:rPr>
          <w:rFonts w:ascii="宋体" w:eastAsia="宋体" w:hint="eastAsia"/>
          <w:position w:val="8"/>
          <w:sz w:val="44"/>
        </w:rPr>
        <w:t>。</w:t>
      </w:r>
    </w:p>
    <w:p>
      <w:pPr>
        <w:pStyle w:val="BodyText"/>
        <w:spacing w:before="431"/>
        <w:ind w:left="1083"/>
      </w:pPr>
      <w:r>
        <w:t>内镜检查</w:t>
      </w:r>
    </w:p>
    <w:p>
      <w:pPr>
        <w:pStyle w:val="BodyText"/>
        <w:spacing w:before="5"/>
        <w:rPr>
          <w:sz w:val="31"/>
        </w:rPr>
      </w:pPr>
    </w:p>
    <w:p>
      <w:pPr>
        <w:pStyle w:val="BodyText"/>
        <w:ind w:left="1105"/>
      </w:pPr>
      <w:r>
        <w:rPr>
          <w:rFonts w:ascii="Century Gothic" w:eastAsia="Century Gothic"/>
        </w:rPr>
        <w:t xml:space="preserve">X </w:t>
      </w:r>
      <w:r>
        <w:t>线钡餐检查</w:t>
      </w:r>
    </w:p>
    <w:p>
      <w:pPr>
        <w:spacing w:after="0"/>
        <w:sectPr>
          <w:type w:val="continuous"/>
          <w:pgSz w:w="22370" w:h="31660"/>
          <w:pgMar w:top="2480" w:right="3000" w:bottom="280" w:left="3140" w:header="708" w:footer="708"/>
          <w:pgNumType w:start="28"/>
          <w:cols w:space="708"/>
        </w:sectPr>
      </w:pPr>
    </w:p>
    <w:p>
      <w:pPr>
        <w:pStyle w:val="BodyText"/>
        <w:spacing w:before="15"/>
        <w:ind w:left="1105"/>
      </w:pPr>
      <w:r>
        <w:t>幽门螺旋杆菌</w:t>
      </w:r>
      <w:r>
        <w:rPr>
          <w:rFonts w:ascii="宋体" w:eastAsia="宋体" w:hint="eastAsia"/>
          <w:position w:val="6"/>
          <w:sz w:val="42"/>
        </w:rPr>
        <w:t>(</w:t>
      </w:r>
      <w:r>
        <w:rPr>
          <w:rFonts w:ascii="Century Gothic" w:eastAsia="Century Gothic"/>
        </w:rPr>
        <w:t>HP)</w:t>
      </w:r>
      <w:r>
        <w:t>感染的检测</w:t>
      </w:r>
    </w:p>
    <w:p>
      <w:pPr>
        <w:pStyle w:val="BodyText"/>
        <w:spacing w:before="9"/>
        <w:rPr>
          <w:sz w:val="28"/>
        </w:rPr>
      </w:pPr>
    </w:p>
    <w:p>
      <w:pPr>
        <w:spacing w:after="0"/>
        <w:rPr>
          <w:sz w:val="28"/>
        </w:rPr>
        <w:sectPr>
          <w:pgSz w:w="22370" w:h="31660"/>
          <w:pgMar w:top="2340" w:right="3000" w:bottom="280" w:left="3140" w:header="708" w:footer="708"/>
          <w:pgNumType w:start="29"/>
          <w:cols w:space="708"/>
        </w:sectPr>
      </w:pPr>
    </w:p>
    <w:p>
      <w:pPr>
        <w:pStyle w:val="BodyText"/>
        <w:spacing w:before="38"/>
        <w:ind w:left="1105"/>
      </w:pPr>
      <w:r>
        <w:t>胃液分析</w:t>
      </w:r>
    </w:p>
    <w:p>
      <w:pPr>
        <w:pStyle w:val="BodyText"/>
        <w:spacing w:before="8"/>
        <w:rPr>
          <w:sz w:val="29"/>
        </w:rPr>
      </w:pPr>
    </w:p>
    <w:p>
      <w:pPr>
        <w:pStyle w:val="BodyText"/>
        <w:spacing w:line="465" w:lineRule="auto"/>
        <w:ind w:left="1105"/>
      </w:pPr>
      <w:r>
        <w:rPr>
          <w:rFonts w:ascii="Century Gothic" w:eastAsia="Century Gothic"/>
        </w:rPr>
        <w:t>24</w:t>
      </w:r>
      <w:r>
        <w:t>、 胰岛素治疗的最大不良反应为肾功能障碍</w:t>
      </w:r>
    </w:p>
    <w:p>
      <w:pPr>
        <w:pStyle w:val="BodyText"/>
        <w:spacing w:line="436" w:lineRule="exact"/>
        <w:ind w:left="1105"/>
      </w:pPr>
      <w:r>
        <w:t>视力下降</w:t>
      </w:r>
    </w:p>
    <w:p>
      <w:pPr>
        <w:pStyle w:val="BodyText"/>
        <w:spacing w:before="8"/>
        <w:rPr>
          <w:sz w:val="31"/>
        </w:rPr>
      </w:pPr>
    </w:p>
    <w:p>
      <w:pPr>
        <w:pStyle w:val="BodyText"/>
        <w:ind w:left="1105"/>
      </w:pPr>
      <w:r>
        <w:t>低血糖</w:t>
      </w:r>
    </w:p>
    <w:p>
      <w:pPr>
        <w:pStyle w:val="BodyText"/>
        <w:spacing w:before="6"/>
        <w:rPr>
          <w:sz w:val="54"/>
        </w:rPr>
      </w:pPr>
      <w:r>
        <w:br w:type="column"/>
      </w:r>
    </w:p>
    <w:p>
      <w:pPr>
        <w:spacing w:before="0"/>
        <w:ind w:left="308" w:right="0" w:firstLine="0"/>
        <w:jc w:val="left"/>
        <w:rPr>
          <w:rFonts w:ascii="宋体" w:eastAsia="宋体" w:hint="eastAsia"/>
          <w:sz w:val="44"/>
        </w:rPr>
      </w:pPr>
      <w:r>
        <w:rPr>
          <w:rFonts w:ascii="宋体" w:eastAsia="宋体" w:hint="eastAsia"/>
          <w:position w:val="6"/>
          <w:sz w:val="42"/>
        </w:rPr>
        <w:t>(</w:t>
      </w:r>
      <w:r>
        <w:rPr>
          <w:rFonts w:ascii="Century Gothic" w:eastAsia="Century Gothic"/>
          <w:sz w:val="35"/>
        </w:rPr>
        <w:t>C )</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30"/>
          <w:cols w:num="2" w:space="708" w:equalWidth="0">
            <w:col w:w="6587" w:space="40"/>
            <w:col w:w="9603" w:space="0"/>
          </w:cols>
        </w:sectPr>
      </w:pPr>
    </w:p>
    <w:p>
      <w:pPr>
        <w:pStyle w:val="BodyText"/>
        <w:spacing w:before="6"/>
        <w:rPr>
          <w:rFonts w:ascii="宋体"/>
          <w:sz w:val="28"/>
        </w:rPr>
      </w:pPr>
    </w:p>
    <w:p>
      <w:pPr>
        <w:pStyle w:val="BodyText"/>
        <w:spacing w:before="38"/>
        <w:ind w:left="1105"/>
      </w:pPr>
      <w:r>
        <w:t>低血压</w:t>
      </w:r>
    </w:p>
    <w:p>
      <w:pPr>
        <w:pStyle w:val="BodyText"/>
        <w:tabs>
          <w:tab w:val="left" w:pos="7345"/>
        </w:tabs>
        <w:spacing w:before="214"/>
        <w:ind w:left="1105"/>
        <w:rPr>
          <w:rFonts w:ascii="宋体" w:eastAsia="宋体" w:hint="eastAsia"/>
          <w:sz w:val="44"/>
        </w:rPr>
      </w:pPr>
      <w:r>
        <w:rPr>
          <w:rFonts w:ascii="Century Gothic" w:eastAsia="Century Gothic"/>
        </w:rPr>
        <w:t>25</w:t>
      </w:r>
      <w:r>
        <w:t>、</w:t>
      </w:r>
      <w:r>
        <w:rPr>
          <w:spacing w:val="6"/>
        </w:rPr>
        <w:t xml:space="preserve"> </w:t>
      </w:r>
      <w:r>
        <w:t>正常人的静息血压范围为收缩压</w:t>
        <w:tab/>
      </w:r>
      <w:r>
        <w:rPr>
          <w:rFonts w:ascii="Century Gothic" w:eastAsia="Century Gothic"/>
        </w:rPr>
        <w:t>(A)</w:t>
      </w:r>
      <w:r>
        <w:t>、舒张压</w:t>
      </w:r>
      <w:r>
        <w:rPr>
          <w:rFonts w:ascii="Century Gothic" w:eastAsia="Century Gothic"/>
        </w:rPr>
        <w:t>(A)</w:t>
      </w:r>
      <w:r>
        <w:rPr>
          <w:rFonts w:ascii="宋体" w:eastAsia="宋体" w:hint="eastAsia"/>
          <w:position w:val="8"/>
          <w:sz w:val="44"/>
        </w:rPr>
        <w:t>。</w:t>
      </w:r>
    </w:p>
    <w:p>
      <w:pPr>
        <w:pStyle w:val="BodyText"/>
        <w:spacing w:before="418"/>
        <w:ind w:left="1105"/>
        <w:rPr>
          <w:rFonts w:ascii="Century Gothic"/>
        </w:rPr>
      </w:pPr>
      <w:r>
        <w:rPr>
          <w:rFonts w:ascii="Century Gothic"/>
        </w:rPr>
        <w:t>100-140mmHg;60-90mmHg</w:t>
      </w:r>
    </w:p>
    <w:p>
      <w:pPr>
        <w:pStyle w:val="BodyText"/>
        <w:spacing w:before="7"/>
        <w:rPr>
          <w:rFonts w:ascii="Century Gothic"/>
        </w:rPr>
      </w:pPr>
    </w:p>
    <w:p>
      <w:pPr>
        <w:pStyle w:val="BodyText"/>
        <w:ind w:left="1105"/>
        <w:rPr>
          <w:rFonts w:ascii="Century Gothic"/>
        </w:rPr>
      </w:pPr>
      <w:r>
        <w:rPr>
          <w:rFonts w:ascii="Century Gothic"/>
        </w:rPr>
        <w:t>140-159mmHg;90-99mmHg</w:t>
      </w:r>
    </w:p>
    <w:p>
      <w:pPr>
        <w:pStyle w:val="BodyText"/>
        <w:spacing w:before="3"/>
        <w:rPr>
          <w:rFonts w:ascii="Century Gothic"/>
        </w:rPr>
      </w:pPr>
    </w:p>
    <w:p>
      <w:pPr>
        <w:pStyle w:val="BodyText"/>
        <w:spacing w:before="1"/>
        <w:ind w:left="1105"/>
        <w:rPr>
          <w:rFonts w:ascii="Century Gothic"/>
        </w:rPr>
      </w:pPr>
      <w:r>
        <w:rPr>
          <w:rFonts w:ascii="Century Gothic"/>
        </w:rPr>
        <w:t>160-179mmHg;100-109mmHg</w:t>
      </w:r>
    </w:p>
    <w:p>
      <w:pPr>
        <w:pStyle w:val="BodyText"/>
        <w:spacing w:before="2"/>
        <w:rPr>
          <w:rFonts w:ascii="Century Gothic"/>
          <w:sz w:val="29"/>
        </w:rPr>
      </w:pPr>
    </w:p>
    <w:p>
      <w:pPr>
        <w:spacing w:after="0"/>
        <w:rPr>
          <w:rFonts w:ascii="Century Gothic"/>
          <w:sz w:val="29"/>
        </w:rPr>
        <w:sectPr>
          <w:type w:val="continuous"/>
          <w:pgSz w:w="22370" w:h="31660"/>
          <w:pgMar w:top="2480" w:right="3000" w:bottom="280" w:left="3140" w:header="708" w:footer="708"/>
          <w:pgNumType w:start="31"/>
          <w:cols w:space="708"/>
        </w:sectPr>
      </w:pPr>
    </w:p>
    <w:p>
      <w:pPr>
        <w:pStyle w:val="BodyText"/>
        <w:spacing w:before="78"/>
        <w:ind w:left="1105"/>
        <w:rPr>
          <w:rFonts w:ascii="Century Gothic"/>
        </w:rPr>
      </w:pPr>
      <w:r>
        <w:rPr>
          <w:rFonts w:ascii="Century Gothic"/>
        </w:rPr>
        <w:t>180-199mmHg;110-119mmHg</w:t>
      </w:r>
    </w:p>
    <w:p>
      <w:pPr>
        <w:pStyle w:val="BodyText"/>
        <w:spacing w:before="265" w:line="429" w:lineRule="auto"/>
        <w:ind w:left="1105"/>
      </w:pPr>
      <w:r>
        <w:rPr>
          <w:rFonts w:ascii="Century Gothic" w:eastAsia="Century Gothic"/>
        </w:rPr>
        <w:t>26</w:t>
      </w:r>
      <w:r>
        <w:t>、 子宫肌瘤诊断方法多样</w:t>
      </w:r>
      <w:r>
        <w:rPr>
          <w:rFonts w:ascii="宋体" w:eastAsia="宋体" w:hint="eastAsia"/>
          <w:position w:val="6"/>
          <w:sz w:val="42"/>
        </w:rPr>
        <w:t>，</w:t>
      </w:r>
      <w:r>
        <w:t>其中最为常用的辅助诊断方法是超声检查</w:t>
      </w:r>
    </w:p>
    <w:p>
      <w:pPr>
        <w:pStyle w:val="BodyText"/>
        <w:spacing w:before="49" w:line="456" w:lineRule="auto"/>
        <w:ind w:left="1105" w:right="8006"/>
      </w:pPr>
      <w:r>
        <w:t>诊断性刮宫宫腔镜检查</w:t>
      </w:r>
    </w:p>
    <w:p>
      <w:pPr>
        <w:pStyle w:val="BodyText"/>
        <w:rPr>
          <w:sz w:val="40"/>
        </w:rPr>
      </w:pPr>
      <w:r>
        <w:br w:type="column"/>
      </w:r>
    </w:p>
    <w:p>
      <w:pPr>
        <w:pStyle w:val="BodyText"/>
        <w:spacing w:before="3"/>
        <w:rPr>
          <w:sz w:val="30"/>
        </w:rPr>
      </w:pPr>
    </w:p>
    <w:p>
      <w:pPr>
        <w:pStyle w:val="BodyText"/>
        <w:ind w:left="524"/>
      </w:pPr>
      <w:r>
        <w:rPr>
          <w:rFonts w:ascii="Century Gothic" w:eastAsia="Century Gothic"/>
        </w:rPr>
        <w:t>(A )</w:t>
      </w:r>
      <w:r>
        <w:t>。</w:t>
      </w:r>
    </w:p>
    <w:p>
      <w:pPr>
        <w:spacing w:after="0"/>
        <w:sectPr>
          <w:type w:val="continuous"/>
          <w:pgSz w:w="22370" w:h="31660"/>
          <w:pgMar w:top="2480" w:right="3000" w:bottom="280" w:left="3140" w:header="708" w:footer="708"/>
          <w:pgNumType w:start="32"/>
          <w:cols w:num="2" w:space="708" w:equalWidth="0">
            <w:col w:w="10869" w:space="40"/>
            <w:col w:w="5321" w:space="0"/>
          </w:cols>
        </w:sectPr>
      </w:pPr>
    </w:p>
    <w:p>
      <w:pPr>
        <w:pStyle w:val="BodyText"/>
        <w:spacing w:before="3"/>
        <w:ind w:left="1105"/>
      </w:pPr>
      <w:r>
        <w:t>磁共振检查</w:t>
      </w:r>
    </w:p>
    <w:p>
      <w:pPr>
        <w:pStyle w:val="BodyText"/>
        <w:spacing w:before="11"/>
        <w:rPr>
          <w:sz w:val="29"/>
        </w:rPr>
      </w:pPr>
    </w:p>
    <w:p>
      <w:pPr>
        <w:pStyle w:val="BodyText"/>
        <w:spacing w:line="259" w:lineRule="auto"/>
        <w:ind w:left="170" w:right="363" w:firstLine="960"/>
      </w:pPr>
      <w:r>
        <w:rPr>
          <w:rFonts w:ascii="Century Gothic" w:eastAsia="Century Gothic"/>
        </w:rPr>
        <w:t>27</w:t>
      </w:r>
      <w:r>
        <w:t>、 大多数精神疾病的病程迁延、病情波动易复发预防复发</w:t>
      </w:r>
      <w:r>
        <w:rPr>
          <w:rFonts w:ascii="宋体" w:eastAsia="宋体" w:hint="eastAsia"/>
          <w:position w:val="6"/>
          <w:sz w:val="42"/>
        </w:rPr>
        <w:t>，</w:t>
      </w:r>
      <w:r>
        <w:t xml:space="preserve">精神病最主要的治疗手段是 </w:t>
      </w:r>
      <w:r>
        <w:rPr>
          <w:rFonts w:ascii="Century Gothic" w:eastAsia="Century Gothic"/>
        </w:rPr>
        <w:t>(B )</w:t>
      </w:r>
      <w:r>
        <w:t>。</w:t>
      </w:r>
    </w:p>
    <w:p>
      <w:pPr>
        <w:pStyle w:val="BodyText"/>
        <w:spacing w:before="361" w:line="456" w:lineRule="auto"/>
        <w:ind w:left="1105" w:right="6922"/>
        <w:jc w:val="both"/>
      </w:pPr>
      <w:r>
        <w:t>行为治疗药物治疗工作治疗心理治疗</w:t>
      </w:r>
    </w:p>
    <w:p>
      <w:pPr>
        <w:pStyle w:val="BodyText"/>
        <w:spacing w:line="431" w:lineRule="exact"/>
        <w:ind w:left="1105"/>
        <w:jc w:val="both"/>
      </w:pPr>
      <w:r>
        <w:rPr>
          <w:rFonts w:ascii="Century Gothic" w:eastAsia="Century Gothic"/>
        </w:rPr>
        <w:t>28</w:t>
      </w:r>
      <w:r>
        <w:t>、 根据传播方式、速度及其对人类危害程度的不同</w:t>
      </w:r>
    </w:p>
    <w:p>
      <w:pPr>
        <w:pStyle w:val="BodyText"/>
        <w:spacing w:before="1"/>
        <w:rPr>
          <w:sz w:val="55"/>
        </w:rPr>
      </w:pPr>
      <w:r>
        <w:br w:type="column"/>
      </w:r>
    </w:p>
    <w:p>
      <w:pPr>
        <w:pStyle w:val="BodyText"/>
        <w:ind w:right="870"/>
        <w:jc w:val="right"/>
      </w:pPr>
      <w:r>
        <w:rPr>
          <w:rFonts w:ascii="宋体" w:eastAsia="宋体" w:hint="eastAsia"/>
          <w:position w:val="6"/>
          <w:sz w:val="42"/>
        </w:rPr>
        <w:t>，</w:t>
      </w:r>
      <w:r>
        <w:t>需要持续规则的治疗以控制症状和</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6"/>
        </w:rPr>
      </w:pPr>
    </w:p>
    <w:p>
      <w:pPr>
        <w:pStyle w:val="BodyText"/>
        <w:ind w:right="784"/>
        <w:jc w:val="right"/>
      </w:pPr>
      <w:r>
        <w:rPr>
          <w:rFonts w:ascii="宋体" w:eastAsia="宋体" w:hint="eastAsia"/>
          <w:position w:val="6"/>
          <w:sz w:val="42"/>
        </w:rPr>
        <w:t>，</w:t>
      </w:r>
      <w:r>
        <w:t>法定传染病分为甲、乙、丙三类</w:t>
      </w:r>
    </w:p>
    <w:p>
      <w:pPr>
        <w:spacing w:after="0"/>
        <w:jc w:val="right"/>
        <w:sectPr>
          <w:type w:val="continuous"/>
          <w:pgSz w:w="22370" w:h="31660"/>
          <w:pgMar w:top="2480" w:right="3000" w:bottom="280" w:left="3140" w:header="708" w:footer="708"/>
          <w:pgNumType w:start="33"/>
          <w:cols w:num="2" w:space="708" w:equalWidth="0">
            <w:col w:w="9435" w:space="62"/>
            <w:col w:w="6733" w:space="0"/>
          </w:cols>
        </w:sectPr>
      </w:pPr>
    </w:p>
    <w:p>
      <w:pPr>
        <w:pStyle w:val="BodyText"/>
        <w:spacing w:before="37" w:line="420" w:lineRule="auto"/>
        <w:ind w:left="1105" w:right="38" w:hanging="935"/>
      </w:pPr>
      <w:r>
        <w:rPr>
          <w:spacing w:val="-25"/>
        </w:rPr>
        <w:t xml:space="preserve">合计 </w:t>
      </w:r>
      <w:r>
        <w:rPr>
          <w:rFonts w:ascii="Century Gothic" w:eastAsia="Century Gothic"/>
        </w:rPr>
        <w:t>39</w:t>
      </w:r>
      <w:r>
        <w:rPr>
          <w:rFonts w:ascii="Century Gothic" w:eastAsia="Century Gothic"/>
          <w:spacing w:val="-12"/>
        </w:rPr>
        <w:t xml:space="preserve"> </w:t>
      </w:r>
      <w:r>
        <w:t>种传染病</w:t>
      </w:r>
      <w:r>
        <w:rPr>
          <w:rFonts w:ascii="宋体" w:eastAsia="宋体" w:hint="eastAsia"/>
          <w:position w:val="6"/>
          <w:sz w:val="42"/>
        </w:rPr>
        <w:t>，</w:t>
      </w:r>
      <w:r>
        <w:rPr>
          <w:spacing w:val="-2"/>
        </w:rPr>
        <w:t>下列选项中不属于乙类传染病的是</w:t>
      </w:r>
      <w:r>
        <w:t>肺结核</w:t>
      </w:r>
    </w:p>
    <w:p>
      <w:pPr>
        <w:pStyle w:val="BodyText"/>
        <w:spacing w:before="70" w:line="458" w:lineRule="auto"/>
        <w:ind w:left="1105" w:right="5695"/>
      </w:pPr>
      <w:r>
        <w:rPr>
          <w:spacing w:val="-4"/>
        </w:rPr>
        <w:t>病毒性肝炎</w:t>
      </w:r>
      <w:r>
        <w:t>狂犬病</w:t>
      </w:r>
    </w:p>
    <w:p>
      <w:pPr>
        <w:spacing w:before="37"/>
        <w:ind w:left="170" w:right="0" w:firstLine="0"/>
        <w:jc w:val="left"/>
        <w:rPr>
          <w:sz w:val="35"/>
        </w:rPr>
      </w:pPr>
      <w:r>
        <w:br w:type="column"/>
      </w:r>
      <w:r>
        <w:rPr>
          <w:rFonts w:ascii="宋体" w:eastAsia="宋体" w:hint="eastAsia"/>
          <w:position w:val="6"/>
          <w:sz w:val="42"/>
        </w:rPr>
        <w:t>(</w:t>
      </w:r>
      <w:r>
        <w:rPr>
          <w:rFonts w:ascii="Century Gothic" w:eastAsia="Century Gothic"/>
          <w:sz w:val="35"/>
        </w:rPr>
        <w:t>D )</w:t>
      </w:r>
      <w:r>
        <w:rPr>
          <w:sz w:val="35"/>
        </w:rPr>
        <w:t>。</w:t>
      </w:r>
    </w:p>
    <w:p>
      <w:pPr>
        <w:spacing w:after="0"/>
        <w:jc w:val="left"/>
        <w:rPr>
          <w:sz w:val="35"/>
        </w:rPr>
        <w:sectPr>
          <w:type w:val="continuous"/>
          <w:pgSz w:w="22370" w:h="31660"/>
          <w:pgMar w:top="2480" w:right="3000" w:bottom="280" w:left="3140" w:header="708" w:footer="708"/>
          <w:pgNumType w:start="34"/>
          <w:cols w:num="2" w:space="708" w:equalWidth="0">
            <w:col w:w="8559" w:space="438"/>
            <w:col w:w="7233" w:space="0"/>
          </w:cols>
        </w:sectPr>
      </w:pPr>
    </w:p>
    <w:p>
      <w:pPr>
        <w:pStyle w:val="BodyText"/>
        <w:spacing w:line="441" w:lineRule="exact"/>
        <w:ind w:left="1105"/>
      </w:pPr>
      <w:r>
        <w:t>流行性感冒</w:t>
      </w:r>
    </w:p>
    <w:p>
      <w:pPr>
        <w:pStyle w:val="BodyText"/>
        <w:spacing w:before="254" w:line="364" w:lineRule="auto"/>
        <w:ind w:left="1105" w:right="3489"/>
      </w:pPr>
      <w:r>
        <w:rPr>
          <w:rFonts w:ascii="Century Gothic" w:eastAsia="Century Gothic"/>
        </w:rPr>
        <w:t>29</w:t>
      </w:r>
      <w:r>
        <w:t>、 细胞增生并出现异型性</w:t>
      </w:r>
      <w:r>
        <w:rPr>
          <w:rFonts w:ascii="宋体" w:eastAsia="宋体" w:hint="eastAsia"/>
          <w:position w:val="6"/>
          <w:sz w:val="42"/>
        </w:rPr>
        <w:t>，</w:t>
      </w:r>
      <w:r>
        <w:t xml:space="preserve">但还不能诊断为恶性的状况 </w:t>
      </w:r>
      <w:r>
        <w:rPr>
          <w:rFonts w:ascii="宋体" w:eastAsia="宋体" w:hint="eastAsia"/>
          <w:position w:val="6"/>
          <w:sz w:val="42"/>
        </w:rPr>
        <w:t>，</w:t>
      </w:r>
      <w:r>
        <w:t>指的是</w:t>
      </w:r>
      <w:r>
        <w:rPr>
          <w:rFonts w:ascii="Century Gothic" w:eastAsia="Century Gothic"/>
        </w:rPr>
        <w:t>(B )</w:t>
      </w:r>
      <w:r>
        <w:t>。癌前病变</w:t>
      </w:r>
    </w:p>
    <w:p>
      <w:pPr>
        <w:pStyle w:val="BodyText"/>
        <w:spacing w:before="203"/>
        <w:ind w:left="1105"/>
      </w:pPr>
      <w:r>
        <w:t>非典型增生</w:t>
      </w:r>
    </w:p>
    <w:p>
      <w:pPr>
        <w:spacing w:after="0"/>
        <w:sectPr>
          <w:type w:val="continuous"/>
          <w:pgSz w:w="22370" w:h="31660"/>
          <w:pgMar w:top="2480" w:right="3000" w:bottom="280" w:left="3140" w:header="708" w:footer="708"/>
          <w:pgNumType w:start="35"/>
          <w:cols w:space="708"/>
        </w:sectPr>
      </w:pPr>
    </w:p>
    <w:p>
      <w:pPr>
        <w:pStyle w:val="BodyText"/>
        <w:spacing w:before="20" w:line="465" w:lineRule="auto"/>
        <w:ind w:left="1105" w:right="14065"/>
      </w:pPr>
      <w:r>
        <w:t>原位癌类癌</w:t>
      </w:r>
    </w:p>
    <w:p>
      <w:pPr>
        <w:pStyle w:val="BodyText"/>
        <w:spacing w:line="418" w:lineRule="exact"/>
        <w:ind w:left="1105"/>
      </w:pPr>
      <w:r>
        <w:rPr>
          <w:rFonts w:ascii="Century Gothic" w:eastAsia="Century Gothic"/>
        </w:rPr>
        <w:t>30</w:t>
      </w:r>
      <w:r>
        <w:t>、 脑炎或脑膜炎均是由不同病因引起的</w:t>
      </w:r>
      <w:r>
        <w:rPr>
          <w:rFonts w:ascii="宋体" w:eastAsia="宋体" w:hint="eastAsia"/>
          <w:position w:val="6"/>
          <w:sz w:val="42"/>
        </w:rPr>
        <w:t>，</w:t>
      </w:r>
      <w:r>
        <w:t>最终可导致严重的中枢神经系统损伤的感染 性疾</w:t>
      </w:r>
    </w:p>
    <w:p>
      <w:pPr>
        <w:spacing w:after="0" w:line="418" w:lineRule="exact"/>
        <w:sectPr>
          <w:pgSz w:w="22370" w:h="31660"/>
          <w:pgMar w:top="2420" w:right="3000" w:bottom="280" w:left="3140" w:header="708" w:footer="708"/>
          <w:pgNumType w:start="36"/>
          <w:cols w:space="708"/>
        </w:sectPr>
      </w:pPr>
    </w:p>
    <w:p>
      <w:pPr>
        <w:pStyle w:val="BodyText"/>
        <w:spacing w:line="554" w:lineRule="exact"/>
        <w:ind w:left="170"/>
      </w:pPr>
      <w:r>
        <w:t>病</w:t>
      </w:r>
      <w:r>
        <w:rPr>
          <w:rFonts w:ascii="宋体" w:eastAsia="宋体" w:hint="eastAsia"/>
          <w:position w:val="6"/>
          <w:sz w:val="42"/>
        </w:rPr>
        <w:t>，</w:t>
      </w:r>
      <w:r>
        <w:t>二者的区别在于脑炎病变累及的是</w:t>
      </w:r>
    </w:p>
    <w:p>
      <w:pPr>
        <w:pStyle w:val="BodyText"/>
        <w:spacing w:before="416" w:line="463" w:lineRule="auto"/>
        <w:ind w:left="1105" w:right="4086"/>
        <w:jc w:val="both"/>
      </w:pPr>
      <w:r>
        <w:t>脑实质硬脑膜软脑膜</w:t>
      </w:r>
    </w:p>
    <w:p>
      <w:pPr>
        <w:pStyle w:val="BodyText"/>
        <w:spacing w:before="104"/>
        <w:ind w:left="170"/>
      </w:pPr>
      <w:r>
        <w:br w:type="column"/>
      </w:r>
      <w:r>
        <w:rPr>
          <w:rFonts w:ascii="Century Gothic" w:eastAsia="Century Gothic"/>
        </w:rPr>
        <w:t>(A )</w:t>
      </w:r>
      <w:r>
        <w:t>。</w:t>
      </w:r>
    </w:p>
    <w:p>
      <w:pPr>
        <w:spacing w:after="0"/>
        <w:sectPr>
          <w:type w:val="continuous"/>
          <w:pgSz w:w="22370" w:h="31660"/>
          <w:pgMar w:top="2480" w:right="3000" w:bottom="280" w:left="3140" w:header="708" w:footer="708"/>
          <w:pgNumType w:start="37"/>
          <w:cols w:num="2" w:space="708" w:equalWidth="0">
            <w:col w:w="6248" w:space="935"/>
            <w:col w:w="9047" w:space="0"/>
          </w:cols>
        </w:sectPr>
      </w:pPr>
    </w:p>
    <w:p>
      <w:pPr>
        <w:pStyle w:val="BodyText"/>
        <w:spacing w:before="4"/>
        <w:ind w:left="1105"/>
      </w:pPr>
      <w:r>
        <w:t>蛛网膜</w:t>
      </w:r>
    </w:p>
    <w:p>
      <w:pPr>
        <w:pStyle w:val="BodyText"/>
        <w:spacing w:before="294" w:line="247" w:lineRule="auto"/>
        <w:ind w:left="170" w:right="38" w:firstLine="934"/>
      </w:pPr>
      <w:r>
        <w:rPr>
          <w:rFonts w:ascii="Century Gothic" w:eastAsia="Century Gothic"/>
        </w:rPr>
        <w:t>31</w:t>
      </w:r>
      <w:r>
        <w:t>、 癌细胞只出现在上皮层内</w:t>
      </w:r>
      <w:r>
        <w:rPr>
          <w:rFonts w:ascii="宋体" w:eastAsia="宋体" w:hint="eastAsia"/>
          <w:position w:val="6"/>
          <w:sz w:val="42"/>
        </w:rPr>
        <w:t>，</w:t>
      </w:r>
      <w:r>
        <w:t>而未破坏基底膜</w:t>
      </w:r>
      <w:r>
        <w:rPr>
          <w:rFonts w:ascii="宋体" w:eastAsia="宋体" w:hint="eastAsia"/>
          <w:position w:val="6"/>
          <w:sz w:val="42"/>
        </w:rPr>
        <w:t>，</w:t>
      </w:r>
      <w:r>
        <w:t>或侵入其下的间质或真皮组织有 发生浸润和远处转移</w:t>
      </w:r>
      <w:r>
        <w:rPr>
          <w:rFonts w:ascii="宋体" w:eastAsia="宋体" w:hint="eastAsia"/>
          <w:position w:val="6"/>
          <w:sz w:val="42"/>
        </w:rPr>
        <w:t>，</w:t>
      </w:r>
      <w:r>
        <w:t>是指</w:t>
      </w:r>
      <w:r>
        <w:rPr>
          <w:rFonts w:ascii="Century Gothic" w:eastAsia="Century Gothic"/>
        </w:rPr>
        <w:t>(C )</w:t>
      </w:r>
      <w:r>
        <w:t>。</w:t>
      </w:r>
    </w:p>
    <w:p>
      <w:pPr>
        <w:pStyle w:val="BodyText"/>
        <w:spacing w:before="410" w:line="463" w:lineRule="auto"/>
        <w:ind w:left="1105" w:right="10924"/>
      </w:pPr>
      <w:r>
        <w:t xml:space="preserve">癌前病变 </w:t>
      </w:r>
      <w:r>
        <w:rPr>
          <w:spacing w:val="-4"/>
        </w:rPr>
        <w:t>非典型增生</w:t>
      </w:r>
      <w:r>
        <w:t>原位癌</w:t>
      </w:r>
    </w:p>
    <w:p>
      <w:pPr>
        <w:pStyle w:val="BodyText"/>
        <w:spacing w:before="4"/>
        <w:ind w:left="1105"/>
      </w:pPr>
      <w:r>
        <w:t>类癌</w:t>
      </w:r>
    </w:p>
    <w:p>
      <w:pPr>
        <w:pStyle w:val="BodyText"/>
        <w:spacing w:before="269"/>
        <w:ind w:left="1105"/>
      </w:pPr>
      <w:r>
        <w:rPr>
          <w:rFonts w:ascii="Century Gothic" w:eastAsia="Century Gothic"/>
        </w:rPr>
        <w:t>32</w:t>
      </w:r>
      <w:r>
        <w:t xml:space="preserve">、 急性心梗除典型临床表现外 </w:t>
      </w:r>
      <w:r>
        <w:rPr>
          <w:rFonts w:ascii="宋体" w:eastAsia="宋体" w:hint="eastAsia"/>
          <w:position w:val="6"/>
          <w:sz w:val="42"/>
        </w:rPr>
        <w:t>，</w:t>
      </w:r>
      <w:r>
        <w:t xml:space="preserve">约 </w:t>
      </w:r>
      <w:r>
        <w:rPr>
          <w:rFonts w:ascii="Century Gothic" w:eastAsia="Century Gothic"/>
        </w:rPr>
        <w:t xml:space="preserve">2/3 </w:t>
      </w:r>
      <w:r>
        <w:t>急性心梗病人发病前数天有先兆症状</w:t>
      </w:r>
    </w:p>
    <w:p>
      <w:pPr>
        <w:pStyle w:val="BodyText"/>
        <w:spacing w:before="111"/>
        <w:ind w:left="170"/>
      </w:pPr>
      <w:r>
        <w:rPr>
          <w:w w:val="100"/>
        </w:rPr>
        <w:t>的</w:t>
      </w:r>
    </w:p>
    <w:p>
      <w:pPr>
        <w:pStyle w:val="BodyText"/>
        <w:spacing w:before="3"/>
        <w:rPr>
          <w:sz w:val="58"/>
        </w:rPr>
      </w:pPr>
      <w:r>
        <w:br w:type="column"/>
      </w:r>
    </w:p>
    <w:p>
      <w:pPr>
        <w:spacing w:before="0"/>
        <w:ind w:left="0" w:right="766" w:firstLine="0"/>
        <w:jc w:val="right"/>
        <w:rPr>
          <w:sz w:val="35"/>
        </w:rPr>
      </w:pPr>
      <w:r>
        <w:rPr>
          <w:rFonts w:ascii="宋体" w:eastAsia="宋体" w:hint="eastAsia"/>
          <w:position w:val="6"/>
          <w:sz w:val="42"/>
        </w:rPr>
        <w:t>，</w:t>
      </w:r>
      <w:r>
        <w:rPr>
          <w:sz w:val="35"/>
        </w:rPr>
        <w:t>更没</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8"/>
        <w:rPr>
          <w:sz w:val="50"/>
        </w:rPr>
      </w:pPr>
    </w:p>
    <w:p>
      <w:pPr>
        <w:spacing w:before="0"/>
        <w:ind w:left="0" w:right="687" w:firstLine="0"/>
        <w:jc w:val="right"/>
        <w:rPr>
          <w:sz w:val="35"/>
        </w:rPr>
      </w:pPr>
      <w:r>
        <w:rPr>
          <w:rFonts w:ascii="宋体" w:eastAsia="宋体" w:hint="eastAsia"/>
          <w:position w:val="6"/>
          <w:sz w:val="42"/>
        </w:rPr>
        <w:t>，</w:t>
      </w:r>
      <w:r>
        <w:rPr>
          <w:sz w:val="35"/>
        </w:rPr>
        <w:t>最常见</w:t>
      </w:r>
    </w:p>
    <w:p>
      <w:pPr>
        <w:spacing w:after="0"/>
        <w:jc w:val="right"/>
        <w:rPr>
          <w:sz w:val="35"/>
        </w:rPr>
        <w:sectPr>
          <w:type w:val="continuous"/>
          <w:pgSz w:w="22370" w:h="31660"/>
          <w:pgMar w:top="2480" w:right="3000" w:bottom="280" w:left="3140" w:header="708" w:footer="708"/>
          <w:pgNumType w:start="38"/>
          <w:cols w:num="2" w:space="708" w:equalWidth="0">
            <w:col w:w="13788" w:space="104"/>
            <w:col w:w="2338" w:space="0"/>
          </w:cols>
        </w:sectPr>
      </w:pPr>
    </w:p>
    <w:p>
      <w:pPr>
        <w:pStyle w:val="BodyText"/>
        <w:spacing w:before="136"/>
        <w:ind w:left="170"/>
        <w:rPr>
          <w:rFonts w:ascii="宋体" w:eastAsia="宋体" w:hint="eastAsia"/>
          <w:sz w:val="22"/>
        </w:rPr>
      </w:pPr>
      <w:r>
        <w:t>表现为</w:t>
      </w:r>
      <w:r>
        <w:rPr>
          <w:rFonts w:ascii="Century Gothic" w:eastAsia="Century Gothic"/>
        </w:rPr>
        <w:t>(C )</w:t>
      </w:r>
      <w:r>
        <w:rPr>
          <w:rFonts w:ascii="宋体" w:eastAsia="宋体" w:hint="eastAsia"/>
          <w:position w:val="7"/>
          <w:sz w:val="22"/>
        </w:rPr>
        <w:t>。</w:t>
      </w:r>
    </w:p>
    <w:p>
      <w:pPr>
        <w:pStyle w:val="BodyText"/>
        <w:spacing w:before="9"/>
        <w:rPr>
          <w:rFonts w:ascii="宋体"/>
          <w:sz w:val="32"/>
        </w:rPr>
      </w:pPr>
    </w:p>
    <w:p>
      <w:pPr>
        <w:pStyle w:val="BodyText"/>
        <w:spacing w:line="463" w:lineRule="auto"/>
        <w:ind w:left="1105" w:right="13714"/>
        <w:jc w:val="both"/>
      </w:pPr>
      <w:r>
        <w:t>上腹疼痛胸闷憋气心绞痛</w:t>
      </w:r>
    </w:p>
    <w:p>
      <w:pPr>
        <w:spacing w:after="0" w:line="463" w:lineRule="auto"/>
        <w:jc w:val="both"/>
        <w:sectPr>
          <w:type w:val="continuous"/>
          <w:pgSz w:w="22370" w:h="31660"/>
          <w:pgMar w:top="2480" w:right="3000" w:bottom="280" w:left="3140" w:header="708" w:footer="708"/>
          <w:pgNumType w:start="39"/>
          <w:cols w:space="708"/>
        </w:sectPr>
      </w:pPr>
    </w:p>
    <w:p>
      <w:pPr>
        <w:pStyle w:val="BodyText"/>
        <w:spacing w:before="4"/>
        <w:ind w:left="1105"/>
      </w:pPr>
      <w:r>
        <w:t>上肢麻木、头晕</w:t>
      </w:r>
    </w:p>
    <w:p>
      <w:pPr>
        <w:pStyle w:val="BodyText"/>
        <w:spacing w:before="10"/>
        <w:rPr>
          <w:sz w:val="31"/>
        </w:rPr>
      </w:pPr>
    </w:p>
    <w:p>
      <w:pPr>
        <w:pStyle w:val="BodyText"/>
        <w:spacing w:line="232" w:lineRule="auto"/>
        <w:ind w:left="170" w:right="38" w:firstLine="934"/>
      </w:pPr>
      <w:r>
        <w:rPr>
          <w:rFonts w:ascii="Century Gothic" w:eastAsia="Century Gothic"/>
        </w:rPr>
        <w:t>33</w:t>
      </w:r>
      <w:r>
        <w:t>、 肾病可通过尿检、血检和仪器检查等方法帮助诊断血检方法的是</w:t>
      </w:r>
      <w:r>
        <w:rPr>
          <w:rFonts w:ascii="宋体" w:eastAsia="宋体" w:hint="eastAsia"/>
          <w:position w:val="6"/>
          <w:sz w:val="42"/>
        </w:rPr>
        <w:t>(</w:t>
      </w:r>
      <w:r>
        <w:rPr>
          <w:rFonts w:ascii="Century Gothic" w:eastAsia="Century Gothic"/>
        </w:rPr>
        <w:t>C )</w:t>
      </w:r>
      <w:r>
        <w:t>。</w:t>
      </w:r>
    </w:p>
    <w:p>
      <w:pPr>
        <w:pStyle w:val="BodyText"/>
        <w:spacing w:before="419"/>
        <w:ind w:left="1105"/>
      </w:pPr>
      <w:r>
        <w:t>尿常规</w:t>
      </w:r>
    </w:p>
    <w:p>
      <w:pPr>
        <w:pStyle w:val="BodyText"/>
        <w:spacing w:before="6"/>
        <w:rPr>
          <w:sz w:val="32"/>
        </w:rPr>
      </w:pPr>
    </w:p>
    <w:p>
      <w:pPr>
        <w:pStyle w:val="BodyText"/>
        <w:spacing w:before="1" w:line="463" w:lineRule="auto"/>
        <w:ind w:left="1105" w:right="6571"/>
        <w:jc w:val="both"/>
        <w:rPr>
          <w:rFonts w:ascii="Century Gothic" w:eastAsia="Century Gothic"/>
        </w:rPr>
      </w:pPr>
      <w:r>
        <w:t>尿微量白蛋白尿素氮</w:t>
      </w:r>
      <w:r>
        <w:rPr>
          <w:rFonts w:ascii="Century Gothic" w:eastAsia="Century Gothic"/>
        </w:rPr>
        <w:t xml:space="preserve">(BUN) </w:t>
      </w:r>
      <w:r>
        <w:t xml:space="preserve">肾脏 </w:t>
      </w:r>
      <w:r>
        <w:rPr>
          <w:rFonts w:ascii="Century Gothic" w:eastAsia="Century Gothic"/>
        </w:rPr>
        <w:t>ECT</w:t>
      </w:r>
    </w:p>
    <w:p>
      <w:pPr>
        <w:pStyle w:val="BodyText"/>
        <w:spacing w:line="430" w:lineRule="exact"/>
        <w:ind w:left="1105"/>
      </w:pPr>
      <w:r>
        <w:rPr>
          <w:rFonts w:ascii="Century Gothic" w:eastAsia="Century Gothic"/>
        </w:rPr>
        <w:t>34</w:t>
      </w:r>
      <w:r>
        <w:t>、 下列关于急性或亚急性重症肝炎描述不正确的是</w:t>
      </w:r>
    </w:p>
    <w:p>
      <w:pPr>
        <w:pStyle w:val="BodyText"/>
        <w:spacing w:before="1"/>
        <w:rPr>
          <w:sz w:val="34"/>
        </w:rPr>
      </w:pPr>
    </w:p>
    <w:p>
      <w:pPr>
        <w:pStyle w:val="BodyText"/>
        <w:spacing w:line="388" w:lineRule="auto"/>
        <w:ind w:left="1105" w:right="1129"/>
        <w:jc w:val="both"/>
      </w:pPr>
      <w:r>
        <w:rPr>
          <w:spacing w:val="-1"/>
        </w:rPr>
        <w:t xml:space="preserve">急性重症肝炎又称 暴发性肝炎”或急性肝衰竭” </w:t>
      </w:r>
      <w:r>
        <w:t>急性重症肝炎</w:t>
      </w:r>
      <w:r>
        <w:rPr>
          <w:rFonts w:ascii="宋体" w:eastAsia="宋体" w:hAnsi="宋体" w:hint="eastAsia"/>
          <w:spacing w:val="-3"/>
          <w:position w:val="6"/>
          <w:sz w:val="42"/>
        </w:rPr>
        <w:t>，</w:t>
      </w:r>
      <w:r>
        <w:t>预后甚差</w:t>
      </w:r>
      <w:r>
        <w:rPr>
          <w:rFonts w:ascii="宋体" w:eastAsia="宋体" w:hAnsi="宋体" w:hint="eastAsia"/>
          <w:spacing w:val="-3"/>
          <w:position w:val="6"/>
          <w:sz w:val="42"/>
        </w:rPr>
        <w:t>，</w:t>
      </w:r>
      <w:r>
        <w:rPr>
          <w:spacing w:val="-10"/>
        </w:rPr>
        <w:t xml:space="preserve">病程一般不超过 </w:t>
      </w:r>
      <w:r>
        <w:rPr>
          <w:rFonts w:ascii="Century Gothic" w:eastAsia="Century Gothic" w:hAnsi="Century Gothic"/>
        </w:rPr>
        <w:t xml:space="preserve">3 </w:t>
      </w:r>
      <w:r>
        <w:t>周二者的诊断主要通过实验室检查和影像学检查</w:t>
      </w:r>
    </w:p>
    <w:p>
      <w:pPr>
        <w:pStyle w:val="BodyText"/>
        <w:spacing w:before="4"/>
        <w:rPr>
          <w:sz w:val="56"/>
        </w:rPr>
      </w:pPr>
      <w:r>
        <w:br w:type="column"/>
      </w:r>
    </w:p>
    <w:p>
      <w:pPr>
        <w:pStyle w:val="BodyText"/>
        <w:ind w:left="549"/>
      </w:pPr>
      <w:r>
        <w:rPr>
          <w:rFonts w:ascii="宋体" w:eastAsia="宋体" w:hint="eastAsia"/>
          <w:position w:val="6"/>
          <w:sz w:val="42"/>
        </w:rPr>
        <w:t>，</w:t>
      </w:r>
      <w:r>
        <w:t>下列选项中不属于尿检而属于</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3"/>
        <w:rPr>
          <w:sz w:val="47"/>
        </w:rPr>
      </w:pPr>
    </w:p>
    <w:p>
      <w:pPr>
        <w:pStyle w:val="BodyText"/>
        <w:ind w:left="170"/>
      </w:pPr>
      <w:r>
        <w:rPr>
          <w:rFonts w:ascii="宋体" w:eastAsia="宋体" w:hint="eastAsia"/>
          <w:position w:val="6"/>
          <w:sz w:val="42"/>
        </w:rPr>
        <w:t>(</w:t>
      </w:r>
      <w:r>
        <w:rPr>
          <w:rFonts w:ascii="Century Gothic" w:eastAsia="Century Gothic"/>
        </w:rPr>
        <w:t>D )</w:t>
      </w:r>
      <w:r>
        <w:t>。</w:t>
      </w:r>
    </w:p>
    <w:p>
      <w:pPr>
        <w:spacing w:after="0"/>
        <w:sectPr>
          <w:type w:val="continuous"/>
          <w:pgSz w:w="22370" w:h="31660"/>
          <w:pgMar w:top="2480" w:right="3000" w:bottom="280" w:left="3140" w:header="708" w:footer="708"/>
          <w:pgNumType w:start="40"/>
          <w:cols w:num="2" w:space="708" w:equalWidth="0">
            <w:col w:w="9786" w:space="169"/>
            <w:col w:w="6275" w:space="0"/>
          </w:cols>
        </w:sectPr>
      </w:pPr>
    </w:p>
    <w:p>
      <w:pPr>
        <w:pStyle w:val="BodyText"/>
        <w:spacing w:before="108"/>
        <w:ind w:left="1105"/>
      </w:pPr>
      <w:r>
        <w:t>亚急性重症肝炎</w:t>
      </w:r>
      <w:r>
        <w:rPr>
          <w:rFonts w:ascii="宋体" w:eastAsia="宋体" w:hint="eastAsia"/>
          <w:position w:val="6"/>
          <w:sz w:val="42"/>
        </w:rPr>
        <w:t>，</w:t>
      </w:r>
      <w:r>
        <w:t>与急性重症肝炎治疗原则不同</w:t>
      </w:r>
      <w:r>
        <w:rPr>
          <w:rFonts w:ascii="宋体" w:eastAsia="宋体" w:hint="eastAsia"/>
          <w:position w:val="6"/>
          <w:sz w:val="42"/>
        </w:rPr>
        <w:t>，</w:t>
      </w:r>
      <w:r>
        <w:t>一般可不用住院进行救治</w:t>
      </w:r>
    </w:p>
    <w:p>
      <w:pPr>
        <w:spacing w:after="0"/>
        <w:sectPr>
          <w:type w:val="continuous"/>
          <w:pgSz w:w="22370" w:h="31660"/>
          <w:pgMar w:top="2480" w:right="3000" w:bottom="280" w:left="3140" w:header="708" w:footer="708"/>
          <w:pgNumType w:start="41"/>
          <w:cols w:space="708"/>
        </w:sectPr>
      </w:pPr>
    </w:p>
    <w:p>
      <w:pPr>
        <w:pStyle w:val="BodyText"/>
        <w:tabs>
          <w:tab w:val="left" w:pos="6595"/>
        </w:tabs>
        <w:spacing w:before="21"/>
        <w:ind w:left="1105"/>
        <w:rPr>
          <w:rFonts w:ascii="宋体" w:eastAsia="宋体" w:hint="eastAsia"/>
          <w:sz w:val="44"/>
        </w:rPr>
      </w:pPr>
      <w:r>
        <w:rPr>
          <w:rFonts w:ascii="Century Gothic" w:eastAsia="Century Gothic"/>
        </w:rPr>
        <w:t>35</w:t>
      </w:r>
      <w:r>
        <w:t>、</w:t>
      </w:r>
      <w:r>
        <w:rPr>
          <w:spacing w:val="6"/>
        </w:rPr>
        <w:t xml:space="preserve"> </w:t>
      </w:r>
      <w:r>
        <w:t>双耳失聪按病变性质可分为</w:t>
        <w:tab/>
      </w:r>
      <w:r>
        <w:rPr>
          <w:rFonts w:ascii="Century Gothic" w:eastAsia="Century Gothic"/>
        </w:rPr>
        <w:t>(B )</w:t>
      </w:r>
      <w:r>
        <w:rPr>
          <w:rFonts w:ascii="宋体" w:eastAsia="宋体" w:hint="eastAsia"/>
          <w:position w:val="8"/>
          <w:sz w:val="44"/>
        </w:rPr>
        <w:t>。</w:t>
      </w:r>
    </w:p>
    <w:p>
      <w:pPr>
        <w:pStyle w:val="BodyText"/>
        <w:spacing w:before="452" w:line="494" w:lineRule="auto"/>
        <w:ind w:left="1105" w:right="12661"/>
      </w:pPr>
      <w:r>
        <w:t>先天性和后天性器质性和功能性</w:t>
      </w:r>
    </w:p>
    <w:p>
      <w:pPr>
        <w:pStyle w:val="BodyText"/>
        <w:spacing w:line="403" w:lineRule="exact"/>
        <w:ind w:left="1105"/>
      </w:pPr>
      <w:r>
        <w:t>遗传性、感染性、药物中毒性、外伤性</w:t>
      </w:r>
    </w:p>
    <w:p>
      <w:pPr>
        <w:pStyle w:val="BodyText"/>
        <w:spacing w:before="4"/>
        <w:rPr>
          <w:sz w:val="33"/>
        </w:rPr>
      </w:pPr>
    </w:p>
    <w:p>
      <w:pPr>
        <w:pStyle w:val="BodyText"/>
        <w:ind w:left="1105"/>
      </w:pPr>
      <w:r>
        <w:t>暂时性和永久性</w:t>
      </w:r>
    </w:p>
    <w:p>
      <w:pPr>
        <w:pStyle w:val="BodyText"/>
        <w:spacing w:before="6"/>
        <w:rPr>
          <w:sz w:val="29"/>
        </w:rPr>
      </w:pPr>
    </w:p>
    <w:p>
      <w:pPr>
        <w:pStyle w:val="BodyText"/>
        <w:tabs>
          <w:tab w:val="left" w:pos="8148"/>
        </w:tabs>
        <w:ind w:left="1105"/>
        <w:rPr>
          <w:rFonts w:ascii="宋体" w:eastAsia="宋体" w:hint="eastAsia"/>
          <w:sz w:val="44"/>
        </w:rPr>
      </w:pPr>
      <w:r>
        <w:rPr>
          <w:rFonts w:ascii="Century Gothic" w:eastAsia="Century Gothic"/>
        </w:rPr>
        <w:t>36</w:t>
      </w:r>
      <w:r>
        <w:t>、</w:t>
      </w:r>
      <w:r>
        <w:rPr>
          <w:spacing w:val="7"/>
        </w:rPr>
        <w:t xml:space="preserve"> </w:t>
      </w:r>
      <w:r>
        <w:t>下列关于双目失明的说法不正确的是</w:t>
        <w:tab/>
      </w:r>
      <w:r>
        <w:rPr>
          <w:rFonts w:ascii="Century Gothic" w:eastAsia="Century Gothic"/>
        </w:rPr>
        <w:t>(B )</w:t>
      </w:r>
      <w:r>
        <w:rPr>
          <w:rFonts w:ascii="宋体" w:eastAsia="宋体" w:hint="eastAsia"/>
          <w:position w:val="8"/>
          <w:sz w:val="44"/>
        </w:rPr>
        <w:t>。</w:t>
      </w:r>
    </w:p>
    <w:p>
      <w:pPr>
        <w:pStyle w:val="BodyText"/>
        <w:spacing w:before="408"/>
        <w:ind w:left="1105"/>
      </w:pPr>
      <w:r>
        <w:t>盲或低视力均指对双眼而言</w:t>
      </w:r>
      <w:r>
        <w:rPr>
          <w:rFonts w:ascii="宋体" w:eastAsia="宋体" w:hint="eastAsia"/>
          <w:position w:val="6"/>
          <w:sz w:val="42"/>
        </w:rPr>
        <w:t>，</w:t>
      </w:r>
      <w:r>
        <w:t>若双眼视力不同</w:t>
      </w:r>
      <w:r>
        <w:rPr>
          <w:rFonts w:ascii="宋体" w:eastAsia="宋体" w:hint="eastAsia"/>
          <w:position w:val="6"/>
          <w:sz w:val="42"/>
        </w:rPr>
        <w:t>，</w:t>
      </w:r>
      <w:r>
        <w:t>则以视力较好的一眼为准</w:t>
      </w:r>
    </w:p>
    <w:p>
      <w:pPr>
        <w:pStyle w:val="BodyText"/>
        <w:spacing w:before="6"/>
        <w:rPr>
          <w:sz w:val="27"/>
        </w:rPr>
      </w:pPr>
    </w:p>
    <w:p>
      <w:pPr>
        <w:spacing w:after="0"/>
        <w:rPr>
          <w:sz w:val="27"/>
        </w:rPr>
        <w:sectPr>
          <w:pgSz w:w="22370" w:h="31660"/>
          <w:pgMar w:top="2220" w:right="3000" w:bottom="280" w:left="3140" w:header="708" w:footer="708"/>
          <w:pgNumType w:start="42"/>
          <w:cols w:space="708"/>
        </w:sectPr>
      </w:pPr>
    </w:p>
    <w:p>
      <w:pPr>
        <w:pStyle w:val="BodyText"/>
        <w:spacing w:before="39" w:line="470" w:lineRule="auto"/>
        <w:ind w:left="1105"/>
        <w:jc w:val="both"/>
      </w:pPr>
      <w:r>
        <w:t>如仅有一眼为盲或低视力</w:t>
      </w:r>
      <w:r>
        <w:rPr>
          <w:rFonts w:ascii="宋体" w:eastAsia="宋体" w:hint="eastAsia"/>
          <w:position w:val="6"/>
          <w:sz w:val="42"/>
        </w:rPr>
        <w:t>，</w:t>
      </w:r>
      <w:r>
        <w:t>而另一眼的视力达到或优于最佳矫正视力是指以适当镜片矫正所能达到的最好视力视野</w:t>
      </w:r>
      <w:r>
        <w:rPr>
          <w:rFonts w:ascii="宋体" w:eastAsia="宋体" w:hint="eastAsia"/>
        </w:rPr>
        <w:t>＜</w:t>
      </w:r>
      <w:r>
        <w:rPr>
          <w:rFonts w:ascii="Century Gothic" w:eastAsia="Century Gothic"/>
        </w:rPr>
        <w:t xml:space="preserve">5 </w:t>
      </w:r>
      <w:r>
        <w:t>度或</w:t>
      </w:r>
      <w:r>
        <w:rPr>
          <w:rFonts w:ascii="宋体" w:eastAsia="宋体" w:hint="eastAsia"/>
        </w:rPr>
        <w:t>＜</w:t>
      </w:r>
      <w:r>
        <w:rPr>
          <w:rFonts w:ascii="Century Gothic" w:eastAsia="Century Gothic"/>
        </w:rPr>
        <w:t xml:space="preserve">10 </w:t>
      </w:r>
      <w:r>
        <w:t>度者</w:t>
      </w:r>
      <w:r>
        <w:rPr>
          <w:rFonts w:ascii="宋体" w:eastAsia="宋体" w:hint="eastAsia"/>
          <w:position w:val="6"/>
          <w:sz w:val="42"/>
        </w:rPr>
        <w:t>，</w:t>
      </w:r>
      <w:r>
        <w:t>不论其视力如何均属于盲</w:t>
      </w:r>
    </w:p>
    <w:p>
      <w:pPr>
        <w:pStyle w:val="BodyText"/>
        <w:spacing w:before="167"/>
        <w:ind w:left="802"/>
      </w:pPr>
      <w:r>
        <w:br w:type="column"/>
      </w:r>
      <w:r>
        <w:rPr>
          <w:rFonts w:ascii="Century Gothic" w:eastAsia="Century Gothic"/>
        </w:rPr>
        <w:t>0.3,</w:t>
      </w:r>
      <w:r>
        <w:t>仍属于视力残疾范围</w:t>
      </w:r>
    </w:p>
    <w:p>
      <w:pPr>
        <w:pStyle w:val="BodyText"/>
        <w:spacing w:before="2"/>
        <w:rPr>
          <w:sz w:val="34"/>
        </w:rPr>
      </w:pPr>
    </w:p>
    <w:p>
      <w:pPr>
        <w:pStyle w:val="BodyText"/>
        <w:ind w:left="802"/>
      </w:pPr>
      <w:r>
        <w:rPr>
          <w:rFonts w:ascii="宋体" w:eastAsia="宋体" w:hint="eastAsia"/>
          <w:position w:val="6"/>
          <w:sz w:val="42"/>
        </w:rPr>
        <w:t>，</w:t>
      </w:r>
      <w:r>
        <w:t>或以针孔镜所测得的视力</w:t>
      </w:r>
    </w:p>
    <w:p>
      <w:pPr>
        <w:spacing w:after="0"/>
        <w:sectPr>
          <w:type w:val="continuous"/>
          <w:pgSz w:w="22370" w:h="31660"/>
          <w:pgMar w:top="2480" w:right="3000" w:bottom="280" w:left="3140" w:header="708" w:footer="708"/>
          <w:pgNumType w:start="43"/>
          <w:cols w:num="2" w:space="708" w:equalWidth="0">
            <w:col w:w="9600" w:space="40"/>
            <w:col w:w="6590" w:space="0"/>
          </w:cols>
        </w:sectPr>
      </w:pPr>
    </w:p>
    <w:p>
      <w:pPr>
        <w:pStyle w:val="BodyText"/>
        <w:spacing w:before="38"/>
        <w:ind w:left="1105"/>
      </w:pPr>
      <w:r>
        <w:rPr>
          <w:rFonts w:ascii="Century Gothic" w:eastAsia="Century Gothic"/>
        </w:rPr>
        <w:t>37</w:t>
      </w:r>
      <w:r>
        <w:t>、 由调查主管或上级调查人对调查报告和调查材料进行审核</w:t>
      </w:r>
    </w:p>
    <w:p>
      <w:pPr>
        <w:pStyle w:val="BodyText"/>
        <w:spacing w:before="29"/>
        <w:ind w:left="170"/>
      </w:pPr>
      <w:r>
        <w:rPr>
          <w:w w:val="100"/>
        </w:rPr>
        <w:t>补</w:t>
      </w:r>
    </w:p>
    <w:p>
      <w:pPr>
        <w:spacing w:before="0" w:line="488" w:lineRule="exact"/>
        <w:ind w:left="170" w:right="0" w:firstLine="0"/>
        <w:jc w:val="left"/>
        <w:rPr>
          <w:sz w:val="35"/>
        </w:rPr>
      </w:pPr>
      <w:r>
        <w:br w:type="column"/>
      </w:r>
      <w:r>
        <w:rPr>
          <w:rFonts w:ascii="宋体" w:eastAsia="宋体" w:hint="eastAsia"/>
          <w:position w:val="6"/>
          <w:sz w:val="42"/>
        </w:rPr>
        <w:t>，</w:t>
      </w:r>
      <w:r>
        <w:rPr>
          <w:sz w:val="35"/>
        </w:rPr>
        <w:t>作出是否同意</w:t>
      </w:r>
      <w:r>
        <w:rPr>
          <w:rFonts w:ascii="宋体" w:eastAsia="宋体" w:hint="eastAsia"/>
          <w:position w:val="6"/>
          <w:sz w:val="42"/>
        </w:rPr>
        <w:t>，</w:t>
      </w:r>
      <w:r>
        <w:rPr>
          <w:sz w:val="35"/>
        </w:rPr>
        <w:t>是否需</w:t>
      </w:r>
    </w:p>
    <w:p>
      <w:pPr>
        <w:spacing w:after="0" w:line="488" w:lineRule="exact"/>
        <w:jc w:val="left"/>
        <w:rPr>
          <w:sz w:val="35"/>
        </w:rPr>
        <w:sectPr>
          <w:type w:val="continuous"/>
          <w:pgSz w:w="22370" w:h="31660"/>
          <w:pgMar w:top="2480" w:right="3000" w:bottom="280" w:left="3140" w:header="708" w:footer="708"/>
          <w:pgNumType w:start="44"/>
          <w:cols w:num="2" w:space="708" w:equalWidth="0">
            <w:col w:w="10839" w:space="615"/>
            <w:col w:w="4776" w:space="0"/>
          </w:cols>
        </w:sectPr>
      </w:pPr>
    </w:p>
    <w:p>
      <w:pPr>
        <w:pStyle w:val="BodyText"/>
        <w:spacing w:before="109" w:line="432" w:lineRule="auto"/>
        <w:ind w:left="1105" w:right="38" w:hanging="935"/>
      </w:pPr>
      <w:r>
        <w:t>充调查或重新调查的决定</w:t>
      </w:r>
      <w:r>
        <w:rPr>
          <w:rFonts w:ascii="宋体" w:eastAsia="宋体" w:hint="eastAsia"/>
          <w:position w:val="6"/>
          <w:sz w:val="42"/>
        </w:rPr>
        <w:t>，</w:t>
      </w:r>
      <w:r>
        <w:t>属于调查作业基本流程中的证据收集和提取</w:t>
      </w:r>
    </w:p>
    <w:p>
      <w:pPr>
        <w:pStyle w:val="BodyText"/>
        <w:spacing w:before="117" w:line="470" w:lineRule="auto"/>
        <w:ind w:left="1105" w:right="5140"/>
      </w:pPr>
      <w:r>
        <w:t>证据审查和保管撰写调查报告</w:t>
      </w:r>
    </w:p>
    <w:p>
      <w:pPr>
        <w:pStyle w:val="ListParagraph"/>
        <w:numPr>
          <w:ilvl w:val="0"/>
          <w:numId w:val="3"/>
        </w:numPr>
        <w:tabs>
          <w:tab w:val="left" w:pos="753"/>
        </w:tabs>
        <w:spacing w:before="109" w:after="0" w:line="240" w:lineRule="auto"/>
        <w:ind w:left="752" w:right="0" w:hanging="583"/>
        <w:jc w:val="left"/>
        <w:rPr>
          <w:sz w:val="35"/>
        </w:rPr>
      </w:pPr>
      <w:r>
        <w:rPr>
          <w:w w:val="100"/>
          <w:sz w:val="35"/>
        </w:rPr>
        <w:br w:type="column"/>
      </w:r>
      <w:r>
        <w:rPr>
          <w:sz w:val="35"/>
        </w:rPr>
        <w:t>。</w:t>
      </w:r>
    </w:p>
    <w:p>
      <w:pPr>
        <w:spacing w:after="0" w:line="240" w:lineRule="auto"/>
        <w:jc w:val="left"/>
        <w:rPr>
          <w:sz w:val="35"/>
        </w:rPr>
        <w:sectPr>
          <w:type w:val="continuous"/>
          <w:pgSz w:w="22370" w:h="31660"/>
          <w:pgMar w:top="2480" w:right="3000" w:bottom="280" w:left="3140" w:header="708" w:footer="708"/>
          <w:pgNumType w:start="45"/>
          <w:cols w:num="2" w:space="708" w:equalWidth="0">
            <w:col w:w="8705" w:space="444"/>
            <w:col w:w="7081" w:space="0"/>
          </w:cols>
        </w:sectPr>
      </w:pPr>
    </w:p>
    <w:p>
      <w:pPr>
        <w:pStyle w:val="BodyText"/>
        <w:spacing w:line="446" w:lineRule="exact"/>
        <w:ind w:left="1105"/>
      </w:pPr>
      <w:r>
        <w:t>审核调查报告</w:t>
      </w:r>
    </w:p>
    <w:p>
      <w:pPr>
        <w:pStyle w:val="BodyText"/>
        <w:spacing w:before="11"/>
        <w:rPr>
          <w:sz w:val="38"/>
        </w:rPr>
      </w:pPr>
    </w:p>
    <w:p>
      <w:pPr>
        <w:pStyle w:val="BodyText"/>
        <w:spacing w:line="480" w:lineRule="auto"/>
        <w:ind w:left="1105"/>
      </w:pPr>
      <w:r>
        <w:rPr>
          <w:rFonts w:ascii="Century Gothic" w:eastAsia="Century Gothic"/>
        </w:rPr>
        <w:t>38</w:t>
      </w:r>
      <w:r>
        <w:t>、 重大疾病的理赔申请人一般是投保人</w:t>
      </w:r>
    </w:p>
    <w:p>
      <w:pPr>
        <w:pStyle w:val="BodyText"/>
        <w:spacing w:line="430" w:lineRule="exact"/>
        <w:ind w:left="1105"/>
      </w:pPr>
      <w:r>
        <w:t>指定受益人</w:t>
      </w:r>
    </w:p>
    <w:p>
      <w:pPr>
        <w:pStyle w:val="BodyText"/>
        <w:spacing w:before="1"/>
        <w:rPr>
          <w:sz w:val="37"/>
        </w:rPr>
      </w:pPr>
    </w:p>
    <w:p>
      <w:pPr>
        <w:pStyle w:val="BodyText"/>
        <w:ind w:left="1105"/>
      </w:pPr>
      <w:r>
        <w:t>法定受益人</w:t>
      </w:r>
    </w:p>
    <w:p>
      <w:pPr>
        <w:pStyle w:val="BodyText"/>
        <w:spacing w:before="7"/>
        <w:rPr>
          <w:sz w:val="60"/>
        </w:rPr>
      </w:pPr>
      <w:r>
        <w:br w:type="column"/>
      </w:r>
    </w:p>
    <w:p>
      <w:pPr>
        <w:pStyle w:val="Heading1"/>
        <w:numPr>
          <w:ilvl w:val="1"/>
          <w:numId w:val="3"/>
        </w:numPr>
        <w:tabs>
          <w:tab w:val="left" w:pos="919"/>
        </w:tabs>
        <w:spacing w:before="0" w:after="0" w:line="240" w:lineRule="auto"/>
        <w:ind w:left="918" w:right="0" w:hanging="582"/>
        <w:jc w:val="left"/>
      </w:pPr>
      <w:r>
        <w:rPr>
          <w:w w:val="100"/>
          <w:position w:val="8"/>
        </w:rPr>
        <w:t>。</w:t>
      </w:r>
    </w:p>
    <w:p>
      <w:pPr>
        <w:spacing w:after="0" w:line="240" w:lineRule="auto"/>
        <w:jc w:val="left"/>
        <w:sectPr>
          <w:type w:val="continuous"/>
          <w:pgSz w:w="22370" w:h="31660"/>
          <w:pgMar w:top="2480" w:right="3000" w:bottom="280" w:left="3140" w:header="708" w:footer="708"/>
          <w:pgNumType w:start="46"/>
          <w:cols w:num="2" w:space="708" w:equalWidth="0">
            <w:col w:w="6587" w:space="40"/>
            <w:col w:w="9603" w:space="0"/>
          </w:cols>
        </w:sectPr>
      </w:pPr>
    </w:p>
    <w:p>
      <w:pPr>
        <w:pStyle w:val="BodyText"/>
        <w:rPr>
          <w:rFonts w:ascii="宋体"/>
          <w:sz w:val="20"/>
        </w:rPr>
      </w:pPr>
    </w:p>
    <w:p>
      <w:pPr>
        <w:spacing w:after="0"/>
        <w:rPr>
          <w:rFonts w:ascii="宋体"/>
          <w:sz w:val="20"/>
        </w:rPr>
        <w:sectPr>
          <w:type w:val="continuous"/>
          <w:pgSz w:w="22370" w:h="31660"/>
          <w:pgMar w:top="2480" w:right="3000" w:bottom="280" w:left="3140" w:header="708" w:footer="708"/>
          <w:pgNumType w:start="47"/>
          <w:cols w:space="708"/>
        </w:sectPr>
      </w:pPr>
    </w:p>
    <w:p>
      <w:pPr>
        <w:pStyle w:val="BodyText"/>
        <w:spacing w:before="175"/>
        <w:ind w:left="1105"/>
      </w:pPr>
      <w:r>
        <w:t>被保险人本人</w:t>
      </w:r>
    </w:p>
    <w:p>
      <w:pPr>
        <w:pStyle w:val="BodyText"/>
        <w:spacing w:before="4"/>
        <w:rPr>
          <w:sz w:val="42"/>
        </w:rPr>
      </w:pPr>
    </w:p>
    <w:p>
      <w:pPr>
        <w:pStyle w:val="BodyText"/>
        <w:spacing w:line="480" w:lineRule="auto"/>
        <w:ind w:left="1105"/>
      </w:pPr>
      <w:r>
        <w:rPr>
          <w:rFonts w:ascii="Century Gothic" w:eastAsia="Century Gothic"/>
        </w:rPr>
        <w:t>39</w:t>
      </w:r>
      <w:r>
        <w:rPr>
          <w:spacing w:val="-1"/>
        </w:rPr>
        <w:t>、 理赔实际工作中经常运用的残疾鉴定属于</w:t>
      </w:r>
      <w:r>
        <w:t>法医临床鉴定</w:t>
      </w:r>
    </w:p>
    <w:p>
      <w:pPr>
        <w:pStyle w:val="BodyText"/>
        <w:spacing w:before="29" w:line="470" w:lineRule="auto"/>
        <w:ind w:left="1105" w:right="5127"/>
      </w:pPr>
      <w:r>
        <w:rPr>
          <w:spacing w:val="-3"/>
        </w:rPr>
        <w:t>法医病理鉴定法医物证鉴定</w:t>
      </w:r>
    </w:p>
    <w:p>
      <w:pPr>
        <w:pStyle w:val="BodyText"/>
        <w:spacing w:before="11"/>
        <w:rPr>
          <w:sz w:val="77"/>
        </w:rPr>
      </w:pPr>
      <w:r>
        <w:br w:type="column"/>
      </w:r>
    </w:p>
    <w:p>
      <w:pPr>
        <w:pStyle w:val="Heading1"/>
        <w:numPr>
          <w:ilvl w:val="2"/>
          <w:numId w:val="3"/>
        </w:numPr>
        <w:tabs>
          <w:tab w:val="left" w:pos="1062"/>
        </w:tabs>
        <w:spacing w:before="0" w:after="0" w:line="240" w:lineRule="auto"/>
        <w:ind w:left="1061" w:right="0" w:hanging="470"/>
        <w:jc w:val="left"/>
      </w:pPr>
      <w:r>
        <w:rPr>
          <w:w w:val="100"/>
          <w:position w:val="8"/>
        </w:rPr>
        <w:t>。</w:t>
      </w:r>
    </w:p>
    <w:p>
      <w:pPr>
        <w:spacing w:after="0" w:line="240" w:lineRule="auto"/>
        <w:jc w:val="left"/>
        <w:sectPr>
          <w:type w:val="continuous"/>
          <w:pgSz w:w="22370" w:h="31660"/>
          <w:pgMar w:top="2480" w:right="3000" w:bottom="280" w:left="3140" w:header="708" w:footer="708"/>
          <w:pgNumType w:start="48"/>
          <w:cols w:num="2" w:space="708" w:equalWidth="0">
            <w:col w:w="8342" w:space="40"/>
            <w:col w:w="7848" w:space="0"/>
          </w:cols>
        </w:sectPr>
      </w:pPr>
    </w:p>
    <w:p>
      <w:pPr>
        <w:pStyle w:val="BodyText"/>
        <w:spacing w:before="46"/>
        <w:ind w:left="1105"/>
      </w:pPr>
      <w:r>
        <w:t>痕迹司法鉴定</w:t>
      </w:r>
    </w:p>
    <w:p>
      <w:pPr>
        <w:pStyle w:val="BodyText"/>
        <w:spacing w:before="11"/>
        <w:rPr>
          <w:sz w:val="38"/>
        </w:rPr>
      </w:pPr>
    </w:p>
    <w:p>
      <w:pPr>
        <w:pStyle w:val="BodyText"/>
        <w:ind w:left="1105"/>
      </w:pPr>
      <w:r>
        <w:rPr>
          <w:rFonts w:ascii="Century Gothic" w:eastAsia="Century Gothic"/>
        </w:rPr>
        <w:t>40</w:t>
      </w:r>
      <w:r>
        <w:t>、 下列关于保险医学说法不正确的是</w:t>
      </w:r>
    </w:p>
    <w:p>
      <w:pPr>
        <w:pStyle w:val="BodyText"/>
        <w:spacing w:before="4"/>
        <w:rPr>
          <w:sz w:val="64"/>
        </w:rPr>
      </w:pPr>
      <w:r>
        <w:br w:type="column"/>
      </w:r>
    </w:p>
    <w:p>
      <w:pPr>
        <w:spacing w:before="0"/>
        <w:ind w:left="466" w:right="0" w:firstLine="0"/>
        <w:jc w:val="left"/>
        <w:rPr>
          <w:rFonts w:ascii="宋体" w:eastAsia="宋体" w:hint="eastAsia"/>
          <w:sz w:val="44"/>
        </w:rPr>
      </w:pPr>
      <w:r>
        <w:rPr>
          <w:rFonts w:ascii="宋体" w:eastAsia="宋体" w:hint="eastAsia"/>
          <w:position w:val="6"/>
          <w:sz w:val="42"/>
        </w:rPr>
        <w:t>(</w:t>
      </w:r>
      <w:r>
        <w:rPr>
          <w:rFonts w:ascii="Century Gothic" w:eastAsia="Century Gothic"/>
          <w:sz w:val="35"/>
        </w:rPr>
        <w:t>C)</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49"/>
          <w:cols w:num="2" w:space="708" w:equalWidth="0">
            <w:col w:w="7289" w:space="40"/>
            <w:col w:w="8901" w:space="0"/>
          </w:cols>
        </w:sectPr>
      </w:pPr>
    </w:p>
    <w:p>
      <w:pPr>
        <w:pStyle w:val="BodyText"/>
        <w:rPr>
          <w:rFonts w:ascii="宋体"/>
          <w:sz w:val="20"/>
        </w:rPr>
      </w:pPr>
    </w:p>
    <w:p>
      <w:pPr>
        <w:pStyle w:val="BodyText"/>
        <w:spacing w:before="194"/>
        <w:ind w:left="1105"/>
      </w:pPr>
      <w:r>
        <w:t>保险医学的研究对象是参加了人身保险并且发生保险事故的这一特定群体</w:t>
      </w:r>
    </w:p>
    <w:p>
      <w:pPr>
        <w:spacing w:after="0"/>
        <w:sectPr>
          <w:type w:val="continuous"/>
          <w:pgSz w:w="22370" w:h="31660"/>
          <w:pgMar w:top="2480" w:right="3000" w:bottom="280" w:left="3140" w:header="708" w:footer="708"/>
          <w:pgNumType w:start="50"/>
          <w:cols w:space="708"/>
        </w:sectPr>
      </w:pPr>
    </w:p>
    <w:p>
      <w:pPr>
        <w:pStyle w:val="BodyText"/>
        <w:spacing w:before="131"/>
        <w:ind w:left="1105"/>
      </w:pPr>
      <w:r>
        <w:t>保险医学的研究内容主要包括人身保险经营中的危险选择和危险测算</w:t>
      </w:r>
    </w:p>
    <w:p>
      <w:pPr>
        <w:pStyle w:val="BodyText"/>
        <w:spacing w:before="131"/>
        <w:ind w:left="170"/>
      </w:pPr>
      <w:r>
        <w:rPr>
          <w:w w:val="100"/>
        </w:rPr>
        <w:t>险</w:t>
      </w:r>
    </w:p>
    <w:p>
      <w:pPr>
        <w:spacing w:before="1"/>
        <w:ind w:left="170" w:right="0" w:firstLine="0"/>
        <w:jc w:val="left"/>
        <w:rPr>
          <w:sz w:val="35"/>
        </w:rPr>
      </w:pPr>
      <w:r>
        <w:br w:type="column"/>
      </w:r>
      <w:r>
        <w:rPr>
          <w:position w:val="6"/>
          <w:sz w:val="42"/>
        </w:rPr>
        <w:t>，</w:t>
      </w:r>
      <w:r>
        <w:rPr>
          <w:sz w:val="35"/>
        </w:rPr>
        <w:t>伤残鉴定</w:t>
      </w:r>
      <w:r>
        <w:rPr>
          <w:position w:val="6"/>
          <w:sz w:val="42"/>
        </w:rPr>
        <w:t>，</w:t>
      </w:r>
      <w:r>
        <w:rPr>
          <w:sz w:val="35"/>
        </w:rPr>
        <w:t>保</w:t>
      </w:r>
    </w:p>
    <w:p>
      <w:pPr>
        <w:spacing w:after="0"/>
        <w:jc w:val="left"/>
        <w:rPr>
          <w:sz w:val="35"/>
        </w:rPr>
        <w:sectPr>
          <w:pgSz w:w="22370" w:h="31660"/>
          <w:pgMar w:top="2340" w:right="3000" w:bottom="280" w:left="3140" w:header="708" w:footer="708"/>
          <w:pgNumType w:start="51"/>
          <w:cols w:num="2" w:space="708" w:equalWidth="0">
            <w:col w:w="11675" w:space="1026"/>
            <w:col w:w="3529" w:space="0"/>
          </w:cols>
        </w:sectPr>
      </w:pPr>
    </w:p>
    <w:p>
      <w:pPr>
        <w:pStyle w:val="BodyText"/>
        <w:spacing w:before="130"/>
        <w:ind w:left="170"/>
      </w:pPr>
      <w:r>
        <w:t>金的给付调查、死亡调查等</w:t>
      </w:r>
    </w:p>
    <w:p>
      <w:pPr>
        <w:pStyle w:val="BodyText"/>
        <w:spacing w:before="10"/>
        <w:rPr>
          <w:sz w:val="31"/>
        </w:rPr>
      </w:pPr>
    </w:p>
    <w:p>
      <w:pPr>
        <w:pStyle w:val="BodyText"/>
        <w:ind w:left="170" w:right="38" w:firstLine="934"/>
      </w:pPr>
      <w:r>
        <w:t>保险医学是根据患者的病变部位、性质、严重程度估预后</w:t>
      </w:r>
      <w:r>
        <w:rPr>
          <w:position w:val="6"/>
          <w:sz w:val="42"/>
        </w:rPr>
        <w:t>，</w:t>
      </w:r>
      <w:r>
        <w:t>并通过心理干预增强患者的治疗信心</w:t>
      </w:r>
    </w:p>
    <w:p>
      <w:pPr>
        <w:pStyle w:val="BodyText"/>
        <w:spacing w:before="10"/>
        <w:rPr>
          <w:sz w:val="66"/>
        </w:rPr>
      </w:pPr>
      <w:r>
        <w:br w:type="column"/>
      </w:r>
    </w:p>
    <w:p>
      <w:pPr>
        <w:pStyle w:val="BodyText"/>
        <w:ind w:left="170"/>
      </w:pPr>
      <w:r>
        <w:rPr>
          <w:position w:val="6"/>
          <w:sz w:val="42"/>
        </w:rPr>
        <w:t>，</w:t>
      </w:r>
      <w:r>
        <w:t>而制定不同的治疗、护理方案、评</w:t>
      </w:r>
    </w:p>
    <w:p>
      <w:pPr>
        <w:spacing w:after="0"/>
        <w:sectPr>
          <w:type w:val="continuous"/>
          <w:pgSz w:w="22370" w:h="31660"/>
          <w:pgMar w:top="2480" w:right="3000" w:bottom="280" w:left="3140" w:header="708" w:footer="708"/>
          <w:pgNumType w:start="52"/>
          <w:cols w:num="2" w:space="708" w:equalWidth="0">
            <w:col w:w="8868" w:space="666"/>
            <w:col w:w="6696" w:space="0"/>
          </w:cols>
        </w:sectPr>
      </w:pPr>
    </w:p>
    <w:p>
      <w:pPr>
        <w:pStyle w:val="BodyText"/>
        <w:spacing w:before="3"/>
        <w:rPr>
          <w:sz w:val="20"/>
        </w:rPr>
      </w:pPr>
    </w:p>
    <w:p>
      <w:pPr>
        <w:spacing w:after="0"/>
        <w:rPr>
          <w:sz w:val="20"/>
        </w:rPr>
        <w:sectPr>
          <w:type w:val="continuous"/>
          <w:pgSz w:w="22370" w:h="31660"/>
          <w:pgMar w:top="2480" w:right="3000" w:bottom="280" w:left="3140" w:header="708" w:footer="708"/>
          <w:pgNumType w:start="53"/>
          <w:cols w:space="708"/>
        </w:sectPr>
      </w:pPr>
    </w:p>
    <w:p>
      <w:pPr>
        <w:pStyle w:val="BodyText"/>
        <w:spacing w:before="152"/>
        <w:ind w:left="170" w:right="38" w:firstLine="934"/>
      </w:pPr>
      <w:r>
        <w:t>保险医学为了能够保障赔偿结果的准确性方式</w:t>
      </w:r>
      <w:r>
        <w:rPr>
          <w:position w:val="6"/>
          <w:sz w:val="42"/>
        </w:rPr>
        <w:t>，</w:t>
      </w:r>
      <w:r>
        <w:t>而上述所产生的费用由保险公司承担</w:t>
      </w:r>
    </w:p>
    <w:p>
      <w:pPr>
        <w:pStyle w:val="BodyText"/>
        <w:spacing w:before="22"/>
        <w:ind w:left="170"/>
      </w:pPr>
      <w:r>
        <w:br w:type="column"/>
      </w:r>
      <w:r>
        <w:rPr>
          <w:position w:val="6"/>
          <w:sz w:val="42"/>
        </w:rPr>
        <w:t>，</w:t>
      </w:r>
      <w:r>
        <w:t>保险公司往往采用调查、咨询、伤残鉴定等</w:t>
      </w:r>
    </w:p>
    <w:p>
      <w:pPr>
        <w:spacing w:after="0"/>
        <w:sectPr>
          <w:type w:val="continuous"/>
          <w:pgSz w:w="22370" w:h="31660"/>
          <w:pgMar w:top="2480" w:right="3000" w:bottom="280" w:left="3140" w:header="708" w:footer="708"/>
          <w:pgNumType w:start="54"/>
          <w:cols w:num="2" w:space="708" w:equalWidth="0">
            <w:col w:w="7464" w:space="486"/>
            <w:col w:w="8280" w:space="0"/>
          </w:cols>
        </w:sectPr>
      </w:pPr>
    </w:p>
    <w:p>
      <w:pPr>
        <w:pStyle w:val="BodyText"/>
        <w:spacing w:before="9"/>
        <w:rPr>
          <w:sz w:val="29"/>
        </w:rPr>
      </w:pPr>
    </w:p>
    <w:p>
      <w:pPr>
        <w:spacing w:after="0"/>
        <w:rPr>
          <w:sz w:val="29"/>
        </w:rPr>
        <w:sectPr>
          <w:type w:val="continuous"/>
          <w:pgSz w:w="22370" w:h="31660"/>
          <w:pgMar w:top="2480" w:right="3000" w:bottom="280" w:left="3140" w:header="708" w:footer="708"/>
          <w:pgNumType w:start="55"/>
          <w:cols w:space="708"/>
        </w:sectPr>
      </w:pPr>
    </w:p>
    <w:p>
      <w:pPr>
        <w:pStyle w:val="BodyText"/>
        <w:spacing w:before="155" w:line="501" w:lineRule="auto"/>
        <w:ind w:left="1105" w:right="321"/>
      </w:pPr>
      <w:r>
        <w:t>41</w:t>
      </w:r>
      <w:r>
        <w:rPr>
          <w:spacing w:val="-13"/>
        </w:rPr>
        <w:t xml:space="preserve"> 、 下列哪一项不属于心理障碍</w:t>
      </w:r>
      <w:r>
        <w:t>强迫症</w:t>
      </w:r>
    </w:p>
    <w:p>
      <w:pPr>
        <w:pStyle w:val="BodyText"/>
        <w:spacing w:line="369" w:lineRule="exact"/>
        <w:ind w:left="1105"/>
      </w:pPr>
      <w:r>
        <w:t>焦虑症</w:t>
      </w:r>
    </w:p>
    <w:p>
      <w:pPr>
        <w:pStyle w:val="BodyText"/>
        <w:spacing w:before="2"/>
        <w:rPr>
          <w:sz w:val="32"/>
        </w:rPr>
      </w:pPr>
    </w:p>
    <w:p>
      <w:pPr>
        <w:pStyle w:val="BodyText"/>
        <w:spacing w:line="460" w:lineRule="auto"/>
        <w:ind w:left="1105" w:right="3696"/>
      </w:pPr>
      <w:r>
        <w:t xml:space="preserve">神经衰弱 </w:t>
      </w:r>
      <w:r>
        <w:rPr>
          <w:spacing w:val="-4"/>
        </w:rPr>
        <w:t>精神分裂症</w:t>
      </w:r>
    </w:p>
    <w:p>
      <w:pPr>
        <w:pStyle w:val="BodyText"/>
        <w:spacing w:line="570" w:lineRule="exact"/>
        <w:ind w:left="1105"/>
      </w:pPr>
      <w:r>
        <w:t>42</w:t>
      </w:r>
      <w:r>
        <w:rPr>
          <w:spacing w:val="-13"/>
        </w:rPr>
        <w:t xml:space="preserve"> 、 严重帕金森病指的是</w:t>
      </w:r>
      <w:r>
        <w:rPr>
          <w:position w:val="6"/>
          <w:sz w:val="42"/>
        </w:rPr>
        <w:t>（</w:t>
      </w:r>
      <w:r>
        <w:t>C</w:t>
      </w:r>
      <w:r>
        <w:rPr>
          <w:spacing w:val="-94"/>
        </w:rPr>
        <w:t xml:space="preserve"> </w:t>
      </w:r>
      <w:r>
        <w:rPr>
          <w:spacing w:val="-3"/>
        </w:rPr>
        <w:t>）</w:t>
      </w:r>
      <w:r>
        <w:rPr>
          <w:spacing w:val="-18"/>
        </w:rPr>
        <w:t>。</w:t>
      </w:r>
    </w:p>
    <w:p>
      <w:pPr>
        <w:spacing w:before="25"/>
        <w:ind w:left="-21" w:right="0" w:firstLine="0"/>
        <w:jc w:val="left"/>
        <w:rPr>
          <w:sz w:val="35"/>
        </w:rPr>
      </w:pPr>
      <w:r>
        <w:br w:type="column"/>
      </w:r>
      <w:r>
        <w:rPr>
          <w:position w:val="6"/>
          <w:sz w:val="42"/>
        </w:rPr>
        <w:t>（</w:t>
      </w:r>
      <w:r>
        <w:rPr>
          <w:sz w:val="35"/>
        </w:rPr>
        <w:t>D</w:t>
      </w:r>
      <w:r>
        <w:rPr>
          <w:spacing w:val="-98"/>
          <w:sz w:val="35"/>
        </w:rPr>
        <w:t xml:space="preserve"> </w:t>
      </w:r>
      <w:r>
        <w:rPr>
          <w:sz w:val="35"/>
        </w:rPr>
        <w:t>）。</w:t>
      </w:r>
    </w:p>
    <w:p>
      <w:pPr>
        <w:spacing w:after="0"/>
        <w:jc w:val="left"/>
        <w:rPr>
          <w:sz w:val="35"/>
        </w:rPr>
        <w:sectPr>
          <w:type w:val="continuous"/>
          <w:pgSz w:w="22370" w:h="31660"/>
          <w:pgMar w:top="2480" w:right="3000" w:bottom="280" w:left="3140" w:header="708" w:footer="708"/>
          <w:pgNumType w:start="56"/>
          <w:cols w:num="2" w:space="708" w:equalWidth="0">
            <w:col w:w="6560" w:space="40"/>
            <w:col w:w="9630" w:space="0"/>
          </w:cols>
        </w:sectPr>
      </w:pPr>
    </w:p>
    <w:p>
      <w:pPr>
        <w:pStyle w:val="BodyText"/>
        <w:spacing w:before="2"/>
        <w:rPr>
          <w:sz w:val="26"/>
        </w:rPr>
      </w:pPr>
    </w:p>
    <w:p>
      <w:pPr>
        <w:spacing w:after="0"/>
        <w:rPr>
          <w:sz w:val="26"/>
        </w:rPr>
        <w:sectPr>
          <w:type w:val="continuous"/>
          <w:pgSz w:w="22370" w:h="31660"/>
          <w:pgMar w:top="2480" w:right="3000" w:bottom="280" w:left="3140" w:header="708" w:footer="708"/>
          <w:pgNumType w:start="57"/>
          <w:cols w:space="708"/>
        </w:sectPr>
      </w:pPr>
    </w:p>
    <w:p>
      <w:pPr>
        <w:pStyle w:val="BodyText"/>
        <w:spacing w:before="152"/>
        <w:ind w:left="1105"/>
      </w:pPr>
      <w:r>
        <w:t>因大脑进行性、不可逆性改变导致智能严重衰退或丧失</w:t>
      </w:r>
    </w:p>
    <w:p>
      <w:pPr>
        <w:pStyle w:val="BodyText"/>
        <w:spacing w:before="22"/>
        <w:ind w:left="946" w:right="705"/>
        <w:jc w:val="center"/>
      </w:pPr>
      <w:r>
        <w:br w:type="column"/>
      </w:r>
      <w:r>
        <w:rPr>
          <w:position w:val="6"/>
          <w:sz w:val="42"/>
        </w:rPr>
        <w:t>，</w:t>
      </w:r>
      <w:r>
        <w:t>临床表现为明显的认知能力障</w:t>
      </w:r>
    </w:p>
    <w:p>
      <w:pPr>
        <w:spacing w:after="0"/>
        <w:jc w:val="center"/>
        <w:sectPr>
          <w:type w:val="continuous"/>
          <w:pgSz w:w="22370" w:h="31660"/>
          <w:pgMar w:top="2480" w:right="3000" w:bottom="280" w:left="3140" w:header="708" w:footer="708"/>
          <w:pgNumType w:start="58"/>
          <w:cols w:num="2" w:space="708" w:equalWidth="0">
            <w:col w:w="9529" w:space="40"/>
            <w:col w:w="6661" w:space="0"/>
          </w:cols>
        </w:sectPr>
      </w:pPr>
    </w:p>
    <w:p>
      <w:pPr>
        <w:pStyle w:val="BodyText"/>
        <w:spacing w:before="130"/>
        <w:ind w:left="170"/>
      </w:pPr>
      <w:r>
        <w:t>碍、行为异常和社交能力减退</w:t>
      </w:r>
    </w:p>
    <w:p>
      <w:pPr>
        <w:pStyle w:val="BodyText"/>
        <w:ind w:left="170"/>
      </w:pPr>
      <w:r>
        <w:br w:type="column"/>
      </w:r>
      <w:r>
        <w:rPr>
          <w:position w:val="6"/>
          <w:sz w:val="42"/>
        </w:rPr>
        <w:t>，</w:t>
      </w:r>
      <w:r>
        <w:t>其日常生活必须持续受到他人监护</w:t>
      </w:r>
    </w:p>
    <w:p>
      <w:pPr>
        <w:spacing w:after="0"/>
        <w:sectPr>
          <w:type w:val="continuous"/>
          <w:pgSz w:w="22370" w:h="31660"/>
          <w:pgMar w:top="2480" w:right="3000" w:bottom="280" w:left="3140" w:header="708" w:footer="708"/>
          <w:pgNumType w:start="59"/>
          <w:cols w:num="2" w:space="708" w:equalWidth="0">
            <w:col w:w="4774" w:space="337"/>
            <w:col w:w="11119" w:space="0"/>
          </w:cols>
        </w:sectPr>
      </w:pPr>
    </w:p>
    <w:p>
      <w:pPr>
        <w:pStyle w:val="BodyText"/>
        <w:spacing w:before="2"/>
        <w:rPr>
          <w:sz w:val="20"/>
        </w:rPr>
      </w:pPr>
    </w:p>
    <w:p>
      <w:pPr>
        <w:pStyle w:val="BodyText"/>
        <w:tabs>
          <w:tab w:val="left" w:pos="6578"/>
        </w:tabs>
        <w:spacing w:before="22" w:line="364" w:lineRule="auto"/>
        <w:ind w:left="1105" w:right="2693"/>
      </w:pPr>
      <w:r>
        <w:t>因头部遭受机械性外</w:t>
      </w:r>
      <w:r>
        <w:rPr>
          <w:spacing w:val="3"/>
        </w:rPr>
        <w:t>力</w:t>
      </w:r>
      <w:r>
        <w:rPr>
          <w:spacing w:val="-3"/>
          <w:position w:val="6"/>
          <w:sz w:val="42"/>
        </w:rPr>
        <w:t>，</w:t>
      </w:r>
      <w:r>
        <w:t>引起脑重要部位损</w:t>
      </w:r>
      <w:r>
        <w:rPr>
          <w:spacing w:val="3"/>
        </w:rPr>
        <w:t>伤</w:t>
      </w:r>
      <w:r>
        <w:rPr>
          <w:spacing w:val="-3"/>
          <w:position w:val="6"/>
          <w:sz w:val="42"/>
        </w:rPr>
        <w:t>，</w:t>
      </w:r>
      <w:r>
        <w:t>导致神经系统永久性的功能障</w:t>
      </w:r>
      <w:r>
        <w:rPr>
          <w:spacing w:val="-16"/>
        </w:rPr>
        <w:t>碍</w:t>
      </w:r>
      <w:r>
        <w:t>一种中枢神经系统的退行性疾病</w:t>
        <w:tab/>
      </w:r>
      <w:r>
        <w:rPr>
          <w:position w:val="6"/>
          <w:sz w:val="42"/>
        </w:rPr>
        <w:t>，</w:t>
      </w:r>
      <w:r>
        <w:t>临床表现为震颤麻痹、共济失调等</w:t>
      </w:r>
    </w:p>
    <w:p>
      <w:pPr>
        <w:spacing w:after="0" w:line="364" w:lineRule="auto"/>
        <w:sectPr>
          <w:type w:val="continuous"/>
          <w:pgSz w:w="22370" w:h="31660"/>
          <w:pgMar w:top="2480" w:right="3000" w:bottom="280" w:left="3140" w:header="708" w:footer="708"/>
          <w:pgNumType w:start="60"/>
          <w:cols w:space="708"/>
        </w:sectPr>
      </w:pPr>
    </w:p>
    <w:p>
      <w:pPr>
        <w:pStyle w:val="BodyText"/>
        <w:spacing w:before="129" w:line="309" w:lineRule="auto"/>
        <w:ind w:left="170" w:right="38" w:firstLine="934"/>
      </w:pPr>
      <w:r>
        <w:t>一组中枢神经系统运动神经元的进行性变性疾病麻痹症、原发性侧索硬化症、肌萎缩性侧索硬化症</w:t>
      </w:r>
    </w:p>
    <w:p>
      <w:pPr>
        <w:pStyle w:val="BodyText"/>
        <w:spacing w:line="578" w:lineRule="exact"/>
        <w:ind w:left="170"/>
      </w:pPr>
      <w:r>
        <w:br w:type="column"/>
      </w:r>
      <w:r>
        <w:rPr>
          <w:position w:val="6"/>
          <w:sz w:val="42"/>
        </w:rPr>
        <w:t>，</w:t>
      </w:r>
      <w:r>
        <w:t>包括进行性脊肌萎缩症、进行性延髓</w:t>
      </w:r>
    </w:p>
    <w:p>
      <w:pPr>
        <w:spacing w:after="0" w:line="578" w:lineRule="exact"/>
        <w:sectPr>
          <w:type w:val="continuous"/>
          <w:pgSz w:w="22370" w:h="31660"/>
          <w:pgMar w:top="2480" w:right="3000" w:bottom="280" w:left="3140" w:header="708" w:footer="708"/>
          <w:pgNumType w:start="61"/>
          <w:cols w:num="2" w:space="708" w:equalWidth="0">
            <w:col w:w="8517" w:space="663"/>
            <w:col w:w="7050" w:space="0"/>
          </w:cols>
        </w:sectPr>
      </w:pPr>
    </w:p>
    <w:p>
      <w:pPr>
        <w:pStyle w:val="BodyText"/>
        <w:spacing w:before="2"/>
        <w:rPr>
          <w:sz w:val="8"/>
        </w:rPr>
      </w:pPr>
    </w:p>
    <w:p>
      <w:pPr>
        <w:spacing w:after="0"/>
        <w:rPr>
          <w:sz w:val="8"/>
        </w:rPr>
        <w:sectPr>
          <w:type w:val="continuous"/>
          <w:pgSz w:w="22370" w:h="31660"/>
          <w:pgMar w:top="2480" w:right="3000" w:bottom="280" w:left="3140" w:header="708" w:footer="708"/>
          <w:pgNumType w:start="62"/>
          <w:cols w:space="708"/>
        </w:sectPr>
      </w:pPr>
    </w:p>
    <w:p>
      <w:pPr>
        <w:pStyle w:val="BodyText"/>
        <w:spacing w:before="157" w:line="470" w:lineRule="auto"/>
        <w:ind w:left="1105"/>
      </w:pPr>
      <w:r>
        <w:t>43</w:t>
      </w:r>
      <w:r>
        <w:rPr>
          <w:spacing w:val="-13"/>
        </w:rPr>
        <w:t xml:space="preserve"> 、 治疗慢性肝功能衰竭失代偿期最有效的治疗手段是</w:t>
      </w:r>
      <w:r>
        <w:t>血液透析</w:t>
      </w:r>
    </w:p>
    <w:p>
      <w:pPr>
        <w:pStyle w:val="BodyText"/>
        <w:spacing w:line="429" w:lineRule="exact"/>
        <w:ind w:left="1105"/>
      </w:pPr>
      <w:r>
        <w:t>药物治疗</w:t>
      </w:r>
    </w:p>
    <w:p>
      <w:pPr>
        <w:pStyle w:val="BodyText"/>
        <w:spacing w:before="10"/>
        <w:rPr>
          <w:sz w:val="31"/>
        </w:rPr>
      </w:pPr>
    </w:p>
    <w:p>
      <w:pPr>
        <w:pStyle w:val="BodyText"/>
        <w:spacing w:line="460" w:lineRule="auto"/>
        <w:ind w:left="1105" w:right="7233"/>
      </w:pPr>
      <w:r>
        <w:t>肾脏移植肝移植</w:t>
      </w:r>
    </w:p>
    <w:p>
      <w:pPr>
        <w:spacing w:before="27"/>
        <w:ind w:left="741" w:right="0" w:firstLine="0"/>
        <w:jc w:val="left"/>
        <w:rPr>
          <w:sz w:val="35"/>
        </w:rPr>
      </w:pPr>
      <w:r>
        <w:br w:type="column"/>
      </w:r>
      <w:r>
        <w:rPr>
          <w:position w:val="6"/>
          <w:sz w:val="42"/>
        </w:rPr>
        <w:t>（</w:t>
      </w:r>
      <w:r>
        <w:rPr>
          <w:sz w:val="35"/>
        </w:rPr>
        <w:t>D</w:t>
      </w:r>
      <w:r>
        <w:rPr>
          <w:spacing w:val="-98"/>
          <w:sz w:val="35"/>
        </w:rPr>
        <w:t xml:space="preserve"> </w:t>
      </w:r>
      <w:r>
        <w:rPr>
          <w:sz w:val="35"/>
        </w:rPr>
        <w:t>）。</w:t>
      </w:r>
    </w:p>
    <w:p>
      <w:pPr>
        <w:spacing w:after="0"/>
        <w:jc w:val="left"/>
        <w:rPr>
          <w:sz w:val="35"/>
        </w:rPr>
        <w:sectPr>
          <w:type w:val="continuous"/>
          <w:pgSz w:w="22370" w:h="31660"/>
          <w:pgMar w:top="2480" w:right="3000" w:bottom="280" w:left="3140" w:header="708" w:footer="708"/>
          <w:pgNumType w:start="63"/>
          <w:cols w:num="2" w:space="708" w:equalWidth="0">
            <w:col w:w="9746" w:space="40"/>
            <w:col w:w="6444" w:space="0"/>
          </w:cols>
        </w:sectPr>
      </w:pPr>
    </w:p>
    <w:p>
      <w:pPr>
        <w:pStyle w:val="BodyText"/>
        <w:tabs>
          <w:tab w:val="left" w:pos="2136"/>
        </w:tabs>
        <w:spacing w:line="417" w:lineRule="exact"/>
        <w:ind w:left="1131"/>
      </w:pPr>
      <w:r>
        <w:t>44</w:t>
      </w:r>
      <w:r>
        <w:rPr>
          <w:spacing w:val="-136"/>
        </w:rPr>
        <w:t xml:space="preserve"> </w:t>
      </w:r>
      <w:r>
        <w:t>、</w:t>
        <w:tab/>
        <w:t>治疗血液系统疾病、先天性和遗传性疾病以及多发性和转移性恶性肿瘤疾病的最</w:t>
      </w:r>
      <w:r>
        <w:rPr>
          <w:spacing w:val="11"/>
        </w:rPr>
        <w:t xml:space="preserve"> </w:t>
      </w:r>
      <w:r>
        <w:t>有效的</w:t>
      </w:r>
    </w:p>
    <w:p>
      <w:pPr>
        <w:pStyle w:val="BodyText"/>
        <w:spacing w:before="9"/>
        <w:ind w:left="170"/>
      </w:pPr>
      <w:r>
        <w:t>方法是</w:t>
      </w:r>
      <w:r>
        <w:rPr>
          <w:position w:val="6"/>
          <w:sz w:val="42"/>
        </w:rPr>
        <w:t>（</w:t>
      </w:r>
      <w:r>
        <w:t>C</w:t>
      </w:r>
      <w:r>
        <w:rPr>
          <w:spacing w:val="-98"/>
        </w:rPr>
        <w:t xml:space="preserve"> </w:t>
      </w:r>
      <w:r>
        <w:rPr>
          <w:spacing w:val="-3"/>
        </w:rPr>
        <w:t>）</w:t>
      </w:r>
      <w:r>
        <w:t>。</w:t>
      </w:r>
    </w:p>
    <w:p>
      <w:pPr>
        <w:pStyle w:val="BodyText"/>
        <w:spacing w:before="408" w:line="460" w:lineRule="auto"/>
        <w:ind w:left="1105" w:right="13714"/>
      </w:pPr>
      <w:r>
        <w:t>肾脏移植血液透析</w:t>
      </w:r>
    </w:p>
    <w:p>
      <w:pPr>
        <w:pStyle w:val="BodyText"/>
        <w:spacing w:line="460" w:lineRule="auto"/>
        <w:ind w:left="1105" w:right="12661"/>
      </w:pPr>
      <w:r>
        <w:t>造血干细胞移植免疫抑制剂</w:t>
      </w:r>
    </w:p>
    <w:p>
      <w:pPr>
        <w:pStyle w:val="BodyText"/>
        <w:tabs>
          <w:tab w:val="left" w:pos="6182"/>
        </w:tabs>
        <w:spacing w:before="48"/>
        <w:ind w:left="1105"/>
      </w:pPr>
      <w:r>
        <w:t>45</w:t>
      </w:r>
      <w:r>
        <w:rPr>
          <w:spacing w:val="-135"/>
        </w:rPr>
        <w:t xml:space="preserve"> </w:t>
      </w:r>
      <w:r>
        <w:t>、</w:t>
      </w:r>
      <w:r>
        <w:rPr>
          <w:spacing w:val="6"/>
        </w:rPr>
        <w:t xml:space="preserve"> </w:t>
      </w:r>
      <w:r>
        <w:t>运动性失语的损伤部位为</w:t>
        <w:tab/>
        <w:t>（A</w:t>
      </w:r>
      <w:r>
        <w:rPr>
          <w:spacing w:val="-118"/>
        </w:rPr>
        <w:t xml:space="preserve"> </w:t>
      </w:r>
      <w:r>
        <w:t>）。</w:t>
      </w:r>
    </w:p>
    <w:p>
      <w:pPr>
        <w:pStyle w:val="BodyText"/>
        <w:spacing w:before="6"/>
        <w:rPr>
          <w:sz w:val="25"/>
        </w:rPr>
      </w:pPr>
    </w:p>
    <w:p>
      <w:pPr>
        <w:pStyle w:val="BodyText"/>
        <w:spacing w:before="1" w:line="244" w:lineRule="auto"/>
        <w:ind w:left="170" w:right="901" w:firstLine="960"/>
        <w:rPr>
          <w:sz w:val="42"/>
        </w:rPr>
      </w:pPr>
      <w:r>
        <w:t>优势侧半球额下回后部</w:t>
      </w:r>
      <w:r>
        <w:rPr>
          <w:spacing w:val="-3"/>
          <w:position w:val="6"/>
          <w:sz w:val="42"/>
        </w:rPr>
        <w:t>（</w:t>
      </w:r>
      <w:r>
        <w:t>从前上额叶到前顶叶区域的皮质</w:t>
      </w:r>
      <w:r>
        <w:rPr>
          <w:spacing w:val="-3"/>
          <w:position w:val="6"/>
          <w:sz w:val="42"/>
        </w:rPr>
        <w:t>，</w:t>
      </w:r>
      <w:r>
        <w:rPr>
          <w:spacing w:val="-9"/>
        </w:rPr>
        <w:t xml:space="preserve">包括岛叶和周围 </w:t>
      </w:r>
      <w:r>
        <w:rPr>
          <w:spacing w:val="-12"/>
        </w:rPr>
        <w:t>sylvian</w:t>
      </w:r>
      <w:r>
        <w:rPr>
          <w:spacing w:val="2"/>
        </w:rPr>
        <w:t>皮质 上</w:t>
      </w:r>
      <w:r>
        <w:t>缘</w:t>
      </w:r>
      <w:r>
        <w:rPr>
          <w:spacing w:val="-3"/>
        </w:rPr>
        <w:t>）</w:t>
      </w:r>
      <w:r>
        <w:t>颞上回后部</w:t>
      </w:r>
      <w:r>
        <w:rPr>
          <w:position w:val="6"/>
          <w:sz w:val="42"/>
        </w:rPr>
        <w:t>（</w:t>
      </w:r>
      <w:r>
        <w:t>颞叶、顶叶后部</w:t>
      </w:r>
      <w:r>
        <w:rPr>
          <w:spacing w:val="-3"/>
          <w:position w:val="6"/>
          <w:sz w:val="42"/>
        </w:rPr>
        <w:t>，</w:t>
      </w:r>
      <w:r>
        <w:t>枕叶侧面</w:t>
      </w:r>
      <w:r>
        <w:rPr>
          <w:position w:val="6"/>
          <w:sz w:val="42"/>
        </w:rPr>
        <w:t>）</w:t>
      </w:r>
    </w:p>
    <w:p>
      <w:pPr>
        <w:spacing w:after="0" w:line="244" w:lineRule="auto"/>
        <w:rPr>
          <w:sz w:val="42"/>
        </w:rPr>
        <w:sectPr>
          <w:type w:val="continuous"/>
          <w:pgSz w:w="22370" w:h="31660"/>
          <w:pgMar w:top="2480" w:right="3000" w:bottom="280" w:left="3140" w:header="708" w:footer="708"/>
          <w:pgNumType w:start="64"/>
          <w:cols w:space="708"/>
        </w:sectPr>
      </w:pPr>
    </w:p>
    <w:p>
      <w:pPr>
        <w:pStyle w:val="BodyText"/>
        <w:tabs>
          <w:tab w:val="left" w:pos="11074"/>
        </w:tabs>
        <w:spacing w:before="22"/>
        <w:ind w:left="1105"/>
        <w:rPr>
          <w:rFonts w:ascii="宋体" w:eastAsia="宋体" w:hint="eastAsia"/>
          <w:sz w:val="42"/>
        </w:rPr>
      </w:pPr>
      <w:r>
        <w:t>左侧颞叶或顶叶上</w:t>
      </w:r>
      <w:r>
        <w:rPr>
          <w:spacing w:val="3"/>
        </w:rPr>
        <w:t>部</w:t>
      </w:r>
      <w:r>
        <w:rPr>
          <w:rFonts w:ascii="宋体" w:eastAsia="宋体" w:hint="eastAsia"/>
          <w:spacing w:val="-3"/>
          <w:position w:val="6"/>
          <w:sz w:val="42"/>
        </w:rPr>
        <w:t>（</w:t>
      </w:r>
      <w:r>
        <w:t>可能是前后语言区域的联系纤维受损</w:t>
        <w:tab/>
      </w:r>
      <w:r>
        <w:rPr>
          <w:rFonts w:ascii="宋体" w:eastAsia="宋体" w:hint="eastAsia"/>
          <w:position w:val="6"/>
          <w:sz w:val="42"/>
        </w:rPr>
        <w:t>）</w:t>
      </w:r>
    </w:p>
    <w:p>
      <w:pPr>
        <w:pStyle w:val="BodyText"/>
        <w:rPr>
          <w:rFonts w:ascii="宋体"/>
          <w:sz w:val="20"/>
        </w:rPr>
      </w:pPr>
    </w:p>
    <w:p>
      <w:pPr>
        <w:spacing w:after="0"/>
        <w:rPr>
          <w:rFonts w:ascii="宋体"/>
          <w:sz w:val="20"/>
        </w:rPr>
        <w:sectPr>
          <w:pgSz w:w="22370" w:h="31660"/>
          <w:pgMar w:top="2280" w:right="3000" w:bottom="280" w:left="3140" w:header="708" w:footer="708"/>
          <w:pgNumType w:start="65"/>
          <w:cols w:space="708"/>
        </w:sectPr>
      </w:pPr>
    </w:p>
    <w:p>
      <w:pPr>
        <w:pStyle w:val="BodyText"/>
        <w:spacing w:before="174" w:line="494" w:lineRule="auto"/>
        <w:ind w:left="1105"/>
      </w:pPr>
      <w:r>
        <w:t>发生在较大的损害伤及左侧半球多个脑回</w:t>
      </w:r>
      <w:r>
        <w:rPr>
          <w:rFonts w:ascii="Arial" w:eastAsia="Arial"/>
        </w:rPr>
        <w:t>46</w:t>
      </w:r>
      <w:r>
        <w:rPr>
          <w:spacing w:val="-2"/>
        </w:rPr>
        <w:t>、 根据骨折的程度及形态可将骨折分为</w:t>
      </w:r>
      <w:r>
        <w:t>闭合性骨折和开放性骨折</w:t>
      </w:r>
    </w:p>
    <w:p>
      <w:pPr>
        <w:pStyle w:val="BodyText"/>
        <w:spacing w:line="401" w:lineRule="exact"/>
        <w:ind w:left="1105"/>
      </w:pPr>
      <w:r>
        <w:t>不完全骨折和完全性骨折</w:t>
      </w:r>
    </w:p>
    <w:p>
      <w:pPr>
        <w:pStyle w:val="BodyText"/>
        <w:spacing w:before="8"/>
        <w:rPr>
          <w:sz w:val="33"/>
        </w:rPr>
      </w:pPr>
    </w:p>
    <w:p>
      <w:pPr>
        <w:pStyle w:val="BodyText"/>
        <w:ind w:left="1105"/>
      </w:pPr>
      <w:r>
        <w:t>稳定骨折和不稳定骨折</w:t>
      </w:r>
    </w:p>
    <w:p>
      <w:pPr>
        <w:pStyle w:val="BodyText"/>
        <w:spacing w:before="2"/>
        <w:rPr>
          <w:sz w:val="74"/>
        </w:rPr>
      </w:pPr>
      <w:r>
        <w:br w:type="column"/>
      </w:r>
    </w:p>
    <w:p>
      <w:pPr>
        <w:spacing w:before="0"/>
        <w:ind w:left="531" w:right="0" w:firstLine="0"/>
        <w:jc w:val="left"/>
        <w:rPr>
          <w:rFonts w:ascii="宋体" w:eastAsia="宋体" w:hint="eastAsia"/>
          <w:sz w:val="44"/>
        </w:rPr>
      </w:pPr>
      <w:r>
        <w:rPr>
          <w:rFonts w:ascii="宋体" w:eastAsia="宋体" w:hint="eastAsia"/>
          <w:position w:val="6"/>
          <w:sz w:val="42"/>
        </w:rPr>
        <w:t>（</w:t>
      </w:r>
      <w:r>
        <w:rPr>
          <w:rFonts w:ascii="Arial" w:eastAsia="Arial"/>
          <w:sz w:val="35"/>
        </w:rPr>
        <w:t>B</w:t>
      </w:r>
      <w:r>
        <w:rPr>
          <w:rFonts w:ascii="宋体" w:eastAsia="宋体" w:hint="eastAsia"/>
          <w:sz w:val="35"/>
        </w:rPr>
        <w:t>）</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66"/>
          <w:cols w:num="2" w:space="708" w:equalWidth="0">
            <w:col w:w="7640" w:space="40"/>
            <w:col w:w="8550" w:space="0"/>
          </w:cols>
        </w:sectPr>
      </w:pPr>
    </w:p>
    <w:p>
      <w:pPr>
        <w:pStyle w:val="BodyText"/>
        <w:rPr>
          <w:rFonts w:ascii="宋体"/>
          <w:sz w:val="20"/>
        </w:rPr>
      </w:pPr>
    </w:p>
    <w:p>
      <w:pPr>
        <w:pStyle w:val="BodyText"/>
        <w:spacing w:before="171"/>
        <w:ind w:left="1105"/>
      </w:pPr>
      <w:r>
        <w:t>青枝骨折和裂缝骨折</w:t>
      </w:r>
    </w:p>
    <w:p>
      <w:pPr>
        <w:pStyle w:val="BodyText"/>
        <w:spacing w:before="10"/>
        <w:rPr>
          <w:sz w:val="25"/>
        </w:rPr>
      </w:pPr>
    </w:p>
    <w:p>
      <w:pPr>
        <w:pStyle w:val="BodyText"/>
        <w:spacing w:line="432" w:lineRule="auto"/>
        <w:ind w:left="1105" w:right="7878"/>
      </w:pPr>
      <w:r>
        <w:rPr>
          <w:rFonts w:ascii="Arial" w:eastAsia="Arial"/>
        </w:rPr>
        <w:t>47</w:t>
      </w:r>
      <w:r>
        <w:rPr>
          <w:spacing w:val="8"/>
        </w:rPr>
        <w:t>、关于骨折</w:t>
      </w:r>
      <w:r>
        <w:rPr>
          <w:rFonts w:ascii="宋体" w:eastAsia="宋体" w:hint="eastAsia"/>
          <w:spacing w:val="-3"/>
          <w:position w:val="6"/>
          <w:sz w:val="42"/>
        </w:rPr>
        <w:t>，</w:t>
      </w:r>
      <w:r>
        <w:t>下列说法不正确的是</w:t>
      </w:r>
      <w:r>
        <w:rPr>
          <w:rFonts w:ascii="宋体" w:eastAsia="宋体" w:hint="eastAsia"/>
          <w:position w:val="6"/>
          <w:sz w:val="42"/>
        </w:rPr>
        <w:t>（</w:t>
      </w:r>
      <w:r>
        <w:rPr>
          <w:rFonts w:ascii="Arial" w:eastAsia="Arial"/>
        </w:rPr>
        <w:t>D</w:t>
      </w:r>
      <w:r>
        <w:rPr>
          <w:rFonts w:ascii="宋体" w:eastAsia="宋体" w:hint="eastAsia"/>
        </w:rPr>
        <w:t>）</w:t>
      </w:r>
      <w:r>
        <w:rPr>
          <w:rFonts w:ascii="宋体" w:eastAsia="宋体" w:hint="eastAsia"/>
          <w:spacing w:val="-14"/>
          <w:position w:val="8"/>
          <w:sz w:val="44"/>
        </w:rPr>
        <w:t>。</w:t>
      </w:r>
      <w:r>
        <w:t>青枝骨折多发于儿童</w:t>
      </w:r>
    </w:p>
    <w:p>
      <w:pPr>
        <w:pStyle w:val="BodyText"/>
        <w:spacing w:before="29" w:line="432" w:lineRule="auto"/>
        <w:ind w:left="1105" w:right="5571"/>
      </w:pPr>
      <w:r>
        <w:t>轻微骨折可无全身症状</w:t>
      </w:r>
      <w:r>
        <w:rPr>
          <w:rFonts w:ascii="宋体" w:eastAsia="宋体" w:hint="eastAsia"/>
          <w:position w:val="6"/>
          <w:sz w:val="42"/>
        </w:rPr>
        <w:t>，</w:t>
      </w:r>
      <w:r>
        <w:t xml:space="preserve">严重者可能有休克、体温异常的症状骨折可通过 </w:t>
      </w:r>
      <w:r>
        <w:rPr>
          <w:rFonts w:ascii="Arial" w:eastAsia="Arial"/>
        </w:rPr>
        <w:t xml:space="preserve">X </w:t>
      </w:r>
      <w:r>
        <w:t>线检查、</w:t>
      </w:r>
      <w:r>
        <w:rPr>
          <w:rFonts w:ascii="Arial" w:eastAsia="Arial"/>
        </w:rPr>
        <w:t xml:space="preserve">CT </w:t>
      </w:r>
      <w:r>
        <w:t xml:space="preserve">检查和 </w:t>
      </w:r>
      <w:r>
        <w:rPr>
          <w:rFonts w:ascii="Arial" w:eastAsia="Arial"/>
        </w:rPr>
        <w:t xml:space="preserve">MRI </w:t>
      </w:r>
      <w:r>
        <w:t>检查出来</w:t>
      </w:r>
    </w:p>
    <w:p>
      <w:pPr>
        <w:spacing w:after="0" w:line="432" w:lineRule="auto"/>
        <w:sectPr>
          <w:type w:val="continuous"/>
          <w:pgSz w:w="22370" w:h="31660"/>
          <w:pgMar w:top="2480" w:right="3000" w:bottom="280" w:left="3140" w:header="708" w:footer="708"/>
          <w:pgNumType w:start="67"/>
          <w:cols w:space="708"/>
        </w:sectPr>
      </w:pPr>
    </w:p>
    <w:p>
      <w:pPr>
        <w:pStyle w:val="BodyText"/>
        <w:spacing w:before="161" w:line="331" w:lineRule="auto"/>
        <w:ind w:left="170" w:right="38" w:firstLine="934"/>
      </w:pPr>
      <w:r>
        <w:t>畸形、骨擦音和反常活动是骨折的三大特殊症状才可诊断为骨折</w:t>
      </w:r>
    </w:p>
    <w:p>
      <w:pPr>
        <w:pStyle w:val="BodyText"/>
        <w:spacing w:before="159" w:line="415" w:lineRule="auto"/>
        <w:ind w:left="1105" w:right="258"/>
      </w:pPr>
      <w:r>
        <w:rPr>
          <w:rFonts w:ascii="Arial" w:eastAsia="Arial"/>
        </w:rPr>
        <w:t>48</w:t>
      </w:r>
      <w:r>
        <w:t>、关于桡骨头骨折</w:t>
      </w:r>
      <w:r>
        <w:rPr>
          <w:rFonts w:ascii="宋体" w:eastAsia="宋体" w:hint="eastAsia"/>
          <w:position w:val="6"/>
          <w:sz w:val="42"/>
        </w:rPr>
        <w:t>，</w:t>
      </w:r>
      <w:r>
        <w:t>说法正确的是</w:t>
      </w:r>
      <w:r>
        <w:rPr>
          <w:rFonts w:ascii="宋体" w:eastAsia="宋体" w:hint="eastAsia"/>
        </w:rPr>
        <w:t>（</w:t>
      </w:r>
      <w:r>
        <w:rPr>
          <w:rFonts w:ascii="Arial" w:eastAsia="Arial"/>
        </w:rPr>
        <w:t>A</w:t>
      </w:r>
      <w:r>
        <w:rPr>
          <w:rFonts w:ascii="宋体" w:eastAsia="宋体" w:hint="eastAsia"/>
        </w:rPr>
        <w:t>）</w:t>
      </w:r>
      <w:r>
        <w:rPr>
          <w:rFonts w:ascii="宋体" w:eastAsia="宋体" w:hint="eastAsia"/>
          <w:position w:val="8"/>
          <w:sz w:val="44"/>
        </w:rPr>
        <w:t>。</w:t>
      </w:r>
      <w:r>
        <w:t xml:space="preserve">桡骨头倾斜 </w:t>
      </w:r>
      <w:r>
        <w:rPr>
          <w:rFonts w:ascii="Arial" w:eastAsia="Arial"/>
        </w:rPr>
        <w:t xml:space="preserve">30~60 </w:t>
      </w:r>
      <w:r>
        <w:t>度者</w:t>
      </w:r>
      <w:r>
        <w:rPr>
          <w:rFonts w:ascii="宋体" w:eastAsia="宋体" w:hint="eastAsia"/>
          <w:position w:val="6"/>
          <w:sz w:val="42"/>
        </w:rPr>
        <w:t>，</w:t>
      </w:r>
      <w:r>
        <w:t>可手法复位</w:t>
      </w:r>
    </w:p>
    <w:p>
      <w:pPr>
        <w:pStyle w:val="BodyText"/>
        <w:spacing w:line="432" w:lineRule="auto"/>
        <w:ind w:left="1105" w:right="1272"/>
      </w:pPr>
      <w:r>
        <w:rPr>
          <w:spacing w:val="-13"/>
        </w:rPr>
        <w:t xml:space="preserve">桡骨头倾斜 </w:t>
      </w:r>
      <w:r>
        <w:rPr>
          <w:rFonts w:ascii="Arial" w:eastAsia="Arial"/>
        </w:rPr>
        <w:t xml:space="preserve">30~60 </w:t>
      </w:r>
      <w:r>
        <w:t>度者</w:t>
      </w:r>
      <w:r>
        <w:rPr>
          <w:rFonts w:ascii="宋体" w:eastAsia="宋体" w:hint="eastAsia"/>
          <w:spacing w:val="-3"/>
          <w:position w:val="6"/>
          <w:sz w:val="42"/>
        </w:rPr>
        <w:t>，</w:t>
      </w:r>
      <w:r>
        <w:rPr>
          <w:spacing w:val="-3"/>
        </w:rPr>
        <w:t>必须切开复位</w:t>
      </w:r>
      <w:r>
        <w:t>桡骨头骨折又被称为前臂骨折</w:t>
      </w:r>
    </w:p>
    <w:p>
      <w:pPr>
        <w:pStyle w:val="BodyText"/>
        <w:spacing w:before="31"/>
        <w:ind w:left="170"/>
      </w:pPr>
      <w:r>
        <w:br w:type="column"/>
      </w:r>
      <w:r>
        <w:rPr>
          <w:rFonts w:ascii="宋体" w:eastAsia="宋体" w:hint="eastAsia"/>
          <w:position w:val="6"/>
          <w:sz w:val="42"/>
        </w:rPr>
        <w:t>，</w:t>
      </w:r>
      <w:r>
        <w:t>一般来说只有这三种症状同时出现</w:t>
      </w:r>
    </w:p>
    <w:p>
      <w:pPr>
        <w:spacing w:after="0"/>
        <w:sectPr>
          <w:type w:val="continuous"/>
          <w:pgSz w:w="22370" w:h="31660"/>
          <w:pgMar w:top="2480" w:right="3000" w:bottom="280" w:left="3140" w:header="708" w:footer="708"/>
          <w:pgNumType w:start="68"/>
          <w:cols w:num="2" w:space="708" w:equalWidth="0">
            <w:col w:w="8517" w:space="596"/>
            <w:col w:w="7117" w:space="0"/>
          </w:cols>
        </w:sectPr>
      </w:pPr>
    </w:p>
    <w:p>
      <w:pPr>
        <w:pStyle w:val="BodyText"/>
        <w:spacing w:before="68"/>
        <w:ind w:left="1105"/>
      </w:pPr>
      <w:r>
        <w:t>桡骨头骨折常见并发症为骨折畸形愈合、前臂旋转功能障碍、感染</w:t>
      </w:r>
    </w:p>
    <w:p>
      <w:pPr>
        <w:pStyle w:val="BodyText"/>
        <w:spacing w:before="8"/>
        <w:rPr>
          <w:sz w:val="28"/>
        </w:rPr>
      </w:pPr>
    </w:p>
    <w:p>
      <w:pPr>
        <w:pStyle w:val="BodyText"/>
        <w:tabs>
          <w:tab w:val="left" w:pos="8210"/>
        </w:tabs>
        <w:ind w:left="1105"/>
      </w:pPr>
      <w:r>
        <w:rPr>
          <w:rFonts w:ascii="Arial" w:eastAsia="Arial"/>
        </w:rPr>
        <w:t>49</w:t>
      </w:r>
      <w:r>
        <w:t>、</w:t>
      </w:r>
      <w:r>
        <w:rPr>
          <w:spacing w:val="7"/>
        </w:rPr>
        <w:t xml:space="preserve"> </w:t>
      </w:r>
      <w:r>
        <w:t>下列关于跟腱断裂的说法不正确的是</w:t>
        <w:tab/>
      </w:r>
      <w:r>
        <w:rPr>
          <w:rFonts w:ascii="宋体" w:eastAsia="宋体" w:hint="eastAsia"/>
          <w:position w:val="6"/>
          <w:sz w:val="42"/>
        </w:rPr>
        <w:t>（</w:t>
      </w:r>
      <w:r>
        <w:rPr>
          <w:rFonts w:ascii="Arial" w:eastAsia="Arial"/>
        </w:rPr>
        <w:t>B</w:t>
      </w:r>
      <w:r>
        <w:rPr>
          <w:rFonts w:ascii="宋体" w:eastAsia="宋体" w:hint="eastAsia"/>
        </w:rPr>
        <w:t>）</w:t>
      </w:r>
      <w:r>
        <w:t>。</w:t>
      </w:r>
    </w:p>
    <w:p>
      <w:pPr>
        <w:pStyle w:val="BodyText"/>
        <w:spacing w:before="411" w:line="432" w:lineRule="auto"/>
        <w:ind w:left="1105" w:right="5922"/>
      </w:pPr>
      <w:r>
        <w:t>与其它类型的肌腱断裂相比</w:t>
      </w:r>
      <w:r>
        <w:rPr>
          <w:rFonts w:ascii="宋体" w:eastAsia="宋体" w:hint="eastAsia"/>
          <w:position w:val="6"/>
          <w:sz w:val="42"/>
        </w:rPr>
        <w:t>，</w:t>
      </w:r>
      <w:r>
        <w:t>跟腱断裂主要发生于年轻人中皮质激素的使用是引起跟腱断裂的常见因素</w:t>
      </w:r>
    </w:p>
    <w:p>
      <w:pPr>
        <w:pStyle w:val="BodyText"/>
        <w:spacing w:before="71" w:line="468" w:lineRule="auto"/>
        <w:ind w:left="1105" w:right="8450"/>
      </w:pPr>
      <w:r>
        <w:t>跟腱断裂的临床表现是行走困难及推进无力跟腱断裂查体最初表现为跟腱后方凹陷</w:t>
      </w:r>
    </w:p>
    <w:p>
      <w:pPr>
        <w:pStyle w:val="BodyText"/>
        <w:tabs>
          <w:tab w:val="left" w:pos="6221"/>
        </w:tabs>
        <w:spacing w:line="524" w:lineRule="exact"/>
        <w:ind w:left="1105"/>
        <w:rPr>
          <w:rFonts w:ascii="宋体" w:eastAsia="宋体" w:hint="eastAsia"/>
        </w:rPr>
      </w:pPr>
      <w:r>
        <w:rPr>
          <w:rFonts w:ascii="Arial" w:eastAsia="Arial"/>
        </w:rPr>
        <w:t>50</w:t>
      </w:r>
      <w:r>
        <w:t>、</w:t>
      </w:r>
      <w:r>
        <w:rPr>
          <w:spacing w:val="5"/>
        </w:rPr>
        <w:t xml:space="preserve"> </w:t>
      </w:r>
      <w:r>
        <w:t>按损伤发生的时间和类型</w:t>
        <w:tab/>
      </w:r>
      <w:r>
        <w:rPr>
          <w:rFonts w:ascii="宋体" w:eastAsia="宋体" w:hint="eastAsia"/>
          <w:position w:val="6"/>
          <w:sz w:val="42"/>
        </w:rPr>
        <w:t>，</w:t>
      </w:r>
      <w:r>
        <w:t>可将脑损伤划分</w:t>
      </w:r>
      <w:r>
        <w:rPr>
          <w:spacing w:val="3"/>
        </w:rPr>
        <w:t>为</w:t>
      </w:r>
      <w:r>
        <w:rPr>
          <w:rFonts w:ascii="宋体" w:eastAsia="宋体" w:hint="eastAsia"/>
          <w:position w:val="6"/>
          <w:sz w:val="42"/>
        </w:rPr>
        <w:t>（</w:t>
      </w:r>
      <w:r>
        <w:rPr>
          <w:rFonts w:ascii="Arial" w:eastAsia="Arial"/>
        </w:rPr>
        <w:t>A</w:t>
      </w:r>
      <w:r>
        <w:rPr>
          <w:rFonts w:ascii="宋体" w:eastAsia="宋体" w:hint="eastAsia"/>
        </w:rPr>
        <w:t>）</w:t>
      </w:r>
    </w:p>
    <w:p>
      <w:pPr>
        <w:pStyle w:val="BodyText"/>
        <w:spacing w:before="3"/>
        <w:rPr>
          <w:rFonts w:ascii="宋体"/>
        </w:rPr>
      </w:pPr>
    </w:p>
    <w:p>
      <w:pPr>
        <w:pStyle w:val="BodyText"/>
        <w:spacing w:line="470" w:lineRule="auto"/>
        <w:ind w:left="1105" w:right="9854"/>
        <w:jc w:val="both"/>
      </w:pPr>
      <w:r>
        <w:t>原发性颅脑损伤和继发性颅脑损伤闭合性颅脑损伤和开放性颅脑损伤原发性脑干损伤和继发性脑干损伤轻、中、重、特重四型脑损伤</w:t>
      </w:r>
    </w:p>
    <w:p>
      <w:pPr>
        <w:pStyle w:val="BodyText"/>
        <w:tabs>
          <w:tab w:val="left" w:pos="8991"/>
        </w:tabs>
        <w:spacing w:line="513" w:lineRule="exact"/>
        <w:ind w:left="1105"/>
        <w:rPr>
          <w:rFonts w:ascii="宋体" w:eastAsia="宋体" w:hint="eastAsia"/>
          <w:sz w:val="44"/>
        </w:rPr>
      </w:pPr>
      <w:r>
        <w:rPr>
          <w:rFonts w:ascii="Arial" w:eastAsia="Arial"/>
        </w:rPr>
        <w:t>51</w:t>
      </w:r>
      <w:r>
        <w:t>、</w:t>
      </w:r>
      <w:r>
        <w:rPr>
          <w:spacing w:val="7"/>
        </w:rPr>
        <w:t xml:space="preserve"> </w:t>
      </w:r>
      <w:r>
        <w:t>下列关于原发性脑干损伤说法不正确的是</w:t>
        <w:tab/>
      </w:r>
      <w:r>
        <w:rPr>
          <w:rFonts w:ascii="宋体" w:eastAsia="宋体" w:hint="eastAsia"/>
          <w:position w:val="6"/>
          <w:sz w:val="42"/>
        </w:rPr>
        <w:t>（</w:t>
      </w:r>
      <w:r>
        <w:rPr>
          <w:rFonts w:ascii="Arial" w:eastAsia="Arial"/>
        </w:rPr>
        <w:t>C</w:t>
      </w:r>
      <w:r>
        <w:rPr>
          <w:rFonts w:ascii="宋体" w:eastAsia="宋体" w:hint="eastAsia"/>
        </w:rPr>
        <w:t>）</w:t>
      </w:r>
      <w:r>
        <w:rPr>
          <w:rFonts w:ascii="宋体" w:eastAsia="宋体" w:hint="eastAsia"/>
          <w:position w:val="8"/>
          <w:sz w:val="44"/>
        </w:rPr>
        <w:t>。</w:t>
      </w:r>
    </w:p>
    <w:p>
      <w:pPr>
        <w:spacing w:after="0" w:line="513" w:lineRule="exact"/>
        <w:rPr>
          <w:rFonts w:ascii="宋体" w:eastAsia="宋体" w:hint="eastAsia"/>
          <w:sz w:val="44"/>
        </w:rPr>
        <w:sectPr>
          <w:type w:val="continuous"/>
          <w:pgSz w:w="22370" w:h="31660"/>
          <w:pgMar w:top="2480" w:right="3000" w:bottom="280" w:left="3140" w:header="708" w:footer="708"/>
          <w:pgNumType w:start="69"/>
          <w:cols w:space="708"/>
        </w:sectPr>
      </w:pPr>
    </w:p>
    <w:p>
      <w:pPr>
        <w:pStyle w:val="BodyText"/>
        <w:spacing w:before="21"/>
        <w:ind w:left="1150"/>
      </w:pPr>
      <w:r>
        <w:t xml:space="preserve">其临床表现为受伤当时立即昏迷 </w:t>
      </w:r>
      <w:r>
        <w:rPr>
          <w:rFonts w:ascii="宋体" w:eastAsia="宋体" w:hint="eastAsia"/>
          <w:position w:val="6"/>
          <w:sz w:val="42"/>
        </w:rPr>
        <w:t>，</w:t>
      </w:r>
      <w:r>
        <w:t>昏迷程度较深</w:t>
      </w:r>
      <w:r>
        <w:rPr>
          <w:rFonts w:ascii="宋体" w:eastAsia="宋体" w:hint="eastAsia"/>
          <w:position w:val="6"/>
          <w:sz w:val="42"/>
        </w:rPr>
        <w:t>，</w:t>
      </w:r>
      <w:r>
        <w:t>持续时间较长</w:t>
      </w:r>
    </w:p>
    <w:p>
      <w:pPr>
        <w:pStyle w:val="BodyText"/>
        <w:tabs>
          <w:tab w:val="left" w:pos="8252"/>
        </w:tabs>
        <w:spacing w:before="103" w:line="432" w:lineRule="auto"/>
        <w:ind w:left="1097" w:right="2637"/>
      </w:pPr>
      <w:r>
        <w:rPr>
          <w:rFonts w:ascii="Century Gothic" w:eastAsia="Century Gothic"/>
        </w:rPr>
        <w:t>MRI</w:t>
      </w:r>
      <w:r>
        <w:rPr>
          <w:rFonts w:ascii="Century Gothic" w:eastAsia="Century Gothic"/>
          <w:spacing w:val="-10"/>
        </w:rPr>
        <w:t xml:space="preserve"> </w:t>
      </w:r>
      <w:r>
        <w:t>检查是诊断脑干损伤最为理想的方法</w:t>
        <w:tab/>
      </w:r>
      <w:r>
        <w:rPr>
          <w:rFonts w:ascii="宋体" w:eastAsia="宋体" w:hint="eastAsia"/>
          <w:position w:val="6"/>
          <w:sz w:val="42"/>
        </w:rPr>
        <w:t>，</w:t>
      </w:r>
      <w:r>
        <w:t>特别适用于早期病情危重的患</w:t>
      </w:r>
      <w:r>
        <w:rPr>
          <w:spacing w:val="-18"/>
        </w:rPr>
        <w:t>者</w:t>
      </w:r>
      <w:r>
        <w:t>轻度脑干损伤可按照脑挫裂伤处理原则进行处理</w:t>
      </w:r>
    </w:p>
    <w:p>
      <w:pPr>
        <w:pStyle w:val="BodyText"/>
        <w:spacing w:line="483" w:lineRule="exact"/>
        <w:ind w:left="1119"/>
      </w:pPr>
      <w:r>
        <w:rPr>
          <w:rFonts w:ascii="Century Gothic" w:eastAsia="Century Gothic"/>
        </w:rPr>
        <w:t>52</w:t>
      </w:r>
      <w:r>
        <w:t>、 血胸的临床表现与出血量、 速度和个人体质有关</w:t>
      </w:r>
      <w:r>
        <w:rPr>
          <w:rFonts w:ascii="宋体" w:eastAsia="宋体" w:hint="eastAsia"/>
          <w:position w:val="6"/>
          <w:sz w:val="42"/>
        </w:rPr>
        <w:t>，</w:t>
      </w:r>
      <w:r>
        <w:t>一般而言</w:t>
      </w:r>
      <w:r>
        <w:rPr>
          <w:rFonts w:ascii="宋体" w:eastAsia="宋体" w:hint="eastAsia"/>
          <w:position w:val="6"/>
          <w:sz w:val="42"/>
        </w:rPr>
        <w:t>，</w:t>
      </w:r>
      <w:r>
        <w:t>中量血胸是指出血量为</w:t>
      </w:r>
    </w:p>
    <w:p>
      <w:pPr>
        <w:pStyle w:val="ListParagraph"/>
        <w:numPr>
          <w:ilvl w:val="0"/>
          <w:numId w:val="2"/>
        </w:numPr>
        <w:tabs>
          <w:tab w:val="left" w:pos="674"/>
        </w:tabs>
        <w:spacing w:before="156" w:after="0" w:line="240" w:lineRule="auto"/>
        <w:ind w:left="673" w:right="0" w:hanging="490"/>
        <w:jc w:val="left"/>
        <w:rPr>
          <w:sz w:val="35"/>
        </w:rPr>
      </w:pPr>
      <w:r>
        <w:rPr>
          <w:spacing w:val="-22"/>
          <w:sz w:val="35"/>
        </w:rPr>
        <w:t xml:space="preserve">。小于 </w:t>
      </w:r>
      <w:r>
        <w:rPr>
          <w:rFonts w:ascii="Century Gothic" w:eastAsia="Century Gothic"/>
          <w:sz w:val="35"/>
        </w:rPr>
        <w:t>500</w:t>
      </w:r>
      <w:r>
        <w:rPr>
          <w:rFonts w:ascii="Century Gothic" w:eastAsia="Century Gothic"/>
          <w:spacing w:val="-20"/>
          <w:sz w:val="35"/>
        </w:rPr>
        <w:t xml:space="preserve"> </w:t>
      </w:r>
      <w:r>
        <w:rPr>
          <w:sz w:val="35"/>
        </w:rPr>
        <w:t>毫升</w:t>
      </w:r>
    </w:p>
    <w:p>
      <w:pPr>
        <w:pStyle w:val="BodyText"/>
        <w:spacing w:before="6"/>
        <w:rPr>
          <w:sz w:val="33"/>
        </w:rPr>
      </w:pPr>
    </w:p>
    <w:p>
      <w:pPr>
        <w:pStyle w:val="BodyText"/>
        <w:spacing w:before="1"/>
        <w:ind w:left="1097"/>
      </w:pPr>
      <w:r>
        <w:t xml:space="preserve">小于 </w:t>
      </w:r>
      <w:r>
        <w:rPr>
          <w:rFonts w:ascii="Century Gothic" w:eastAsia="Century Gothic"/>
        </w:rPr>
        <w:t xml:space="preserve">1000 </w:t>
      </w:r>
      <w:r>
        <w:t>毫升</w:t>
      </w:r>
    </w:p>
    <w:p>
      <w:pPr>
        <w:pStyle w:val="BodyText"/>
        <w:spacing w:before="9"/>
      </w:pPr>
    </w:p>
    <w:p>
      <w:pPr>
        <w:pStyle w:val="BodyText"/>
        <w:spacing w:before="1"/>
        <w:ind w:left="1097"/>
      </w:pPr>
      <w:r>
        <w:rPr>
          <w:rFonts w:ascii="Century Gothic" w:eastAsia="Century Gothic"/>
        </w:rPr>
        <w:t xml:space="preserve">500 </w:t>
      </w:r>
      <w:r>
        <w:t>毫升</w:t>
      </w:r>
      <w:r>
        <w:rPr>
          <w:rFonts w:ascii="Century Gothic" w:eastAsia="Century Gothic"/>
        </w:rPr>
        <w:t xml:space="preserve">~1000 </w:t>
      </w:r>
      <w:r>
        <w:t>毫升</w:t>
      </w:r>
    </w:p>
    <w:p>
      <w:pPr>
        <w:pStyle w:val="BodyText"/>
        <w:rPr>
          <w:sz w:val="20"/>
        </w:rPr>
      </w:pPr>
    </w:p>
    <w:p>
      <w:pPr>
        <w:spacing w:after="0"/>
        <w:rPr>
          <w:sz w:val="20"/>
        </w:rPr>
        <w:sectPr>
          <w:pgSz w:w="22370" w:h="31660"/>
          <w:pgMar w:top="2500" w:right="3000" w:bottom="280" w:left="3140" w:header="708" w:footer="708"/>
          <w:pgNumType w:start="70"/>
          <w:cols w:space="708"/>
        </w:sectPr>
      </w:pPr>
    </w:p>
    <w:p>
      <w:pPr>
        <w:pStyle w:val="BodyText"/>
        <w:spacing w:before="217"/>
        <w:ind w:left="1097"/>
      </w:pPr>
      <w:r>
        <w:rPr>
          <w:rFonts w:ascii="Century Gothic" w:eastAsia="Century Gothic"/>
        </w:rPr>
        <w:t xml:space="preserve">1000 </w:t>
      </w:r>
      <w:r>
        <w:t>毫升以上</w:t>
      </w:r>
    </w:p>
    <w:p>
      <w:pPr>
        <w:pStyle w:val="BodyText"/>
        <w:spacing w:before="297"/>
        <w:ind w:left="1097"/>
      </w:pPr>
      <w:r>
        <w:rPr>
          <w:rFonts w:ascii="Century Gothic" w:eastAsia="Century Gothic"/>
        </w:rPr>
        <w:t>53</w:t>
      </w:r>
      <w:r>
        <w:t>、 在人身保险中</w:t>
      </w:r>
      <w:r>
        <w:rPr>
          <w:rFonts w:ascii="宋体" w:eastAsia="宋体" w:hint="eastAsia"/>
          <w:position w:val="6"/>
          <w:sz w:val="42"/>
        </w:rPr>
        <w:t>，</w:t>
      </w:r>
      <w:r>
        <w:t>一般规定法医学鉴定时机是受伤之日起</w:t>
      </w:r>
    </w:p>
    <w:p>
      <w:pPr>
        <w:pStyle w:val="BodyText"/>
        <w:spacing w:before="409"/>
        <w:ind w:left="1097"/>
      </w:pPr>
      <w:r>
        <w:rPr>
          <w:rFonts w:ascii="Century Gothic" w:eastAsia="Century Gothic"/>
        </w:rPr>
        <w:t xml:space="preserve">60 </w:t>
      </w:r>
      <w:r>
        <w:t>天</w:t>
      </w:r>
    </w:p>
    <w:p>
      <w:pPr>
        <w:pStyle w:val="BodyText"/>
        <w:spacing w:before="12"/>
        <w:rPr>
          <w:sz w:val="31"/>
        </w:rPr>
      </w:pPr>
    </w:p>
    <w:p>
      <w:pPr>
        <w:pStyle w:val="BodyText"/>
        <w:ind w:left="1097"/>
      </w:pPr>
      <w:r>
        <w:rPr>
          <w:rFonts w:ascii="Century Gothic" w:eastAsia="Century Gothic"/>
        </w:rPr>
        <w:t>180</w:t>
      </w:r>
      <w:r>
        <w:rPr>
          <w:rFonts w:ascii="Century Gothic" w:eastAsia="Century Gothic"/>
          <w:spacing w:val="-16"/>
        </w:rPr>
        <w:t xml:space="preserve"> </w:t>
      </w:r>
      <w:r>
        <w:t>天</w:t>
      </w:r>
    </w:p>
    <w:p>
      <w:pPr>
        <w:pStyle w:val="BodyText"/>
        <w:spacing w:before="11"/>
        <w:rPr>
          <w:sz w:val="31"/>
        </w:rPr>
      </w:pPr>
    </w:p>
    <w:p>
      <w:pPr>
        <w:pStyle w:val="BodyText"/>
        <w:spacing w:before="1"/>
        <w:ind w:left="1097"/>
      </w:pPr>
      <w:r>
        <w:rPr>
          <w:rFonts w:ascii="Century Gothic" w:eastAsia="Century Gothic"/>
        </w:rPr>
        <w:t>270</w:t>
      </w:r>
      <w:r>
        <w:rPr>
          <w:rFonts w:ascii="Century Gothic" w:eastAsia="Century Gothic"/>
          <w:spacing w:val="-16"/>
        </w:rPr>
        <w:t xml:space="preserve"> </w:t>
      </w:r>
      <w:r>
        <w:t>天</w:t>
      </w:r>
    </w:p>
    <w:p>
      <w:pPr>
        <w:pStyle w:val="BodyText"/>
        <w:rPr>
          <w:sz w:val="50"/>
        </w:rPr>
      </w:pPr>
      <w:r>
        <w:br w:type="column"/>
      </w:r>
    </w:p>
    <w:p>
      <w:pPr>
        <w:pStyle w:val="BodyText"/>
        <w:spacing w:before="324"/>
        <w:ind w:left="505"/>
      </w:pPr>
      <w:r>
        <w:rPr>
          <w:rFonts w:ascii="宋体" w:eastAsia="宋体" w:hint="eastAsia"/>
          <w:position w:val="6"/>
          <w:sz w:val="42"/>
        </w:rPr>
        <w:t>(</w:t>
      </w:r>
      <w:r>
        <w:rPr>
          <w:rFonts w:ascii="Century Gothic" w:eastAsia="Century Gothic"/>
        </w:rPr>
        <w:t>B)</w:t>
      </w:r>
      <w:r>
        <w:t>后才能进行评定。</w:t>
      </w:r>
    </w:p>
    <w:p>
      <w:pPr>
        <w:spacing w:after="0"/>
        <w:sectPr>
          <w:type w:val="continuous"/>
          <w:pgSz w:w="22370" w:h="31660"/>
          <w:pgMar w:top="2480" w:right="3000" w:bottom="280" w:left="3140" w:header="708" w:footer="708"/>
          <w:pgNumType w:start="71"/>
          <w:cols w:num="2" w:space="708" w:equalWidth="0">
            <w:col w:w="10510" w:space="40"/>
            <w:col w:w="5680" w:space="0"/>
          </w:cols>
        </w:sectPr>
      </w:pPr>
    </w:p>
    <w:p>
      <w:pPr>
        <w:pStyle w:val="BodyText"/>
        <w:spacing w:before="7"/>
        <w:rPr>
          <w:sz w:val="25"/>
        </w:rPr>
      </w:pPr>
    </w:p>
    <w:p>
      <w:pPr>
        <w:spacing w:after="0"/>
        <w:rPr>
          <w:sz w:val="25"/>
        </w:rPr>
        <w:sectPr>
          <w:type w:val="continuous"/>
          <w:pgSz w:w="22370" w:h="31660"/>
          <w:pgMar w:top="2480" w:right="3000" w:bottom="280" w:left="3140" w:header="708" w:footer="708"/>
          <w:pgNumType w:start="72"/>
          <w:cols w:space="708"/>
        </w:sectPr>
      </w:pPr>
    </w:p>
    <w:p>
      <w:pPr>
        <w:pStyle w:val="BodyText"/>
        <w:spacing w:before="78"/>
        <w:ind w:left="1097"/>
      </w:pPr>
      <w:r>
        <w:rPr>
          <w:rFonts w:ascii="Century Gothic" w:eastAsia="Century Gothic"/>
        </w:rPr>
        <w:t xml:space="preserve">360 </w:t>
      </w:r>
      <w:r>
        <w:t>天</w:t>
      </w:r>
    </w:p>
    <w:p>
      <w:pPr>
        <w:pStyle w:val="BodyText"/>
        <w:spacing w:before="4"/>
        <w:rPr>
          <w:sz w:val="34"/>
        </w:rPr>
      </w:pPr>
    </w:p>
    <w:p>
      <w:pPr>
        <w:pStyle w:val="BodyText"/>
        <w:spacing w:line="304" w:lineRule="auto"/>
        <w:ind w:left="184" w:right="38" w:firstLine="934"/>
      </w:pPr>
      <w:r>
        <w:rPr>
          <w:rFonts w:ascii="Century Gothic" w:eastAsia="Century Gothic"/>
        </w:rPr>
        <w:t>54</w:t>
      </w:r>
      <w:r>
        <w:t>、 人寿保险的被保险人或受益人向保险人请求给付保险金的诉讼时效期间为其知道或应当知道保险事故发生之日计算。</w:t>
      </w:r>
    </w:p>
    <w:p>
      <w:pPr>
        <w:pStyle w:val="BodyText"/>
        <w:spacing w:before="1"/>
        <w:rPr>
          <w:sz w:val="25"/>
        </w:rPr>
      </w:pPr>
    </w:p>
    <w:p>
      <w:pPr>
        <w:pStyle w:val="ListParagraph"/>
        <w:numPr>
          <w:ilvl w:val="0"/>
          <w:numId w:val="1"/>
        </w:numPr>
        <w:tabs>
          <w:tab w:val="left" w:pos="1370"/>
        </w:tabs>
        <w:spacing w:before="1" w:after="0" w:line="240" w:lineRule="auto"/>
        <w:ind w:left="1369" w:right="0" w:hanging="273"/>
        <w:jc w:val="left"/>
        <w:rPr>
          <w:sz w:val="35"/>
        </w:rPr>
      </w:pPr>
      <w:r>
        <w:rPr>
          <w:w w:val="100"/>
          <w:sz w:val="35"/>
        </w:rPr>
        <w:t>年</w:t>
      </w:r>
    </w:p>
    <w:p>
      <w:pPr>
        <w:pStyle w:val="BodyText"/>
        <w:spacing w:before="3"/>
        <w:rPr>
          <w:sz w:val="38"/>
        </w:rPr>
      </w:pPr>
    </w:p>
    <w:p>
      <w:pPr>
        <w:pStyle w:val="ListParagraph"/>
        <w:numPr>
          <w:ilvl w:val="0"/>
          <w:numId w:val="1"/>
        </w:numPr>
        <w:tabs>
          <w:tab w:val="left" w:pos="1370"/>
        </w:tabs>
        <w:spacing w:before="0" w:after="0" w:line="240" w:lineRule="auto"/>
        <w:ind w:left="1369" w:right="0" w:hanging="273"/>
        <w:jc w:val="left"/>
        <w:rPr>
          <w:sz w:val="35"/>
        </w:rPr>
      </w:pPr>
      <w:r>
        <w:rPr>
          <w:w w:val="100"/>
          <w:sz w:val="35"/>
        </w:rPr>
        <w:t>年</w:t>
      </w:r>
    </w:p>
    <w:p>
      <w:pPr>
        <w:pStyle w:val="BodyText"/>
        <w:spacing w:before="6"/>
        <w:rPr>
          <w:sz w:val="38"/>
        </w:rPr>
      </w:pPr>
    </w:p>
    <w:p>
      <w:pPr>
        <w:pStyle w:val="ListParagraph"/>
        <w:numPr>
          <w:ilvl w:val="0"/>
          <w:numId w:val="1"/>
        </w:numPr>
        <w:tabs>
          <w:tab w:val="left" w:pos="1370"/>
        </w:tabs>
        <w:spacing w:before="0" w:after="0" w:line="240" w:lineRule="auto"/>
        <w:ind w:left="1369" w:right="0" w:hanging="273"/>
        <w:jc w:val="left"/>
        <w:rPr>
          <w:sz w:val="35"/>
        </w:rPr>
      </w:pPr>
      <w:r>
        <w:rPr>
          <w:w w:val="100"/>
          <w:sz w:val="35"/>
        </w:rPr>
        <w:t>年</w:t>
      </w:r>
    </w:p>
    <w:p>
      <w:pPr>
        <w:pStyle w:val="BodyText"/>
        <w:spacing w:before="7"/>
        <w:rPr>
          <w:sz w:val="65"/>
        </w:rPr>
      </w:pPr>
      <w:r>
        <w:br w:type="column"/>
      </w:r>
    </w:p>
    <w:p>
      <w:pPr>
        <w:pStyle w:val="ListParagraph"/>
        <w:numPr>
          <w:ilvl w:val="0"/>
          <w:numId w:val="2"/>
        </w:numPr>
        <w:tabs>
          <w:tab w:val="left" w:pos="674"/>
        </w:tabs>
        <w:spacing w:before="1" w:after="0" w:line="240" w:lineRule="auto"/>
        <w:ind w:left="673" w:right="0" w:hanging="490"/>
        <w:jc w:val="left"/>
        <w:rPr>
          <w:sz w:val="35"/>
        </w:rPr>
      </w:pPr>
      <w:r>
        <w:rPr>
          <w:rFonts w:ascii="宋体" w:eastAsia="宋体" w:hint="eastAsia"/>
          <w:position w:val="6"/>
          <w:sz w:val="42"/>
        </w:rPr>
        <w:t>，</w:t>
      </w:r>
      <w:r>
        <w:rPr>
          <w:sz w:val="35"/>
        </w:rPr>
        <w:t>自</w:t>
      </w:r>
    </w:p>
    <w:p>
      <w:pPr>
        <w:spacing w:after="0" w:line="240" w:lineRule="auto"/>
        <w:jc w:val="left"/>
        <w:rPr>
          <w:sz w:val="35"/>
        </w:rPr>
        <w:sectPr>
          <w:type w:val="continuous"/>
          <w:pgSz w:w="22370" w:h="31660"/>
          <w:pgMar w:top="2480" w:right="3000" w:bottom="280" w:left="3140" w:header="708" w:footer="708"/>
          <w:pgNumType w:start="73"/>
          <w:cols w:num="2" w:space="708" w:equalWidth="0">
            <w:col w:w="13309" w:space="1018"/>
            <w:col w:w="1903" w:space="0"/>
          </w:cols>
        </w:sectPr>
      </w:pPr>
    </w:p>
    <w:p>
      <w:pPr>
        <w:pStyle w:val="BodyText"/>
        <w:rPr>
          <w:sz w:val="20"/>
        </w:rPr>
      </w:pPr>
    </w:p>
    <w:p>
      <w:pPr>
        <w:pStyle w:val="ListParagraph"/>
        <w:numPr>
          <w:ilvl w:val="0"/>
          <w:numId w:val="1"/>
        </w:numPr>
        <w:tabs>
          <w:tab w:val="left" w:pos="1370"/>
        </w:tabs>
        <w:spacing w:before="234" w:after="0" w:line="240" w:lineRule="auto"/>
        <w:ind w:left="1369" w:right="0" w:hanging="273"/>
        <w:jc w:val="left"/>
        <w:rPr>
          <w:sz w:val="35"/>
        </w:rPr>
      </w:pPr>
      <w:r>
        <w:rPr>
          <w:w w:val="100"/>
          <w:sz w:val="35"/>
        </w:rPr>
        <w:t>年</w:t>
      </w:r>
    </w:p>
    <w:p>
      <w:pPr>
        <w:pStyle w:val="BodyText"/>
        <w:spacing w:before="301" w:line="316" w:lineRule="auto"/>
        <w:ind w:left="184" w:right="808" w:firstLine="934"/>
      </w:pPr>
      <w:r>
        <w:rPr>
          <w:rFonts w:ascii="Century Gothic" w:eastAsia="Century Gothic"/>
        </w:rPr>
        <w:t>55</w:t>
      </w:r>
      <w:r>
        <w:t>、 《保险法》第十六条规定</w:t>
      </w:r>
      <w:r>
        <w:rPr>
          <w:rFonts w:ascii="宋体" w:eastAsia="宋体" w:hint="eastAsia"/>
          <w:position w:val="6"/>
          <w:sz w:val="42"/>
        </w:rPr>
        <w:t>，</w:t>
      </w:r>
      <w:r>
        <w:t>合同解除权</w:t>
      </w:r>
      <w:r>
        <w:rPr>
          <w:rFonts w:ascii="宋体" w:eastAsia="宋体" w:hint="eastAsia"/>
          <w:position w:val="6"/>
          <w:sz w:val="42"/>
        </w:rPr>
        <w:t>，</w:t>
      </w:r>
      <w:r>
        <w:t>自保险人知道解除事由之日起</w:t>
      </w:r>
      <w:r>
        <w:rPr>
          <w:rFonts w:ascii="宋体" w:eastAsia="宋体" w:hint="eastAsia"/>
          <w:position w:val="6"/>
          <w:sz w:val="42"/>
        </w:rPr>
        <w:t>，</w:t>
      </w:r>
      <w:r>
        <w:t>超过</w:t>
      </w:r>
      <w:r>
        <w:rPr>
          <w:rFonts w:ascii="Century Gothic" w:eastAsia="Century Gothic"/>
        </w:rPr>
        <w:t>(C)</w:t>
      </w:r>
      <w:r>
        <w:t>不行使而消灭。</w:t>
      </w:r>
    </w:p>
    <w:p>
      <w:pPr>
        <w:pStyle w:val="BodyText"/>
        <w:spacing w:before="2"/>
        <w:rPr>
          <w:sz w:val="24"/>
        </w:rPr>
      </w:pPr>
    </w:p>
    <w:p>
      <w:pPr>
        <w:pStyle w:val="BodyText"/>
        <w:ind w:left="1097"/>
      </w:pPr>
      <w:r>
        <w:rPr>
          <w:rFonts w:ascii="Century Gothic" w:eastAsia="Century Gothic"/>
        </w:rPr>
        <w:t>5</w:t>
      </w:r>
      <w:r>
        <w:rPr>
          <w:rFonts w:ascii="Century Gothic" w:eastAsia="Century Gothic"/>
          <w:spacing w:val="-18"/>
        </w:rPr>
        <w:t xml:space="preserve"> </w:t>
      </w:r>
      <w:r>
        <w:t>日</w:t>
      </w:r>
    </w:p>
    <w:p>
      <w:pPr>
        <w:pStyle w:val="BodyText"/>
        <w:spacing w:before="3"/>
        <w:rPr>
          <w:sz w:val="38"/>
        </w:rPr>
      </w:pPr>
    </w:p>
    <w:p>
      <w:pPr>
        <w:pStyle w:val="BodyText"/>
        <w:ind w:left="1097"/>
      </w:pPr>
      <w:r>
        <w:rPr>
          <w:rFonts w:ascii="Century Gothic" w:eastAsia="Century Gothic"/>
        </w:rPr>
        <w:t>7</w:t>
      </w:r>
      <w:r>
        <w:rPr>
          <w:rFonts w:ascii="Century Gothic" w:eastAsia="Century Gothic"/>
          <w:spacing w:val="-18"/>
        </w:rPr>
        <w:t xml:space="preserve"> </w:t>
      </w:r>
      <w:r>
        <w:t>日</w:t>
      </w:r>
    </w:p>
    <w:p>
      <w:pPr>
        <w:pStyle w:val="BodyText"/>
        <w:spacing w:before="6"/>
        <w:rPr>
          <w:sz w:val="33"/>
        </w:rPr>
      </w:pPr>
    </w:p>
    <w:p>
      <w:pPr>
        <w:pStyle w:val="BodyText"/>
        <w:ind w:left="1097"/>
      </w:pPr>
      <w:r>
        <w:rPr>
          <w:rFonts w:ascii="Century Gothic" w:eastAsia="Century Gothic"/>
        </w:rPr>
        <w:t xml:space="preserve">30 </w:t>
      </w:r>
      <w:r>
        <w:t>日</w:t>
      </w:r>
    </w:p>
    <w:p>
      <w:pPr>
        <w:pStyle w:val="BodyText"/>
        <w:spacing w:before="10"/>
        <w:rPr>
          <w:sz w:val="25"/>
        </w:rPr>
      </w:pPr>
    </w:p>
    <w:p>
      <w:pPr>
        <w:spacing w:after="0"/>
        <w:rPr>
          <w:sz w:val="25"/>
        </w:rPr>
        <w:sectPr>
          <w:type w:val="continuous"/>
          <w:pgSz w:w="22370" w:h="31660"/>
          <w:pgMar w:top="2480" w:right="3000" w:bottom="280" w:left="3140" w:header="708" w:footer="708"/>
          <w:pgNumType w:start="74"/>
          <w:cols w:space="708"/>
        </w:sectPr>
      </w:pPr>
    </w:p>
    <w:p>
      <w:pPr>
        <w:pStyle w:val="BodyText"/>
        <w:spacing w:before="78"/>
        <w:ind w:left="1097"/>
      </w:pPr>
      <w:r>
        <w:rPr>
          <w:rFonts w:ascii="Century Gothic" w:eastAsia="Century Gothic"/>
        </w:rPr>
        <w:t xml:space="preserve">60 </w:t>
      </w:r>
      <w:r>
        <w:t>日</w:t>
      </w:r>
    </w:p>
    <w:p>
      <w:pPr>
        <w:pStyle w:val="BodyText"/>
        <w:spacing w:before="11"/>
        <w:rPr>
          <w:sz w:val="31"/>
        </w:rPr>
      </w:pPr>
    </w:p>
    <w:p>
      <w:pPr>
        <w:pStyle w:val="BodyText"/>
        <w:spacing w:before="1" w:line="470" w:lineRule="auto"/>
        <w:ind w:left="1097"/>
      </w:pPr>
      <w:r>
        <w:rPr>
          <w:rFonts w:ascii="Century Gothic" w:eastAsia="Century Gothic"/>
        </w:rPr>
        <w:t>56</w:t>
      </w:r>
      <w:r>
        <w:t>、 民法和现代保险法的基本原则保险利益原则</w:t>
      </w:r>
    </w:p>
    <w:p>
      <w:pPr>
        <w:pStyle w:val="BodyText"/>
        <w:spacing w:line="427" w:lineRule="exact"/>
        <w:ind w:left="1097"/>
      </w:pPr>
      <w:r>
        <w:t>近因原则</w:t>
      </w:r>
    </w:p>
    <w:p>
      <w:pPr>
        <w:pStyle w:val="BodyText"/>
        <w:rPr>
          <w:sz w:val="32"/>
        </w:rPr>
      </w:pPr>
    </w:p>
    <w:p>
      <w:pPr>
        <w:pStyle w:val="BodyText"/>
        <w:spacing w:line="460" w:lineRule="auto"/>
        <w:ind w:left="1097" w:right="3372"/>
      </w:pPr>
      <w:r>
        <w:t>最大诚信原则损失补偿原则</w:t>
      </w:r>
    </w:p>
    <w:p>
      <w:pPr>
        <w:pStyle w:val="BodyText"/>
        <w:spacing w:before="2"/>
        <w:rPr>
          <w:sz w:val="63"/>
        </w:rPr>
      </w:pPr>
      <w:r>
        <w:br w:type="column"/>
      </w:r>
    </w:p>
    <w:p>
      <w:pPr>
        <w:pStyle w:val="BodyText"/>
        <w:ind w:left="370"/>
      </w:pPr>
      <w:r>
        <w:rPr>
          <w:rFonts w:ascii="宋体" w:eastAsia="宋体" w:hAnsi="宋体" w:hint="eastAsia"/>
          <w:position w:val="6"/>
          <w:sz w:val="42"/>
        </w:rPr>
        <w:t>，</w:t>
      </w:r>
      <w:r>
        <w:t>被尊称为 帝王条款”的是</w:t>
      </w:r>
      <w:r>
        <w:rPr>
          <w:rFonts w:ascii="Century Gothic" w:eastAsia="Century Gothic" w:hAnsi="Century Gothic"/>
        </w:rPr>
        <w:t>(C)</w:t>
      </w:r>
      <w:r>
        <w:t>。</w:t>
      </w:r>
    </w:p>
    <w:p>
      <w:pPr>
        <w:spacing w:after="0"/>
        <w:sectPr>
          <w:type w:val="continuous"/>
          <w:pgSz w:w="22370" w:h="31660"/>
          <w:pgMar w:top="2480" w:right="3000" w:bottom="280" w:left="3140" w:header="708" w:footer="708"/>
          <w:pgNumType w:start="75"/>
          <w:cols w:num="2" w:space="708" w:equalWidth="0">
            <w:col w:w="6579" w:space="40"/>
            <w:col w:w="9611" w:space="0"/>
          </w:cols>
        </w:sectPr>
      </w:pPr>
    </w:p>
    <w:p>
      <w:pPr>
        <w:pStyle w:val="BodyText"/>
        <w:spacing w:before="21"/>
        <w:ind w:left="1150"/>
      </w:pPr>
      <w:r>
        <w:t xml:space="preserve">其临床表现为受伤当时立即昏迷 </w:t>
      </w:r>
      <w:r>
        <w:rPr>
          <w:rFonts w:ascii="宋体" w:eastAsia="宋体" w:hint="eastAsia"/>
          <w:position w:val="6"/>
          <w:sz w:val="42"/>
        </w:rPr>
        <w:t>，</w:t>
      </w:r>
      <w:r>
        <w:t>昏迷程度较深</w:t>
      </w:r>
      <w:r>
        <w:rPr>
          <w:rFonts w:ascii="宋体" w:eastAsia="宋体" w:hint="eastAsia"/>
          <w:position w:val="6"/>
          <w:sz w:val="42"/>
        </w:rPr>
        <w:t>，</w:t>
      </w:r>
      <w:r>
        <w:t>持续时间较长</w:t>
      </w:r>
    </w:p>
    <w:p>
      <w:pPr>
        <w:pStyle w:val="BodyText"/>
        <w:spacing w:before="103"/>
        <w:ind w:left="1097"/>
      </w:pPr>
      <w:r>
        <w:rPr>
          <w:rFonts w:ascii="Arial" w:eastAsia="Arial"/>
        </w:rPr>
        <w:t>57</w:t>
      </w:r>
      <w:r>
        <w:t>、 下列选项中</w:t>
      </w:r>
      <w:r>
        <w:rPr>
          <w:rFonts w:ascii="宋体" w:eastAsia="宋体" w:hint="eastAsia"/>
          <w:position w:val="6"/>
          <w:sz w:val="42"/>
        </w:rPr>
        <w:t>，</w:t>
      </w:r>
      <w:r>
        <w:t xml:space="preserve">不属于保险合同主体的是 </w:t>
      </w:r>
      <w:r>
        <w:rPr>
          <w:rFonts w:ascii="宋体" w:eastAsia="宋体" w:hint="eastAsia"/>
          <w:position w:val="6"/>
          <w:sz w:val="42"/>
        </w:rPr>
        <w:t>(</w:t>
      </w:r>
      <w:r>
        <w:rPr>
          <w:rFonts w:ascii="Arial" w:eastAsia="Arial"/>
        </w:rPr>
        <w:t>D)</w:t>
      </w:r>
      <w:r>
        <w:t>。</w:t>
      </w:r>
    </w:p>
    <w:p>
      <w:pPr>
        <w:spacing w:after="0"/>
        <w:sectPr>
          <w:pgSz w:w="22370" w:h="31660"/>
          <w:pgMar w:top="2500" w:right="3000" w:bottom="280" w:left="3140" w:header="708" w:footer="708"/>
          <w:pgNumType w:start="76"/>
          <w:cols w:space="708"/>
        </w:sectPr>
      </w:pPr>
    </w:p>
    <w:p>
      <w:pPr>
        <w:pStyle w:val="BodyText"/>
        <w:spacing w:before="22" w:line="465" w:lineRule="auto"/>
        <w:ind w:left="1029" w:right="12737"/>
        <w:jc w:val="both"/>
      </w:pPr>
      <w:r>
        <w:t>保险合同当事人保险合同关系人保险合同辅助人</w:t>
      </w:r>
    </w:p>
    <w:p>
      <w:pPr>
        <w:spacing w:after="0" w:line="465" w:lineRule="auto"/>
        <w:jc w:val="both"/>
        <w:sectPr>
          <w:pgSz w:w="22370" w:h="31660"/>
          <w:pgMar w:top="2340" w:right="3000" w:bottom="280" w:left="3140" w:header="708" w:footer="708"/>
          <w:pgNumType w:start="77"/>
          <w:cols w:space="708"/>
        </w:sectPr>
      </w:pPr>
    </w:p>
    <w:p>
      <w:pPr>
        <w:pStyle w:val="BodyText"/>
        <w:spacing w:line="447" w:lineRule="exact"/>
        <w:ind w:left="1029"/>
      </w:pPr>
      <w:r>
        <w:t>保险利益</w:t>
      </w:r>
    </w:p>
    <w:p>
      <w:pPr>
        <w:pStyle w:val="BodyText"/>
        <w:spacing w:before="11"/>
        <w:rPr>
          <w:sz w:val="30"/>
        </w:rPr>
      </w:pPr>
    </w:p>
    <w:p>
      <w:pPr>
        <w:pStyle w:val="BodyText"/>
        <w:ind w:left="1029"/>
      </w:pPr>
      <w:r>
        <w:rPr>
          <w:rFonts w:ascii="Arial" w:eastAsia="Arial"/>
        </w:rPr>
        <w:t>58</w:t>
      </w:r>
      <w:r>
        <w:t>、 理赔证据具有与民事证据相同的属性</w:t>
      </w:r>
    </w:p>
    <w:p>
      <w:pPr>
        <w:pStyle w:val="BodyText"/>
        <w:spacing w:before="134"/>
        <w:ind w:left="117"/>
      </w:pPr>
      <w:r>
        <w:rPr>
          <w:w w:val="100"/>
        </w:rPr>
        <w:t>本</w:t>
      </w:r>
    </w:p>
    <w:p>
      <w:pPr>
        <w:pStyle w:val="BodyText"/>
        <w:spacing w:before="8"/>
        <w:rPr>
          <w:sz w:val="55"/>
        </w:rPr>
      </w:pPr>
      <w:r>
        <w:br w:type="column"/>
      </w:r>
    </w:p>
    <w:p>
      <w:pPr>
        <w:pStyle w:val="BodyText"/>
        <w:tabs>
          <w:tab w:val="left" w:pos="7468"/>
        </w:tabs>
        <w:ind w:left="117"/>
      </w:pPr>
      <w:r>
        <w:rPr>
          <w:rFonts w:ascii="宋体" w:eastAsia="宋体" w:hint="eastAsia"/>
          <w:position w:val="6"/>
          <w:sz w:val="42"/>
        </w:rPr>
        <w:t>，</w:t>
      </w:r>
      <w:r>
        <w:t>其中</w:t>
      </w:r>
      <w:r>
        <w:rPr>
          <w:rFonts w:ascii="宋体" w:eastAsia="宋体" w:hint="eastAsia"/>
          <w:position w:val="6"/>
          <w:sz w:val="42"/>
        </w:rPr>
        <w:t>（</w:t>
      </w:r>
      <w:r>
        <w:rPr>
          <w:rFonts w:ascii="Arial" w:eastAsia="Arial"/>
        </w:rPr>
        <w:t>B</w:t>
      </w:r>
      <w:r>
        <w:rPr>
          <w:rFonts w:ascii="宋体" w:eastAsia="宋体" w:hint="eastAsia"/>
        </w:rPr>
        <w:t>）</w:t>
      </w:r>
      <w:r>
        <w:t>是证据三大基本属性中最重要、</w:t>
        <w:tab/>
        <w:t>最</w:t>
      </w:r>
    </w:p>
    <w:p>
      <w:pPr>
        <w:spacing w:after="0"/>
        <w:sectPr>
          <w:type w:val="continuous"/>
          <w:pgSz w:w="22370" w:h="31660"/>
          <w:pgMar w:top="2480" w:right="3000" w:bottom="280" w:left="3140" w:header="708" w:footer="708"/>
          <w:pgNumType w:start="78"/>
          <w:cols w:num="2" w:space="708" w:equalWidth="0">
            <w:col w:w="7604" w:space="278"/>
            <w:col w:w="8348" w:space="0"/>
          </w:cols>
        </w:sectPr>
      </w:pPr>
    </w:p>
    <w:p>
      <w:pPr>
        <w:pStyle w:val="BodyText"/>
        <w:spacing w:before="113"/>
        <w:ind w:left="117"/>
      </w:pPr>
      <w:r>
        <w:t>质的属性。</w:t>
      </w:r>
    </w:p>
    <w:p>
      <w:pPr>
        <w:pStyle w:val="BodyText"/>
        <w:spacing w:before="6"/>
        <w:rPr>
          <w:sz w:val="32"/>
        </w:rPr>
      </w:pPr>
    </w:p>
    <w:p>
      <w:pPr>
        <w:pStyle w:val="BodyText"/>
        <w:spacing w:line="463" w:lineRule="auto"/>
        <w:ind w:left="1029" w:right="14141"/>
        <w:jc w:val="both"/>
      </w:pPr>
      <w:r>
        <w:rPr>
          <w:spacing w:val="-6"/>
        </w:rPr>
        <w:t>主观性真实性关联性</w:t>
      </w:r>
    </w:p>
    <w:p>
      <w:pPr>
        <w:pStyle w:val="BodyText"/>
        <w:spacing w:before="2"/>
        <w:ind w:left="1029"/>
      </w:pPr>
      <w:r>
        <w:t>合法性</w:t>
      </w:r>
    </w:p>
    <w:p>
      <w:pPr>
        <w:pStyle w:val="BodyText"/>
        <w:spacing w:before="228"/>
        <w:ind w:left="1029"/>
        <w:rPr>
          <w:rFonts w:ascii="宋体" w:eastAsia="宋体" w:hint="eastAsia"/>
          <w:sz w:val="44"/>
        </w:rPr>
      </w:pPr>
      <w:r>
        <w:rPr>
          <w:rFonts w:ascii="Arial" w:eastAsia="Arial"/>
        </w:rPr>
        <w:t>59</w:t>
      </w:r>
      <w:r>
        <w:t>、在审核证据的真实性时</w:t>
      </w:r>
      <w:r>
        <w:rPr>
          <w:rFonts w:ascii="宋体" w:eastAsia="宋体" w:hint="eastAsia"/>
          <w:position w:val="6"/>
          <w:sz w:val="42"/>
        </w:rPr>
        <w:t>，</w:t>
      </w:r>
      <w:r>
        <w:t>主要是</w:t>
      </w:r>
      <w:r>
        <w:rPr>
          <w:rFonts w:ascii="宋体" w:eastAsia="宋体" w:hint="eastAsia"/>
        </w:rPr>
        <w:t>（</w:t>
      </w:r>
      <w:r>
        <w:rPr>
          <w:rFonts w:ascii="Arial" w:eastAsia="Arial"/>
        </w:rPr>
        <w:t>A</w:t>
      </w:r>
      <w:r>
        <w:rPr>
          <w:rFonts w:ascii="宋体" w:eastAsia="宋体" w:hint="eastAsia"/>
        </w:rPr>
        <w:t>）</w:t>
      </w:r>
      <w:r>
        <w:rPr>
          <w:rFonts w:ascii="宋体" w:eastAsia="宋体" w:hint="eastAsia"/>
          <w:position w:val="8"/>
          <w:sz w:val="44"/>
        </w:rPr>
        <w:t>。</w:t>
      </w:r>
    </w:p>
    <w:p>
      <w:pPr>
        <w:pStyle w:val="BodyText"/>
        <w:spacing w:before="437" w:line="463" w:lineRule="auto"/>
        <w:ind w:left="1029" w:right="7473"/>
      </w:pPr>
      <w:r>
        <w:t>查实原件、原物的真实性以及核对复印件和复制品审查判断证据与出险事实有无联系</w:t>
      </w:r>
    </w:p>
    <w:p>
      <w:pPr>
        <w:spacing w:after="0" w:line="463" w:lineRule="auto"/>
        <w:sectPr>
          <w:type w:val="continuous"/>
          <w:pgSz w:w="22370" w:h="31660"/>
          <w:pgMar w:top="2480" w:right="3000" w:bottom="280" w:left="3140" w:header="708" w:footer="708"/>
          <w:pgNumType w:start="79"/>
          <w:cols w:space="708"/>
        </w:sectPr>
      </w:pPr>
    </w:p>
    <w:p>
      <w:pPr>
        <w:pStyle w:val="BodyText"/>
        <w:spacing w:before="1"/>
        <w:ind w:left="1029"/>
      </w:pPr>
      <w:r>
        <w:t>审查判断收集证据的程序是否合法</w:t>
      </w:r>
    </w:p>
    <w:p>
      <w:pPr>
        <w:pStyle w:val="BodyText"/>
        <w:spacing w:before="287"/>
        <w:ind w:left="1029"/>
      </w:pPr>
      <w:r>
        <w:t>审查判断证据是否具备法定形式</w:t>
      </w:r>
      <w:r>
        <w:rPr>
          <w:rFonts w:ascii="宋体" w:eastAsia="宋体" w:hint="eastAsia"/>
          <w:position w:val="6"/>
          <w:sz w:val="42"/>
        </w:rPr>
        <w:t>，</w:t>
      </w:r>
      <w:r>
        <w:t>手续是否完备</w:t>
      </w:r>
    </w:p>
    <w:p>
      <w:pPr>
        <w:pStyle w:val="BodyText"/>
        <w:spacing w:before="266" w:line="436" w:lineRule="auto"/>
        <w:ind w:left="1029"/>
      </w:pPr>
      <w:r>
        <w:rPr>
          <w:rFonts w:ascii="Arial" w:eastAsia="Arial"/>
        </w:rPr>
        <w:t>60</w:t>
      </w:r>
      <w:r>
        <w:t>、 下列选项中</w:t>
      </w:r>
      <w:r>
        <w:rPr>
          <w:rFonts w:ascii="宋体" w:eastAsia="宋体" w:hint="eastAsia"/>
          <w:position w:val="6"/>
          <w:sz w:val="42"/>
        </w:rPr>
        <w:t>，</w:t>
      </w:r>
      <w:r>
        <w:t>关于证据证明力大小说法不正确的是原始证据的证明力优于传来证据</w:t>
      </w:r>
    </w:p>
    <w:p>
      <w:pPr>
        <w:pStyle w:val="BodyText"/>
        <w:spacing w:before="47"/>
        <w:ind w:left="1029"/>
      </w:pPr>
      <w:r>
        <w:t>直接证据证明力一般大于间接证据</w:t>
      </w:r>
    </w:p>
    <w:p>
      <w:pPr>
        <w:pStyle w:val="BodyText"/>
        <w:rPr>
          <w:sz w:val="50"/>
        </w:rPr>
      </w:pPr>
      <w:r>
        <w:br w:type="column"/>
      </w:r>
    </w:p>
    <w:p>
      <w:pPr>
        <w:pStyle w:val="BodyText"/>
        <w:spacing w:before="3"/>
        <w:rPr>
          <w:sz w:val="70"/>
        </w:rPr>
      </w:pPr>
    </w:p>
    <w:p>
      <w:pPr>
        <w:spacing w:before="0"/>
        <w:ind w:left="449" w:right="0" w:firstLine="0"/>
        <w:jc w:val="left"/>
        <w:rPr>
          <w:rFonts w:ascii="宋体" w:eastAsia="宋体" w:hint="eastAsia"/>
          <w:sz w:val="44"/>
        </w:rPr>
      </w:pPr>
      <w:r>
        <w:rPr>
          <w:rFonts w:ascii="宋体" w:eastAsia="宋体" w:hint="eastAsia"/>
          <w:position w:val="6"/>
          <w:sz w:val="42"/>
        </w:rPr>
        <w:t>（</w:t>
      </w:r>
      <w:r>
        <w:rPr>
          <w:rFonts w:ascii="Arial" w:eastAsia="Arial"/>
          <w:sz w:val="35"/>
        </w:rPr>
        <w:t>D</w:t>
      </w:r>
      <w:r>
        <w:rPr>
          <w:rFonts w:ascii="宋体" w:eastAsia="宋体" w:hint="eastAsia"/>
          <w:sz w:val="35"/>
        </w:rPr>
        <w:t>）</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80"/>
          <w:cols w:num="2" w:space="708" w:equalWidth="0">
            <w:col w:w="9741" w:space="40"/>
            <w:col w:w="6449" w:space="0"/>
          </w:cols>
        </w:sectPr>
      </w:pPr>
    </w:p>
    <w:p>
      <w:pPr>
        <w:pStyle w:val="BodyText"/>
        <w:spacing w:before="7"/>
        <w:rPr>
          <w:rFonts w:ascii="宋体"/>
          <w:sz w:val="29"/>
        </w:rPr>
      </w:pPr>
    </w:p>
    <w:p>
      <w:pPr>
        <w:spacing w:after="0"/>
        <w:rPr>
          <w:rFonts w:ascii="宋体"/>
          <w:sz w:val="29"/>
        </w:rPr>
        <w:sectPr>
          <w:type w:val="continuous"/>
          <w:pgSz w:w="22370" w:h="31660"/>
          <w:pgMar w:top="2480" w:right="3000" w:bottom="280" w:left="3140" w:header="708" w:footer="708"/>
          <w:pgNumType w:start="81"/>
          <w:cols w:space="708"/>
        </w:sectPr>
      </w:pPr>
    </w:p>
    <w:p>
      <w:pPr>
        <w:pStyle w:val="BodyText"/>
        <w:spacing w:before="38"/>
        <w:ind w:left="1029"/>
      </w:pPr>
      <w:r>
        <w:t>国家机关、社会团体依职权制作的公文书证证明力一般大于其他书证</w:t>
      </w:r>
    </w:p>
    <w:p>
      <w:pPr>
        <w:pStyle w:val="BodyText"/>
        <w:spacing w:before="9"/>
        <w:rPr>
          <w:sz w:val="32"/>
        </w:rPr>
      </w:pPr>
    </w:p>
    <w:p>
      <w:pPr>
        <w:pStyle w:val="BodyText"/>
        <w:spacing w:line="300" w:lineRule="auto"/>
        <w:ind w:left="117" w:right="1050" w:firstLine="912"/>
      </w:pPr>
      <w:r>
        <w:t>物证、档案、鉴定意见、勘验笔录或者经过公证、登记的书证机关、社会团体依职权制作的公文书证</w:t>
      </w:r>
    </w:p>
    <w:p>
      <w:pPr>
        <w:pStyle w:val="BodyText"/>
        <w:spacing w:before="7"/>
        <w:rPr>
          <w:sz w:val="60"/>
        </w:rPr>
      </w:pPr>
      <w:r>
        <w:br w:type="column"/>
      </w:r>
    </w:p>
    <w:p>
      <w:pPr>
        <w:pStyle w:val="BodyText"/>
        <w:ind w:left="39"/>
      </w:pPr>
      <w:r>
        <w:rPr>
          <w:rFonts w:ascii="宋体" w:eastAsia="宋体" w:hint="eastAsia"/>
          <w:position w:val="6"/>
          <w:sz w:val="42"/>
        </w:rPr>
        <w:t>，</w:t>
      </w:r>
      <w:r>
        <w:t>其证明力一般大于国家</w:t>
      </w:r>
    </w:p>
    <w:p>
      <w:pPr>
        <w:spacing w:after="0"/>
        <w:sectPr>
          <w:type w:val="continuous"/>
          <w:pgSz w:w="22370" w:h="31660"/>
          <w:pgMar w:top="2480" w:right="3000" w:bottom="280" w:left="3140" w:header="708" w:footer="708"/>
          <w:pgNumType w:start="82"/>
          <w:cols w:num="2" w:space="708" w:equalWidth="0">
            <w:col w:w="11559" w:space="40"/>
            <w:col w:w="4631" w:space="0"/>
          </w:cols>
        </w:sectPr>
      </w:pPr>
    </w:p>
    <w:p>
      <w:pPr>
        <w:pStyle w:val="BodyText"/>
        <w:spacing w:before="10"/>
        <w:rPr>
          <w:sz w:val="8"/>
        </w:rPr>
      </w:pPr>
    </w:p>
    <w:p>
      <w:pPr>
        <w:spacing w:after="0"/>
        <w:rPr>
          <w:sz w:val="8"/>
        </w:rPr>
        <w:sectPr>
          <w:type w:val="continuous"/>
          <w:pgSz w:w="22370" w:h="31660"/>
          <w:pgMar w:top="2480" w:right="3000" w:bottom="280" w:left="3140" w:header="708" w:footer="708"/>
          <w:pgNumType w:start="83"/>
          <w:cols w:space="708"/>
        </w:sectPr>
      </w:pPr>
    </w:p>
    <w:p>
      <w:pPr>
        <w:pStyle w:val="BodyText"/>
        <w:spacing w:before="173" w:line="472" w:lineRule="auto"/>
        <w:ind w:left="1052" w:right="38" w:hanging="23"/>
      </w:pPr>
      <w:r>
        <w:rPr>
          <w:rFonts w:ascii="Arial" w:eastAsia="Arial"/>
        </w:rPr>
        <w:t>61</w:t>
      </w:r>
      <w:r>
        <w:t>、 下列选项中不属于投保人、被保险人或者受益人的基本举证责任的是在责任期间发生条款约定的事故或损失</w:t>
      </w:r>
    </w:p>
    <w:p>
      <w:pPr>
        <w:spacing w:before="43"/>
        <w:ind w:left="1029" w:right="0" w:firstLine="0"/>
        <w:jc w:val="left"/>
        <w:rPr>
          <w:sz w:val="35"/>
        </w:rPr>
      </w:pPr>
      <w:r>
        <w:br w:type="column"/>
      </w:r>
      <w:r>
        <w:rPr>
          <w:rFonts w:ascii="宋体" w:eastAsia="宋体" w:hint="eastAsia"/>
          <w:position w:val="6"/>
          <w:sz w:val="42"/>
        </w:rPr>
        <w:t>（</w:t>
      </w:r>
      <w:r>
        <w:rPr>
          <w:rFonts w:ascii="Arial" w:eastAsia="Arial"/>
          <w:sz w:val="35"/>
        </w:rPr>
        <w:t>C</w:t>
      </w:r>
      <w:r>
        <w:rPr>
          <w:rFonts w:ascii="宋体" w:eastAsia="宋体" w:hint="eastAsia"/>
          <w:sz w:val="35"/>
        </w:rPr>
        <w:t>）</w:t>
      </w:r>
      <w:r>
        <w:rPr>
          <w:sz w:val="35"/>
        </w:rPr>
        <w:t>。</w:t>
      </w:r>
    </w:p>
    <w:p>
      <w:pPr>
        <w:spacing w:after="0"/>
        <w:jc w:val="left"/>
        <w:rPr>
          <w:sz w:val="35"/>
        </w:rPr>
        <w:sectPr>
          <w:type w:val="continuous"/>
          <w:pgSz w:w="22370" w:h="31660"/>
          <w:pgMar w:top="2480" w:right="3000" w:bottom="280" w:left="3140" w:header="708" w:footer="708"/>
          <w:pgNumType w:start="84"/>
          <w:cols w:num="2" w:space="708" w:equalWidth="0">
            <w:col w:w="12518" w:space="119"/>
            <w:col w:w="3593" w:space="0"/>
          </w:cols>
        </w:sectPr>
      </w:pPr>
    </w:p>
    <w:p>
      <w:pPr>
        <w:pStyle w:val="BodyText"/>
        <w:spacing w:line="434" w:lineRule="exact"/>
        <w:ind w:left="1052"/>
      </w:pPr>
      <w:r>
        <w:t>该损害事实由合同约定的原因所致</w:t>
      </w:r>
    </w:p>
    <w:p>
      <w:pPr>
        <w:pStyle w:val="BodyText"/>
        <w:spacing w:before="286" w:line="290" w:lineRule="auto"/>
        <w:ind w:left="117" w:right="814" w:firstLine="934"/>
      </w:pPr>
      <w:r>
        <w:t>对于保险人提出对己不利证据的反证</w:t>
      </w:r>
      <w:r>
        <w:rPr>
          <w:rFonts w:ascii="宋体" w:eastAsia="宋体" w:hint="eastAsia"/>
          <w:position w:val="6"/>
          <w:sz w:val="42"/>
        </w:rPr>
        <w:t>，</w:t>
      </w:r>
      <w:r>
        <w:t>如果要对抗未如实告知</w:t>
      </w:r>
      <w:r>
        <w:rPr>
          <w:rFonts w:ascii="宋体" w:eastAsia="宋体" w:hint="eastAsia"/>
          <w:position w:val="6"/>
          <w:sz w:val="42"/>
        </w:rPr>
        <w:t>，</w:t>
      </w:r>
      <w:r>
        <w:t>可以证明保险人在销售、 承保时存在过错</w:t>
      </w:r>
    </w:p>
    <w:p>
      <w:pPr>
        <w:pStyle w:val="BodyText"/>
        <w:spacing w:before="3"/>
        <w:rPr>
          <w:sz w:val="25"/>
        </w:rPr>
      </w:pPr>
    </w:p>
    <w:p>
      <w:pPr>
        <w:pStyle w:val="BodyText"/>
        <w:ind w:left="1052"/>
      </w:pPr>
      <w:r>
        <w:t>投保人、被保险人或受益人之间的关系</w:t>
      </w:r>
    </w:p>
    <w:p>
      <w:pPr>
        <w:pStyle w:val="BodyText"/>
        <w:spacing w:before="269" w:line="434" w:lineRule="auto"/>
        <w:ind w:left="1029" w:right="3589"/>
      </w:pPr>
      <w:r>
        <w:rPr>
          <w:rFonts w:ascii="Arial" w:eastAsia="Arial"/>
        </w:rPr>
        <w:t>62</w:t>
      </w:r>
      <w:r>
        <w:t>、理赔评价指标主要围绕</w:t>
      </w:r>
      <w:r>
        <w:rPr>
          <w:rFonts w:ascii="宋体" w:eastAsia="宋体" w:hint="eastAsia"/>
        </w:rPr>
        <w:t>（</w:t>
      </w:r>
      <w:r>
        <w:rPr>
          <w:rFonts w:ascii="Arial" w:eastAsia="Arial"/>
        </w:rPr>
        <w:t>A</w:t>
      </w:r>
      <w:r>
        <w:rPr>
          <w:rFonts w:ascii="宋体" w:eastAsia="宋体" w:hint="eastAsia"/>
        </w:rPr>
        <w:t>）</w:t>
      </w:r>
      <w:r>
        <w:t>等指标</w:t>
      </w:r>
      <w:r>
        <w:rPr>
          <w:rFonts w:ascii="宋体" w:eastAsia="宋体" w:hint="eastAsia"/>
          <w:position w:val="6"/>
          <w:sz w:val="42"/>
        </w:rPr>
        <w:t>，</w:t>
      </w:r>
      <w:r>
        <w:rPr>
          <w:spacing w:val="-2"/>
        </w:rPr>
        <w:t>用来衡量理赔效率和服务质量。</w:t>
      </w:r>
      <w:r>
        <w:t>客户满意度</w:t>
      </w:r>
    </w:p>
    <w:p>
      <w:pPr>
        <w:pStyle w:val="BodyText"/>
        <w:spacing w:before="54" w:line="463" w:lineRule="auto"/>
        <w:ind w:left="1029" w:right="13439"/>
      </w:pPr>
      <w:r>
        <w:rPr>
          <w:spacing w:val="-4"/>
        </w:rPr>
        <w:t>理赔服务率理赔投诉率</w:t>
      </w:r>
    </w:p>
    <w:p>
      <w:pPr>
        <w:spacing w:after="0" w:line="463" w:lineRule="auto"/>
        <w:sectPr>
          <w:type w:val="continuous"/>
          <w:pgSz w:w="22370" w:h="31660"/>
          <w:pgMar w:top="2480" w:right="3000" w:bottom="280" w:left="3140" w:header="708" w:footer="708"/>
          <w:pgNumType w:start="85"/>
          <w:cols w:space="708"/>
        </w:sectPr>
      </w:pPr>
    </w:p>
    <w:p>
      <w:pPr>
        <w:pStyle w:val="BodyText"/>
        <w:spacing w:before="25"/>
        <w:ind w:left="1052"/>
      </w:pPr>
      <w:r>
        <w:t>理赔获赔率</w:t>
      </w:r>
    </w:p>
    <w:p>
      <w:pPr>
        <w:pStyle w:val="BodyText"/>
        <w:spacing w:before="1"/>
        <w:rPr>
          <w:sz w:val="30"/>
        </w:rPr>
      </w:pPr>
    </w:p>
    <w:p>
      <w:pPr>
        <w:pStyle w:val="BodyText"/>
        <w:ind w:left="1052"/>
      </w:pPr>
      <w:r>
        <w:rPr>
          <w:rFonts w:ascii="Arial" w:eastAsia="Arial"/>
        </w:rPr>
        <w:t>63</w:t>
      </w:r>
      <w:r>
        <w:t>、 考核是检查、评估理赔人在授权范围内工作完成情况的重要手段</w:t>
      </w:r>
    </w:p>
    <w:p>
      <w:pPr>
        <w:pStyle w:val="BodyText"/>
        <w:spacing w:before="11"/>
        <w:rPr>
          <w:sz w:val="56"/>
        </w:rPr>
      </w:pPr>
      <w:r>
        <w:br w:type="column"/>
      </w:r>
    </w:p>
    <w:p>
      <w:pPr>
        <w:pStyle w:val="BodyText"/>
        <w:ind w:left="975"/>
      </w:pPr>
      <w:r>
        <w:rPr>
          <w:rFonts w:ascii="宋体" w:eastAsia="宋体" w:hint="eastAsia"/>
          <w:position w:val="6"/>
          <w:sz w:val="42"/>
        </w:rPr>
        <w:t>，</w:t>
      </w:r>
      <w:r>
        <w:t>考核一般采取定</w:t>
      </w:r>
    </w:p>
    <w:p>
      <w:pPr>
        <w:spacing w:after="0"/>
        <w:sectPr>
          <w:pgSz w:w="22370" w:h="31660"/>
          <w:pgMar w:top="2460" w:right="3000" w:bottom="280" w:left="3140" w:header="708" w:footer="708"/>
          <w:pgNumType w:start="86"/>
          <w:cols w:num="2" w:space="708" w:equalWidth="0">
            <w:col w:w="11798" w:space="40"/>
            <w:col w:w="4392" w:space="0"/>
          </w:cols>
        </w:sectPr>
      </w:pPr>
    </w:p>
    <w:p>
      <w:pPr>
        <w:pStyle w:val="BodyText"/>
        <w:spacing w:before="15" w:line="422" w:lineRule="auto"/>
        <w:ind w:left="1052" w:right="38" w:hanging="935"/>
      </w:pPr>
      <w:r>
        <w:t>量与定性相结合的方式</w:t>
      </w:r>
      <w:r>
        <w:rPr>
          <w:rFonts w:ascii="宋体" w:eastAsia="宋体" w:hint="eastAsia"/>
          <w:position w:val="6"/>
          <w:sz w:val="42"/>
        </w:rPr>
        <w:t>，</w:t>
      </w:r>
      <w:r>
        <w:t>下列选项中属于定量考核理赔人员的是风险防范意识</w:t>
      </w:r>
    </w:p>
    <w:p>
      <w:pPr>
        <w:pStyle w:val="BodyText"/>
        <w:spacing w:before="63" w:line="456" w:lineRule="auto"/>
        <w:ind w:left="1052" w:right="4789"/>
      </w:pPr>
      <w:r>
        <w:t>理赔差错率和合理的投诉率受理案件量</w:t>
      </w:r>
    </w:p>
    <w:p>
      <w:pPr>
        <w:pStyle w:val="BodyText"/>
        <w:spacing w:before="3"/>
        <w:ind w:left="1052"/>
      </w:pPr>
      <w:r>
        <w:t>与客户及相关部门的协调能力</w:t>
      </w:r>
    </w:p>
    <w:p>
      <w:pPr>
        <w:spacing w:before="15"/>
        <w:ind w:left="117" w:right="0" w:firstLine="0"/>
        <w:jc w:val="left"/>
        <w:rPr>
          <w:sz w:val="35"/>
        </w:rPr>
      </w:pPr>
      <w:r>
        <w:br w:type="column"/>
      </w:r>
      <w:r>
        <w:rPr>
          <w:rFonts w:ascii="宋体" w:eastAsia="宋体" w:hint="eastAsia"/>
          <w:position w:val="6"/>
          <w:sz w:val="42"/>
        </w:rPr>
        <w:t>（</w:t>
      </w:r>
      <w:r>
        <w:rPr>
          <w:rFonts w:ascii="Arial" w:eastAsia="Arial"/>
          <w:sz w:val="35"/>
        </w:rPr>
        <w:t>C</w:t>
      </w:r>
      <w:r>
        <w:rPr>
          <w:rFonts w:ascii="宋体" w:eastAsia="宋体" w:hint="eastAsia"/>
          <w:sz w:val="35"/>
        </w:rPr>
        <w:t>）</w:t>
      </w:r>
      <w:r>
        <w:rPr>
          <w:sz w:val="35"/>
        </w:rPr>
        <w:t>。</w:t>
      </w:r>
    </w:p>
    <w:p>
      <w:pPr>
        <w:spacing w:after="0"/>
        <w:jc w:val="left"/>
        <w:rPr>
          <w:sz w:val="35"/>
        </w:rPr>
        <w:sectPr>
          <w:type w:val="continuous"/>
          <w:pgSz w:w="22370" w:h="31660"/>
          <w:pgMar w:top="2480" w:right="3000" w:bottom="280" w:left="3140" w:header="708" w:footer="708"/>
          <w:pgNumType w:start="87"/>
          <w:cols w:num="2" w:space="708" w:equalWidth="0">
            <w:col w:w="10056" w:space="648"/>
            <w:col w:w="5526" w:space="0"/>
          </w:cols>
        </w:sectPr>
      </w:pPr>
    </w:p>
    <w:p>
      <w:pPr>
        <w:pStyle w:val="BodyText"/>
        <w:spacing w:before="12"/>
        <w:rPr>
          <w:sz w:val="22"/>
        </w:rPr>
      </w:pPr>
    </w:p>
    <w:p>
      <w:pPr>
        <w:pStyle w:val="BodyText"/>
        <w:tabs>
          <w:tab w:val="left" w:pos="6134"/>
          <w:tab w:val="left" w:pos="11245"/>
        </w:tabs>
        <w:spacing w:before="91" w:line="468" w:lineRule="auto"/>
        <w:ind w:left="1052" w:right="2990"/>
      </w:pPr>
      <w:r>
        <w:rPr>
          <w:rFonts w:ascii="Arial" w:eastAsia="Arial"/>
        </w:rPr>
        <w:t>64</w:t>
      </w:r>
      <w:r>
        <w:t>、</w:t>
      </w:r>
      <w:r>
        <w:rPr>
          <w:spacing w:val="6"/>
        </w:rPr>
        <w:t xml:space="preserve"> </w:t>
      </w:r>
      <w:r>
        <w:t>让客户的时间成本最小化</w:t>
        <w:tab/>
      </w:r>
      <w:r>
        <w:rPr>
          <w:position w:val="2"/>
          <w:sz w:val="22"/>
        </w:rPr>
        <w:t>,</w:t>
      </w:r>
      <w:r>
        <w:rPr>
          <w:spacing w:val="-44"/>
          <w:position w:val="2"/>
          <w:sz w:val="22"/>
        </w:rPr>
        <w:t xml:space="preserve"> </w:t>
      </w:r>
      <w:r>
        <w:t>体现了理赔服务满足了客户的</w:t>
        <w:tab/>
      </w:r>
      <w:r>
        <w:rPr>
          <w:rFonts w:ascii="宋体" w:eastAsia="宋体" w:hint="eastAsia"/>
        </w:rPr>
        <w:t>（</w:t>
      </w:r>
      <w:r>
        <w:rPr>
          <w:rFonts w:ascii="Arial" w:eastAsia="Arial"/>
        </w:rPr>
        <w:t>A</w:t>
      </w:r>
      <w:r>
        <w:rPr>
          <w:rFonts w:ascii="宋体" w:eastAsia="宋体" w:hint="eastAsia"/>
        </w:rPr>
        <w:t>）</w:t>
      </w:r>
      <w:r>
        <w:t>需求</w:t>
      </w:r>
      <w:r>
        <w:rPr>
          <w:spacing w:val="-16"/>
        </w:rPr>
        <w:t>。</w:t>
      </w:r>
      <w:r>
        <w:t>快速</w:t>
      </w:r>
    </w:p>
    <w:p>
      <w:pPr>
        <w:pStyle w:val="BodyText"/>
        <w:spacing w:line="430" w:lineRule="exact"/>
        <w:ind w:left="1052"/>
      </w:pPr>
      <w:r>
        <w:t>便利</w:t>
      </w:r>
    </w:p>
    <w:p>
      <w:pPr>
        <w:pStyle w:val="BodyText"/>
        <w:spacing w:before="8"/>
        <w:rPr>
          <w:sz w:val="31"/>
        </w:rPr>
      </w:pPr>
    </w:p>
    <w:p>
      <w:pPr>
        <w:pStyle w:val="BodyText"/>
        <w:ind w:left="1052"/>
      </w:pPr>
      <w:r>
        <w:t>尊重</w:t>
      </w:r>
    </w:p>
    <w:p>
      <w:pPr>
        <w:pStyle w:val="BodyText"/>
        <w:spacing w:before="9"/>
        <w:rPr>
          <w:sz w:val="28"/>
        </w:rPr>
      </w:pPr>
    </w:p>
    <w:p>
      <w:pPr>
        <w:spacing w:after="0"/>
        <w:rPr>
          <w:sz w:val="28"/>
        </w:rPr>
        <w:sectPr>
          <w:type w:val="continuous"/>
          <w:pgSz w:w="22370" w:h="31660"/>
          <w:pgMar w:top="2480" w:right="3000" w:bottom="280" w:left="3140" w:header="708" w:footer="708"/>
          <w:pgNumType w:start="88"/>
          <w:cols w:space="708"/>
        </w:sectPr>
      </w:pPr>
    </w:p>
    <w:p>
      <w:pPr>
        <w:pStyle w:val="BodyText"/>
        <w:spacing w:before="38"/>
        <w:ind w:left="1052"/>
      </w:pPr>
      <w:r>
        <w:t>规范</w:t>
      </w:r>
    </w:p>
    <w:p>
      <w:pPr>
        <w:pStyle w:val="BodyText"/>
        <w:spacing w:before="255" w:line="429" w:lineRule="auto"/>
        <w:ind w:left="1052"/>
      </w:pPr>
      <w:r>
        <w:rPr>
          <w:rFonts w:ascii="Arial" w:eastAsia="Arial"/>
        </w:rPr>
        <w:t>65</w:t>
      </w:r>
      <w:r>
        <w:rPr>
          <w:spacing w:val="1"/>
        </w:rPr>
        <w:t xml:space="preserve">、 通过客户 </w:t>
      </w:r>
      <w:r>
        <w:rPr>
          <w:rFonts w:ascii="Arial" w:eastAsia="Arial"/>
        </w:rPr>
        <w:t>VOC</w:t>
      </w:r>
      <w:r>
        <w:rPr>
          <w:rFonts w:ascii="Arial" w:eastAsia="Arial"/>
          <w:spacing w:val="-19"/>
        </w:rPr>
        <w:t xml:space="preserve"> </w:t>
      </w:r>
      <w:r>
        <w:t>机制</w:t>
      </w:r>
      <w:r>
        <w:rPr>
          <w:rFonts w:ascii="宋体" w:eastAsia="宋体" w:hint="eastAsia"/>
          <w:spacing w:val="-3"/>
          <w:position w:val="6"/>
          <w:sz w:val="42"/>
        </w:rPr>
        <w:t>，</w:t>
      </w:r>
      <w:r>
        <w:rPr>
          <w:spacing w:val="-2"/>
        </w:rPr>
        <w:t>客户对于理赔基础需求不包括</w:t>
      </w:r>
      <w:r>
        <w:t>快速</w:t>
      </w:r>
    </w:p>
    <w:p>
      <w:pPr>
        <w:pStyle w:val="BodyText"/>
        <w:spacing w:before="51" w:line="458" w:lineRule="auto"/>
        <w:ind w:left="1052" w:right="8315"/>
      </w:pPr>
      <w:r>
        <w:rPr>
          <w:spacing w:val="-9"/>
        </w:rPr>
        <w:t>便利简单</w:t>
      </w:r>
    </w:p>
    <w:p>
      <w:pPr>
        <w:pStyle w:val="BodyText"/>
        <w:spacing w:before="9"/>
        <w:rPr>
          <w:sz w:val="54"/>
        </w:rPr>
      </w:pPr>
      <w:r>
        <w:br w:type="column"/>
      </w:r>
    </w:p>
    <w:p>
      <w:pPr>
        <w:spacing w:before="0"/>
        <w:ind w:left="347" w:right="0" w:firstLine="0"/>
        <w:jc w:val="left"/>
        <w:rPr>
          <w:rFonts w:ascii="宋体" w:eastAsia="宋体" w:hint="eastAsia"/>
          <w:sz w:val="44"/>
        </w:rPr>
      </w:pPr>
      <w:r>
        <w:rPr>
          <w:rFonts w:ascii="宋体" w:eastAsia="宋体" w:hint="eastAsia"/>
          <w:position w:val="6"/>
          <w:sz w:val="42"/>
        </w:rPr>
        <w:t>（</w:t>
      </w:r>
      <w:r>
        <w:rPr>
          <w:rFonts w:ascii="Arial" w:eastAsia="Arial"/>
          <w:sz w:val="35"/>
        </w:rPr>
        <w:t>D</w:t>
      </w:r>
      <w:r>
        <w:rPr>
          <w:rFonts w:ascii="宋体" w:eastAsia="宋体" w:hint="eastAsia"/>
          <w:sz w:val="35"/>
        </w:rPr>
        <w:t>）</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89"/>
          <w:cols w:num="2" w:space="708" w:equalWidth="0">
            <w:col w:w="10072" w:space="40"/>
            <w:col w:w="6118" w:space="0"/>
          </w:cols>
        </w:sectPr>
      </w:pPr>
    </w:p>
    <w:p>
      <w:pPr>
        <w:pStyle w:val="BodyText"/>
        <w:spacing w:line="445" w:lineRule="exact"/>
        <w:ind w:left="1052"/>
      </w:pPr>
      <w:r>
        <w:t>默契</w:t>
      </w:r>
    </w:p>
    <w:p>
      <w:pPr>
        <w:pStyle w:val="BodyText"/>
        <w:spacing w:before="255" w:line="304" w:lineRule="auto"/>
        <w:ind w:left="117" w:right="527" w:firstLine="934"/>
      </w:pPr>
      <w:r>
        <w:rPr>
          <w:rFonts w:ascii="Arial" w:eastAsia="Arial"/>
        </w:rPr>
        <w:t>66</w:t>
      </w:r>
      <w:r>
        <w:t>、 理赔人员迅速及时地做出理赔决定</w:t>
      </w:r>
      <w:r>
        <w:rPr>
          <w:rFonts w:ascii="宋体" w:eastAsia="宋体" w:hint="eastAsia"/>
          <w:position w:val="6"/>
          <w:sz w:val="42"/>
        </w:rPr>
        <w:t>，</w:t>
      </w:r>
      <w:r>
        <w:t>改进工作流程</w:t>
      </w:r>
      <w:r>
        <w:rPr>
          <w:rFonts w:ascii="宋体" w:eastAsia="宋体" w:hint="eastAsia"/>
          <w:position w:val="6"/>
          <w:sz w:val="42"/>
        </w:rPr>
        <w:t>，</w:t>
      </w:r>
      <w:r>
        <w:t>提高理赔效率</w:t>
      </w:r>
      <w:r>
        <w:rPr>
          <w:rFonts w:ascii="宋体" w:eastAsia="宋体" w:hint="eastAsia"/>
          <w:position w:val="6"/>
          <w:sz w:val="42"/>
        </w:rPr>
        <w:t>，</w:t>
      </w:r>
      <w:r>
        <w:t>体现了下列哪项 原则</w:t>
      </w:r>
      <w:r>
        <w:rPr>
          <w:rFonts w:ascii="宋体" w:eastAsia="宋体" w:hint="eastAsia"/>
        </w:rPr>
        <w:t>（</w:t>
      </w:r>
      <w:r>
        <w:rPr>
          <w:rFonts w:ascii="Arial" w:eastAsia="Arial"/>
        </w:rPr>
        <w:t>B</w:t>
      </w:r>
      <w:r>
        <w:rPr>
          <w:rFonts w:ascii="宋体" w:eastAsia="宋体" w:hint="eastAsia"/>
        </w:rPr>
        <w:t>）</w:t>
      </w:r>
      <w:r>
        <w:t>。实事求是原则</w:t>
      </w:r>
    </w:p>
    <w:p>
      <w:pPr>
        <w:pStyle w:val="BodyText"/>
        <w:spacing w:before="283" w:line="456" w:lineRule="auto"/>
        <w:ind w:left="1052" w:right="13768"/>
      </w:pPr>
      <w:r>
        <w:t>效率原则公平原则</w:t>
      </w:r>
    </w:p>
    <w:p>
      <w:pPr>
        <w:pStyle w:val="BodyText"/>
        <w:spacing w:before="6"/>
        <w:ind w:left="1052"/>
      </w:pPr>
      <w:r>
        <w:t>遵纪守法原则</w:t>
      </w:r>
    </w:p>
    <w:p>
      <w:pPr>
        <w:pStyle w:val="BodyText"/>
        <w:spacing w:before="215"/>
        <w:ind w:left="1052"/>
        <w:rPr>
          <w:rFonts w:ascii="宋体" w:eastAsia="宋体" w:hint="eastAsia"/>
          <w:sz w:val="44"/>
        </w:rPr>
      </w:pPr>
      <w:r>
        <w:rPr>
          <w:rFonts w:ascii="Arial" w:eastAsia="Arial"/>
        </w:rPr>
        <w:t>67</w:t>
      </w:r>
      <w:r>
        <w:t>、下列选项中</w:t>
      </w:r>
      <w:r>
        <w:rPr>
          <w:rFonts w:ascii="宋体" w:eastAsia="宋体" w:hint="eastAsia"/>
          <w:position w:val="6"/>
          <w:sz w:val="42"/>
        </w:rPr>
        <w:t>，</w:t>
      </w:r>
      <w:r>
        <w:t>属于国际理赔协会</w:t>
      </w:r>
      <w:r>
        <w:rPr>
          <w:rFonts w:ascii="宋体" w:eastAsia="宋体" w:hint="eastAsia"/>
        </w:rPr>
        <w:t>（</w:t>
      </w:r>
      <w:r>
        <w:rPr>
          <w:rFonts w:ascii="Arial" w:eastAsia="Arial"/>
        </w:rPr>
        <w:t>ICA</w:t>
      </w:r>
      <w:r>
        <w:rPr>
          <w:rFonts w:ascii="宋体" w:eastAsia="宋体" w:hint="eastAsia"/>
        </w:rPr>
        <w:t>）</w:t>
      </w:r>
      <w:r>
        <w:t>规定的禁止行为的是</w:t>
      </w:r>
      <w:r>
        <w:rPr>
          <w:rFonts w:ascii="宋体" w:eastAsia="宋体" w:hint="eastAsia"/>
          <w:position w:val="6"/>
          <w:sz w:val="42"/>
        </w:rPr>
        <w:t>（</w:t>
      </w:r>
      <w:r>
        <w:rPr>
          <w:rFonts w:ascii="Arial" w:eastAsia="Arial"/>
        </w:rPr>
        <w:t>D</w:t>
      </w:r>
      <w:r>
        <w:rPr>
          <w:rFonts w:ascii="宋体" w:eastAsia="宋体" w:hint="eastAsia"/>
        </w:rPr>
        <w:t>）</w:t>
      </w:r>
      <w:r>
        <w:rPr>
          <w:rFonts w:ascii="宋体" w:eastAsia="宋体" w:hint="eastAsia"/>
          <w:position w:val="8"/>
          <w:sz w:val="44"/>
        </w:rPr>
        <w:t>。</w:t>
      </w:r>
    </w:p>
    <w:p>
      <w:pPr>
        <w:pStyle w:val="BodyText"/>
        <w:spacing w:before="1"/>
        <w:rPr>
          <w:rFonts w:ascii="宋体"/>
          <w:sz w:val="20"/>
        </w:rPr>
      </w:pPr>
    </w:p>
    <w:p>
      <w:pPr>
        <w:spacing w:after="0"/>
        <w:rPr>
          <w:rFonts w:ascii="宋体"/>
          <w:sz w:val="20"/>
        </w:rPr>
        <w:sectPr>
          <w:type w:val="continuous"/>
          <w:pgSz w:w="22370" w:h="31660"/>
          <w:pgMar w:top="2480" w:right="3000" w:bottom="280" w:left="3140" w:header="708" w:footer="708"/>
          <w:pgNumType w:start="90"/>
          <w:cols w:space="708"/>
        </w:sectPr>
      </w:pPr>
    </w:p>
    <w:p>
      <w:pPr>
        <w:pStyle w:val="BodyText"/>
        <w:spacing w:before="168"/>
        <w:ind w:left="1052"/>
      </w:pPr>
      <w:r>
        <w:t>索赔人敦促保险人展开对所有事实的调查工作</w:t>
      </w:r>
    </w:p>
    <w:p>
      <w:pPr>
        <w:pStyle w:val="BodyText"/>
        <w:spacing w:before="125"/>
        <w:ind w:left="117"/>
      </w:pPr>
      <w:r>
        <w:t>赔付</w:t>
      </w:r>
    </w:p>
    <w:p>
      <w:pPr>
        <w:pStyle w:val="BodyText"/>
        <w:spacing w:before="7"/>
        <w:rPr>
          <w:sz w:val="31"/>
        </w:rPr>
      </w:pPr>
    </w:p>
    <w:p>
      <w:pPr>
        <w:pStyle w:val="BodyText"/>
        <w:ind w:left="1052"/>
      </w:pPr>
      <w:r>
        <w:t>保险公司有义务防止由于骗赔而导致的成本上升</w:t>
      </w:r>
    </w:p>
    <w:p>
      <w:pPr>
        <w:pStyle w:val="BodyText"/>
        <w:spacing w:before="38"/>
        <w:ind w:left="117"/>
      </w:pPr>
      <w:r>
        <w:br w:type="column"/>
      </w:r>
      <w:r>
        <w:rPr>
          <w:rFonts w:ascii="宋体" w:eastAsia="宋体" w:hint="eastAsia"/>
          <w:position w:val="6"/>
          <w:sz w:val="42"/>
        </w:rPr>
        <w:t>，</w:t>
      </w:r>
      <w:r>
        <w:t>并且在责任被合理明确后</w:t>
      </w:r>
      <w:r>
        <w:rPr>
          <w:rFonts w:ascii="宋体" w:eastAsia="宋体" w:hint="eastAsia"/>
          <w:position w:val="6"/>
          <w:sz w:val="42"/>
        </w:rPr>
        <w:t>，</w:t>
      </w:r>
      <w:r>
        <w:t>得到公正的</w:t>
      </w:r>
    </w:p>
    <w:p>
      <w:pPr>
        <w:pStyle w:val="BodyText"/>
        <w:spacing w:before="2"/>
        <w:rPr>
          <w:sz w:val="66"/>
        </w:rPr>
      </w:pPr>
    </w:p>
    <w:p>
      <w:pPr>
        <w:pStyle w:val="BodyText"/>
        <w:ind w:left="516"/>
      </w:pPr>
      <w:r>
        <w:rPr>
          <w:rFonts w:ascii="宋体" w:eastAsia="宋体" w:hint="eastAsia"/>
          <w:position w:val="6"/>
          <w:sz w:val="42"/>
        </w:rPr>
        <w:t>，</w:t>
      </w:r>
      <w:r>
        <w:t>从而保护购买保险的公众</w:t>
      </w:r>
    </w:p>
    <w:p>
      <w:pPr>
        <w:spacing w:after="0"/>
        <w:sectPr>
          <w:type w:val="continuous"/>
          <w:pgSz w:w="22370" w:h="31660"/>
          <w:pgMar w:top="2480" w:right="3000" w:bottom="280" w:left="3140" w:header="708" w:footer="708"/>
          <w:pgNumType w:start="91"/>
          <w:cols w:num="2" w:space="708" w:equalWidth="0">
            <w:col w:w="8463" w:space="301"/>
            <w:col w:w="7466" w:space="0"/>
          </w:cols>
        </w:sectPr>
      </w:pPr>
    </w:p>
    <w:p>
      <w:pPr>
        <w:pStyle w:val="BodyText"/>
        <w:spacing w:before="7"/>
        <w:rPr>
          <w:sz w:val="18"/>
        </w:rPr>
      </w:pPr>
    </w:p>
    <w:p>
      <w:pPr>
        <w:pStyle w:val="BodyText"/>
        <w:spacing w:before="38"/>
        <w:ind w:left="1052"/>
      </w:pPr>
      <w:r>
        <w:t>保留理赔的准确记录</w:t>
      </w:r>
      <w:r>
        <w:rPr>
          <w:rFonts w:ascii="宋体" w:eastAsia="宋体" w:hint="eastAsia"/>
          <w:position w:val="6"/>
          <w:sz w:val="42"/>
        </w:rPr>
        <w:t>，</w:t>
      </w:r>
      <w:r>
        <w:t>对收集和保留的信息的保密程度予以关注</w:t>
      </w:r>
    </w:p>
    <w:p>
      <w:pPr>
        <w:pStyle w:val="BodyText"/>
        <w:spacing w:before="279"/>
        <w:ind w:left="1052"/>
      </w:pPr>
      <w:r>
        <w:t>案件结论最终下达前</w:t>
      </w:r>
      <w:r>
        <w:rPr>
          <w:rFonts w:ascii="宋体" w:eastAsia="宋体" w:hint="eastAsia"/>
          <w:position w:val="6"/>
          <w:sz w:val="42"/>
        </w:rPr>
        <w:t>，</w:t>
      </w:r>
      <w:r>
        <w:t>向投保人等与案件相关人员透漏或承诺理赔结论</w:t>
      </w:r>
    </w:p>
    <w:p>
      <w:pPr>
        <w:pStyle w:val="BodyText"/>
        <w:spacing w:before="6"/>
        <w:rPr>
          <w:sz w:val="13"/>
        </w:rPr>
      </w:pPr>
    </w:p>
    <w:p>
      <w:pPr>
        <w:spacing w:after="0"/>
        <w:rPr>
          <w:sz w:val="13"/>
        </w:rPr>
        <w:sectPr>
          <w:type w:val="continuous"/>
          <w:pgSz w:w="22370" w:h="31660"/>
          <w:pgMar w:top="2480" w:right="3000" w:bottom="280" w:left="3140" w:header="708" w:footer="708"/>
          <w:pgNumType w:start="92"/>
          <w:cols w:space="708"/>
        </w:sectPr>
      </w:pPr>
    </w:p>
    <w:p>
      <w:pPr>
        <w:pStyle w:val="BodyText"/>
        <w:spacing w:before="82" w:line="429" w:lineRule="auto"/>
        <w:ind w:left="1052"/>
      </w:pPr>
      <w:r>
        <w:rPr>
          <w:rFonts w:ascii="Arial" w:eastAsia="Arial"/>
        </w:rPr>
        <w:t>68</w:t>
      </w:r>
      <w:r>
        <w:t>、 风险的特征有很多</w:t>
      </w:r>
      <w:r>
        <w:rPr>
          <w:rFonts w:ascii="宋体" w:eastAsia="宋体" w:hint="eastAsia"/>
          <w:spacing w:val="-3"/>
          <w:position w:val="6"/>
          <w:sz w:val="42"/>
        </w:rPr>
        <w:t>，</w:t>
      </w:r>
      <w:r>
        <w:t>其中</w:t>
      </w:r>
      <w:r>
        <w:rPr>
          <w:rFonts w:ascii="宋体" w:eastAsia="宋体" w:hint="eastAsia"/>
          <w:spacing w:val="-3"/>
          <w:position w:val="6"/>
          <w:sz w:val="42"/>
        </w:rPr>
        <w:t>，</w:t>
      </w:r>
      <w:r>
        <w:rPr>
          <w:spacing w:val="-2"/>
        </w:rPr>
        <w:t>奠定了保险费率厘定基础的是</w:t>
      </w:r>
      <w:r>
        <w:t>客观性</w:t>
      </w:r>
    </w:p>
    <w:p>
      <w:pPr>
        <w:pStyle w:val="BodyText"/>
        <w:spacing w:before="68"/>
        <w:ind w:left="1052"/>
      </w:pPr>
      <w:r>
        <w:t>偶然性</w:t>
      </w:r>
    </w:p>
    <w:p>
      <w:pPr>
        <w:spacing w:before="42"/>
        <w:ind w:left="319" w:right="0" w:firstLine="0"/>
        <w:jc w:val="left"/>
        <w:rPr>
          <w:rFonts w:ascii="宋体" w:eastAsia="宋体" w:hint="eastAsia"/>
          <w:sz w:val="44"/>
        </w:rPr>
      </w:pPr>
      <w:r>
        <w:br w:type="column"/>
      </w:r>
      <w:r>
        <w:rPr>
          <w:rFonts w:ascii="宋体" w:eastAsia="宋体" w:hint="eastAsia"/>
          <w:position w:val="6"/>
          <w:sz w:val="42"/>
        </w:rPr>
        <w:t>（</w:t>
      </w:r>
      <w:r>
        <w:rPr>
          <w:rFonts w:ascii="Arial" w:eastAsia="Arial"/>
          <w:sz w:val="35"/>
        </w:rPr>
        <w:t>C</w:t>
      </w:r>
      <w:r>
        <w:rPr>
          <w:rFonts w:ascii="宋体" w:eastAsia="宋体" w:hint="eastAsia"/>
          <w:sz w:val="35"/>
        </w:rPr>
        <w:t>）</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93"/>
          <w:cols w:num="2" w:space="708" w:equalWidth="0">
            <w:col w:w="10886" w:space="40"/>
            <w:col w:w="5304" w:space="0"/>
          </w:cols>
        </w:sectPr>
      </w:pPr>
    </w:p>
    <w:p>
      <w:pPr>
        <w:pStyle w:val="BodyText"/>
        <w:spacing w:before="22" w:line="470" w:lineRule="auto"/>
        <w:ind w:left="1052" w:right="14119"/>
      </w:pPr>
      <w:r>
        <w:t>可测性发展性</w:t>
      </w:r>
    </w:p>
    <w:p>
      <w:pPr>
        <w:pStyle w:val="BodyText"/>
        <w:tabs>
          <w:tab w:val="left" w:pos="14180"/>
        </w:tabs>
        <w:ind w:left="1052"/>
      </w:pPr>
      <w:r>
        <w:rPr>
          <w:rFonts w:ascii="Arial" w:eastAsia="Arial"/>
        </w:rPr>
        <w:t>69</w:t>
      </w:r>
      <w:r>
        <w:t>、</w:t>
      </w:r>
      <w:r>
        <w:rPr>
          <w:spacing w:val="11"/>
        </w:rPr>
        <w:t xml:space="preserve"> </w:t>
      </w:r>
      <w:r>
        <w:t>由于自然力的不规则作</w:t>
      </w:r>
      <w:r>
        <w:rPr>
          <w:spacing w:val="3"/>
        </w:rPr>
        <w:t>用</w:t>
      </w:r>
      <w:r>
        <w:rPr>
          <w:rFonts w:ascii="宋体" w:eastAsia="宋体" w:hint="eastAsia"/>
          <w:spacing w:val="-3"/>
          <w:position w:val="6"/>
          <w:sz w:val="42"/>
        </w:rPr>
        <w:t>，</w:t>
      </w:r>
      <w:r>
        <w:t>或者由于人们的错误或失当行为而招致的风险</w:t>
        <w:tab/>
      </w:r>
      <w:r>
        <w:rPr>
          <w:rFonts w:ascii="宋体" w:eastAsia="宋体" w:hint="eastAsia"/>
          <w:position w:val="-4"/>
          <w:sz w:val="42"/>
        </w:rPr>
        <w:t>，</w:t>
      </w:r>
      <w:r>
        <w:rPr>
          <w:position w:val="-10"/>
        </w:rPr>
        <w:t>称为</w:t>
      </w:r>
      <w:r>
        <w:rPr>
          <w:rFonts w:ascii="Arial" w:eastAsia="Arial"/>
          <w:position w:val="-10"/>
        </w:rPr>
        <w:t>(A)</w:t>
      </w:r>
      <w:r>
        <w:rPr>
          <w:position w:val="-10"/>
        </w:rPr>
        <w:t>。</w:t>
      </w:r>
    </w:p>
    <w:p>
      <w:pPr>
        <w:pStyle w:val="BodyText"/>
        <w:spacing w:before="283" w:line="470" w:lineRule="auto"/>
        <w:ind w:left="1052" w:right="13768"/>
        <w:jc w:val="both"/>
      </w:pPr>
      <w:r>
        <w:t>静态风险动态风险自然风险社会风险</w:t>
      </w:r>
    </w:p>
    <w:p>
      <w:pPr>
        <w:pStyle w:val="BodyText"/>
        <w:spacing w:line="515" w:lineRule="exact"/>
        <w:ind w:left="1052"/>
        <w:rPr>
          <w:rFonts w:ascii="宋体" w:eastAsia="宋体" w:hint="eastAsia"/>
          <w:sz w:val="44"/>
        </w:rPr>
      </w:pPr>
      <w:r>
        <w:rPr>
          <w:rFonts w:ascii="Arial" w:eastAsia="Arial"/>
        </w:rPr>
        <w:t>70</w:t>
      </w:r>
      <w:r>
        <w:t xml:space="preserve">、保险所承保的风险是 </w:t>
      </w:r>
      <w:r>
        <w:rPr>
          <w:rFonts w:ascii="宋体" w:eastAsia="宋体" w:hint="eastAsia"/>
          <w:position w:val="6"/>
          <w:sz w:val="42"/>
        </w:rPr>
        <w:t>(</w:t>
      </w:r>
      <w:r>
        <w:rPr>
          <w:rFonts w:ascii="Arial" w:eastAsia="Arial"/>
        </w:rPr>
        <w:t>B)</w:t>
      </w:r>
      <w:r>
        <w:rPr>
          <w:rFonts w:ascii="宋体" w:eastAsia="宋体" w:hint="eastAsia"/>
          <w:position w:val="8"/>
          <w:sz w:val="44"/>
        </w:rPr>
        <w:t>。</w:t>
      </w:r>
    </w:p>
    <w:p>
      <w:pPr>
        <w:pStyle w:val="BodyText"/>
        <w:spacing w:before="448" w:line="470" w:lineRule="auto"/>
        <w:ind w:left="1052" w:right="13768"/>
        <w:jc w:val="both"/>
      </w:pPr>
      <w:r>
        <w:t>社会风险纯粹风险投资风险以上都对</w:t>
      </w:r>
    </w:p>
    <w:p>
      <w:pPr>
        <w:pStyle w:val="BodyText"/>
        <w:spacing w:line="515" w:lineRule="exact"/>
        <w:ind w:left="1052"/>
      </w:pPr>
      <w:r>
        <w:rPr>
          <w:rFonts w:ascii="Arial" w:eastAsia="Arial"/>
        </w:rPr>
        <w:t>71</w:t>
      </w:r>
      <w:r>
        <w:t>、从</w:t>
      </w:r>
      <w:r>
        <w:rPr>
          <w:rFonts w:ascii="Arial" w:eastAsia="Arial"/>
        </w:rPr>
        <w:t>(D)</w:t>
      </w:r>
      <w:r>
        <w:t>的角度看</w:t>
      </w:r>
      <w:r>
        <w:rPr>
          <w:rFonts w:ascii="宋体" w:eastAsia="宋体" w:hint="eastAsia"/>
          <w:position w:val="6"/>
          <w:sz w:val="42"/>
        </w:rPr>
        <w:t>，</w:t>
      </w:r>
      <w:r>
        <w:t>保险是一种有效转移风险、保障社会稳定的手段。</w:t>
      </w:r>
    </w:p>
    <w:p>
      <w:pPr>
        <w:pStyle w:val="BodyText"/>
        <w:spacing w:before="2"/>
      </w:pPr>
    </w:p>
    <w:p>
      <w:pPr>
        <w:pStyle w:val="BodyText"/>
        <w:spacing w:line="470" w:lineRule="auto"/>
        <w:ind w:left="1052" w:right="14470"/>
        <w:jc w:val="both"/>
      </w:pPr>
      <w:r>
        <w:t>经济政治法律</w:t>
      </w:r>
    </w:p>
    <w:p>
      <w:pPr>
        <w:spacing w:after="0" w:line="470" w:lineRule="auto"/>
        <w:jc w:val="both"/>
        <w:sectPr>
          <w:pgSz w:w="22370" w:h="31660"/>
          <w:pgMar w:top="2340" w:right="3000" w:bottom="280" w:left="3140" w:header="708" w:footer="708"/>
          <w:pgNumType w:start="94"/>
          <w:cols w:space="708"/>
        </w:sectPr>
      </w:pPr>
    </w:p>
    <w:p>
      <w:pPr>
        <w:pStyle w:val="BodyText"/>
        <w:spacing w:line="443" w:lineRule="exact"/>
        <w:ind w:left="1052"/>
      </w:pPr>
      <w:r>
        <w:t>社会功能</w:t>
      </w:r>
    </w:p>
    <w:p>
      <w:pPr>
        <w:pStyle w:val="BodyText"/>
        <w:rPr>
          <w:sz w:val="32"/>
        </w:rPr>
      </w:pPr>
    </w:p>
    <w:p>
      <w:pPr>
        <w:pStyle w:val="BodyText"/>
        <w:spacing w:line="331" w:lineRule="auto"/>
        <w:ind w:left="117" w:right="38" w:firstLine="934"/>
      </w:pPr>
      <w:r>
        <w:rPr>
          <w:rFonts w:ascii="Arial" w:eastAsia="Arial"/>
        </w:rPr>
        <w:t>72</w:t>
      </w:r>
      <w:r>
        <w:t>、国家对一定的对象以法律、法令或条例规定其必须投保的一种保险强制保险</w:t>
      </w:r>
    </w:p>
    <w:p>
      <w:pPr>
        <w:pStyle w:val="BodyText"/>
        <w:spacing w:before="257" w:line="470" w:lineRule="auto"/>
        <w:ind w:left="1052" w:right="9241"/>
      </w:pPr>
      <w:r>
        <w:t xml:space="preserve">社会保险 </w:t>
      </w:r>
      <w:r>
        <w:rPr>
          <w:spacing w:val="-4"/>
        </w:rPr>
        <w:t>政策性保险</w:t>
      </w:r>
      <w:r>
        <w:t>巨灾保险</w:t>
      </w:r>
    </w:p>
    <w:p>
      <w:pPr>
        <w:pStyle w:val="BodyText"/>
        <w:spacing w:line="515" w:lineRule="exact"/>
        <w:ind w:left="1052"/>
        <w:rPr>
          <w:rFonts w:ascii="宋体" w:eastAsia="宋体" w:hint="eastAsia"/>
          <w:sz w:val="44"/>
        </w:rPr>
      </w:pPr>
      <w:r>
        <w:rPr>
          <w:rFonts w:ascii="Arial" w:eastAsia="Arial"/>
        </w:rPr>
        <w:t>73</w:t>
      </w:r>
      <w:r>
        <w:t>、 保险的功能有三个</w:t>
      </w:r>
      <w:r>
        <w:rPr>
          <w:rFonts w:ascii="宋体" w:eastAsia="宋体" w:hint="eastAsia"/>
          <w:position w:val="6"/>
          <w:sz w:val="42"/>
        </w:rPr>
        <w:t>，</w:t>
      </w:r>
      <w:r>
        <w:t>下列不属于保险功能的是</w:t>
      </w:r>
      <w:r>
        <w:rPr>
          <w:rFonts w:ascii="宋体" w:eastAsia="宋体" w:hint="eastAsia"/>
          <w:position w:val="6"/>
          <w:sz w:val="42"/>
        </w:rPr>
        <w:t>(</w:t>
      </w:r>
      <w:r>
        <w:rPr>
          <w:rFonts w:ascii="Arial" w:eastAsia="Arial"/>
        </w:rPr>
        <w:t>C)</w:t>
      </w:r>
      <w:r>
        <w:rPr>
          <w:rFonts w:ascii="宋体" w:eastAsia="宋体" w:hint="eastAsia"/>
          <w:position w:val="8"/>
          <w:sz w:val="44"/>
        </w:rPr>
        <w:t>。</w:t>
      </w:r>
    </w:p>
    <w:p>
      <w:pPr>
        <w:pStyle w:val="BodyText"/>
        <w:spacing w:before="451" w:line="470" w:lineRule="auto"/>
        <w:ind w:left="1052" w:right="9592"/>
        <w:jc w:val="both"/>
      </w:pPr>
      <w:r>
        <w:t>经济补偿资金融通投机</w:t>
      </w:r>
    </w:p>
    <w:p>
      <w:pPr>
        <w:pStyle w:val="BodyText"/>
        <w:spacing w:line="446" w:lineRule="exact"/>
        <w:ind w:left="1052"/>
      </w:pPr>
      <w:r>
        <w:t>社会管理</w:t>
      </w:r>
    </w:p>
    <w:p>
      <w:pPr>
        <w:pStyle w:val="BodyText"/>
        <w:spacing w:before="6"/>
        <w:rPr>
          <w:sz w:val="25"/>
        </w:rPr>
      </w:pPr>
    </w:p>
    <w:p>
      <w:pPr>
        <w:pStyle w:val="BodyText"/>
        <w:spacing w:line="432" w:lineRule="auto"/>
        <w:ind w:left="1052" w:right="1257"/>
      </w:pPr>
      <w:r>
        <w:rPr>
          <w:rFonts w:ascii="Arial" w:eastAsia="Arial"/>
        </w:rPr>
        <w:t>74</w:t>
      </w:r>
      <w:r>
        <w:t>、 保险合同是一种双务合同</w:t>
      </w:r>
      <w:r>
        <w:rPr>
          <w:rFonts w:ascii="宋体" w:eastAsia="宋体" w:hint="eastAsia"/>
          <w:spacing w:val="-3"/>
          <w:position w:val="6"/>
          <w:sz w:val="42"/>
        </w:rPr>
        <w:t>，</w:t>
      </w:r>
      <w:r>
        <w:t>投保人最主要的义务是</w:t>
      </w:r>
      <w:r>
        <w:rPr>
          <w:rFonts w:ascii="宋体" w:eastAsia="宋体" w:hint="eastAsia"/>
          <w:position w:val="6"/>
          <w:sz w:val="42"/>
        </w:rPr>
        <w:t>(</w:t>
      </w:r>
      <w:r>
        <w:rPr>
          <w:rFonts w:ascii="Arial" w:eastAsia="Arial"/>
        </w:rPr>
        <w:t>C)</w:t>
      </w:r>
      <w:r>
        <w:rPr>
          <w:rFonts w:ascii="宋体" w:eastAsia="宋体" w:hint="eastAsia"/>
          <w:spacing w:val="-15"/>
          <w:position w:val="8"/>
          <w:sz w:val="44"/>
        </w:rPr>
        <w:t>。</w:t>
      </w:r>
      <w:r>
        <w:t>告知义务</w:t>
      </w:r>
    </w:p>
    <w:p>
      <w:pPr>
        <w:pStyle w:val="BodyText"/>
        <w:spacing w:before="32"/>
        <w:ind w:left="1052"/>
        <w:rPr>
          <w:rFonts w:ascii="宋体" w:eastAsia="宋体" w:hint="eastAsia"/>
          <w:sz w:val="42"/>
        </w:rPr>
      </w:pPr>
      <w:r>
        <w:t>出险通知义务</w:t>
      </w:r>
      <w:r>
        <w:rPr>
          <w:rFonts w:ascii="宋体" w:eastAsia="宋体" w:hint="eastAsia"/>
          <w:position w:val="6"/>
          <w:sz w:val="42"/>
        </w:rPr>
        <w:t>？</w:t>
      </w:r>
    </w:p>
    <w:p>
      <w:pPr>
        <w:spacing w:before="450"/>
        <w:ind w:left="117" w:right="0" w:firstLine="0"/>
        <w:jc w:val="left"/>
        <w:rPr>
          <w:rFonts w:ascii="宋体" w:eastAsia="宋体" w:hint="eastAsia"/>
          <w:sz w:val="44"/>
        </w:rPr>
      </w:pPr>
      <w:r>
        <w:br w:type="column"/>
      </w:r>
      <w:r>
        <w:rPr>
          <w:rFonts w:ascii="宋体" w:eastAsia="宋体" w:hint="eastAsia"/>
          <w:position w:val="6"/>
          <w:sz w:val="42"/>
        </w:rPr>
        <w:t>，</w:t>
      </w:r>
      <w:r>
        <w:rPr>
          <w:sz w:val="35"/>
        </w:rPr>
        <w:t>我们称为</w:t>
      </w:r>
      <w:r>
        <w:rPr>
          <w:rFonts w:ascii="Arial" w:eastAsia="Arial"/>
          <w:sz w:val="35"/>
        </w:rPr>
        <w:t>(A)</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95"/>
          <w:cols w:num="2" w:space="708" w:equalWidth="0">
            <w:col w:w="12051" w:space="1214"/>
            <w:col w:w="2965" w:space="0"/>
          </w:cols>
        </w:sectPr>
      </w:pPr>
    </w:p>
    <w:p>
      <w:pPr>
        <w:pStyle w:val="BodyText"/>
        <w:spacing w:before="22"/>
        <w:ind w:left="982"/>
      </w:pPr>
      <w:r>
        <w:t>交付保费义务</w:t>
      </w:r>
    </w:p>
    <w:p>
      <w:pPr>
        <w:pStyle w:val="BodyText"/>
        <w:spacing w:before="8"/>
        <w:rPr>
          <w:sz w:val="33"/>
        </w:rPr>
      </w:pPr>
    </w:p>
    <w:p>
      <w:pPr>
        <w:pStyle w:val="BodyText"/>
        <w:ind w:left="982"/>
      </w:pPr>
      <w:r>
        <w:t>危险增加的通知义务</w:t>
      </w:r>
    </w:p>
    <w:p>
      <w:pPr>
        <w:pStyle w:val="BodyText"/>
        <w:spacing w:before="6"/>
        <w:rPr>
          <w:sz w:val="25"/>
        </w:rPr>
      </w:pPr>
    </w:p>
    <w:p>
      <w:pPr>
        <w:pStyle w:val="BodyText"/>
        <w:tabs>
          <w:tab w:val="left" w:pos="6851"/>
        </w:tabs>
        <w:ind w:left="982"/>
        <w:rPr>
          <w:rFonts w:ascii="宋体" w:eastAsia="宋体" w:hint="eastAsia"/>
          <w:sz w:val="44"/>
        </w:rPr>
      </w:pPr>
      <w:r>
        <w:rPr>
          <w:rFonts w:ascii="Arial" w:eastAsia="Arial"/>
        </w:rPr>
        <w:t>75</w:t>
      </w:r>
      <w:r>
        <w:t>、</w:t>
      </w:r>
      <w:r>
        <w:rPr>
          <w:spacing w:val="6"/>
        </w:rPr>
        <w:t xml:space="preserve"> </w:t>
      </w:r>
      <w:r>
        <w:t>下列关于受益人的特点的表述</w:t>
        <w:tab/>
      </w:r>
      <w:r>
        <w:rPr>
          <w:rFonts w:ascii="宋体" w:eastAsia="宋体" w:hint="eastAsia"/>
          <w:position w:val="6"/>
          <w:sz w:val="42"/>
        </w:rPr>
        <w:t>，</w:t>
      </w:r>
      <w:r>
        <w:t>不正确的</w:t>
      </w:r>
      <w:r>
        <w:rPr>
          <w:spacing w:val="3"/>
        </w:rPr>
        <w:t>是</w:t>
      </w:r>
      <w:r>
        <w:rPr>
          <w:rFonts w:ascii="宋体" w:eastAsia="宋体" w:hint="eastAsia"/>
          <w:position w:val="6"/>
          <w:sz w:val="42"/>
        </w:rPr>
        <w:t>（</w:t>
      </w:r>
      <w:r>
        <w:rPr>
          <w:rFonts w:ascii="Arial" w:eastAsia="Arial"/>
        </w:rPr>
        <w:t>D</w:t>
      </w:r>
      <w:r>
        <w:rPr>
          <w:rFonts w:ascii="宋体" w:eastAsia="宋体" w:hint="eastAsia"/>
        </w:rPr>
        <w:t>）</w:t>
      </w:r>
      <w:r>
        <w:rPr>
          <w:rFonts w:ascii="宋体" w:eastAsia="宋体" w:hint="eastAsia"/>
          <w:position w:val="8"/>
          <w:sz w:val="44"/>
        </w:rPr>
        <w:t>。</w:t>
      </w:r>
    </w:p>
    <w:p>
      <w:pPr>
        <w:pStyle w:val="BodyText"/>
        <w:spacing w:before="451" w:line="470" w:lineRule="auto"/>
        <w:ind w:left="982" w:right="11381"/>
      </w:pPr>
      <w:r>
        <w:t>由投保人或被保险人指定享有保险金请求权</w:t>
      </w:r>
    </w:p>
    <w:p>
      <w:pPr>
        <w:pStyle w:val="BodyText"/>
        <w:spacing w:line="470" w:lineRule="auto"/>
        <w:ind w:left="982" w:right="10328"/>
      </w:pPr>
      <w:r>
        <w:t xml:space="preserve">受益人可以是投保人或第三人 </w:t>
      </w:r>
      <w:r>
        <w:rPr>
          <w:spacing w:val="-2"/>
        </w:rPr>
        <w:t>受益人可以是保险人或被保险人</w:t>
      </w:r>
    </w:p>
    <w:p>
      <w:pPr>
        <w:pStyle w:val="BodyText"/>
        <w:tabs>
          <w:tab w:val="left" w:pos="8041"/>
        </w:tabs>
        <w:spacing w:line="518" w:lineRule="exact"/>
        <w:ind w:left="982"/>
        <w:rPr>
          <w:rFonts w:ascii="宋体" w:eastAsia="宋体" w:hint="eastAsia"/>
          <w:sz w:val="44"/>
        </w:rPr>
      </w:pPr>
      <w:r>
        <w:rPr>
          <w:rFonts w:ascii="Arial" w:eastAsia="Arial"/>
        </w:rPr>
        <w:t>76</w:t>
      </w:r>
      <w:r>
        <w:t>、</w:t>
      </w:r>
      <w:r>
        <w:rPr>
          <w:spacing w:val="7"/>
        </w:rPr>
        <w:t xml:space="preserve"> </w:t>
      </w:r>
      <w:r>
        <w:t>保险合同的订立要经历的两个阶段是</w:t>
        <w:tab/>
      </w:r>
      <w:r>
        <w:rPr>
          <w:rFonts w:ascii="宋体" w:eastAsia="宋体" w:hint="eastAsia"/>
          <w:position w:val="6"/>
          <w:sz w:val="42"/>
        </w:rPr>
        <w:t>（</w:t>
      </w:r>
      <w:r>
        <w:rPr>
          <w:rFonts w:ascii="Arial" w:eastAsia="Arial"/>
        </w:rPr>
        <w:t>D</w:t>
      </w:r>
      <w:r>
        <w:rPr>
          <w:rFonts w:ascii="宋体" w:eastAsia="宋体" w:hint="eastAsia"/>
        </w:rPr>
        <w:t>）</w:t>
      </w:r>
      <w:r>
        <w:rPr>
          <w:rFonts w:ascii="宋体" w:eastAsia="宋体" w:hint="eastAsia"/>
          <w:position w:val="8"/>
          <w:sz w:val="44"/>
        </w:rPr>
        <w:t>。</w:t>
      </w:r>
    </w:p>
    <w:p>
      <w:pPr>
        <w:pStyle w:val="BodyText"/>
        <w:spacing w:before="445" w:line="470" w:lineRule="auto"/>
        <w:ind w:left="982" w:right="13487"/>
        <w:jc w:val="both"/>
      </w:pPr>
      <w:r>
        <w:t>承诺和保证声明和要约声明和保证承诺和要约</w:t>
      </w:r>
    </w:p>
    <w:p>
      <w:pPr>
        <w:pStyle w:val="BodyText"/>
        <w:tabs>
          <w:tab w:val="left" w:pos="10434"/>
        </w:tabs>
        <w:spacing w:line="515" w:lineRule="exact"/>
        <w:ind w:left="982"/>
      </w:pPr>
      <w:r>
        <w:rPr>
          <w:rFonts w:ascii="Arial" w:eastAsia="Arial"/>
        </w:rPr>
        <w:t>77</w:t>
      </w:r>
      <w:r>
        <w:t>、</w:t>
      </w:r>
      <w:r>
        <w:rPr>
          <w:spacing w:val="9"/>
        </w:rPr>
        <w:t xml:space="preserve"> </w:t>
      </w:r>
      <w:r>
        <w:t>一方当事人向对方当事人提出订立合同的意思表示</w:t>
        <w:tab/>
      </w:r>
      <w:r>
        <w:rPr>
          <w:rFonts w:ascii="宋体" w:eastAsia="宋体" w:hint="eastAsia"/>
          <w:position w:val="6"/>
          <w:sz w:val="42"/>
        </w:rPr>
        <w:t>，</w:t>
      </w:r>
      <w:r>
        <w:t>称为</w:t>
      </w:r>
      <w:r>
        <w:rPr>
          <w:rFonts w:ascii="宋体" w:eastAsia="宋体" w:hint="eastAsia"/>
        </w:rPr>
        <w:t>（</w:t>
      </w:r>
      <w:r>
        <w:rPr>
          <w:rFonts w:ascii="Arial" w:eastAsia="Arial"/>
        </w:rPr>
        <w:t>A</w:t>
      </w:r>
      <w:r>
        <w:rPr>
          <w:rFonts w:ascii="宋体" w:eastAsia="宋体" w:hint="eastAsia"/>
        </w:rPr>
        <w:t>）</w:t>
      </w:r>
      <w:r>
        <w:t>。</w:t>
      </w:r>
    </w:p>
    <w:p>
      <w:pPr>
        <w:pStyle w:val="BodyText"/>
        <w:spacing w:before="2"/>
      </w:pPr>
    </w:p>
    <w:p>
      <w:pPr>
        <w:pStyle w:val="BodyText"/>
        <w:spacing w:line="470" w:lineRule="auto"/>
        <w:ind w:left="982" w:right="14540"/>
        <w:jc w:val="both"/>
      </w:pPr>
      <w:r>
        <w:t>要约邀请声明</w:t>
      </w:r>
    </w:p>
    <w:p>
      <w:pPr>
        <w:spacing w:after="0" w:line="470" w:lineRule="auto"/>
        <w:jc w:val="both"/>
        <w:sectPr>
          <w:pgSz w:w="22370" w:h="31660"/>
          <w:pgMar w:top="2340" w:right="3000" w:bottom="280" w:left="3140" w:header="708" w:footer="708"/>
          <w:pgNumType w:start="96"/>
          <w:cols w:space="708"/>
        </w:sectPr>
      </w:pPr>
    </w:p>
    <w:p>
      <w:pPr>
        <w:pStyle w:val="BodyText"/>
        <w:spacing w:line="443" w:lineRule="exact"/>
        <w:ind w:left="982"/>
      </w:pPr>
      <w:r>
        <w:t>保证</w:t>
      </w:r>
    </w:p>
    <w:p>
      <w:pPr>
        <w:pStyle w:val="BodyText"/>
        <w:spacing w:before="11"/>
        <w:rPr>
          <w:sz w:val="28"/>
        </w:rPr>
      </w:pPr>
    </w:p>
    <w:p>
      <w:pPr>
        <w:pStyle w:val="BodyText"/>
        <w:ind w:left="982"/>
      </w:pPr>
      <w:r>
        <w:rPr>
          <w:rFonts w:ascii="Arial" w:eastAsia="Arial"/>
        </w:rPr>
        <w:t>78</w:t>
      </w:r>
      <w:r>
        <w:t>、 接受保险人的委托</w:t>
      </w:r>
      <w:r>
        <w:rPr>
          <w:rFonts w:ascii="宋体" w:eastAsia="宋体" w:hint="eastAsia"/>
          <w:position w:val="6"/>
          <w:sz w:val="42"/>
        </w:rPr>
        <w:t>，</w:t>
      </w:r>
      <w:r>
        <w:t>在保险人授权范围内开展保险业务的单位或个人</w:t>
      </w:r>
    </w:p>
    <w:p>
      <w:pPr>
        <w:pStyle w:val="BodyText"/>
        <w:spacing w:before="29"/>
        <w:ind w:left="117"/>
      </w:pPr>
      <w:r>
        <w:rPr>
          <w:rFonts w:ascii="宋体" w:eastAsia="宋体" w:hint="eastAsia"/>
        </w:rPr>
        <w:t>（</w:t>
      </w:r>
      <w:r>
        <w:rPr>
          <w:rFonts w:ascii="Arial" w:eastAsia="Arial"/>
        </w:rPr>
        <w:t>A</w:t>
      </w:r>
      <w:r>
        <w:rPr>
          <w:rFonts w:ascii="宋体" w:eastAsia="宋体" w:hint="eastAsia"/>
        </w:rPr>
        <w:t>）</w:t>
      </w:r>
      <w:r>
        <w:t>。</w:t>
      </w:r>
    </w:p>
    <w:p>
      <w:pPr>
        <w:pStyle w:val="BodyText"/>
        <w:spacing w:before="2"/>
      </w:pPr>
    </w:p>
    <w:p>
      <w:pPr>
        <w:pStyle w:val="BodyText"/>
        <w:spacing w:line="470" w:lineRule="auto"/>
        <w:ind w:left="982" w:right="9801"/>
        <w:jc w:val="both"/>
      </w:pPr>
      <w:r>
        <w:t>保险代理人保险经纪人保险公估人保险中介人</w:t>
      </w:r>
    </w:p>
    <w:p>
      <w:pPr>
        <w:pStyle w:val="BodyText"/>
        <w:tabs>
          <w:tab w:val="left" w:pos="8873"/>
        </w:tabs>
        <w:spacing w:line="512" w:lineRule="exact"/>
        <w:ind w:left="982"/>
      </w:pPr>
      <w:r>
        <w:rPr>
          <w:rFonts w:ascii="Arial" w:eastAsia="Arial"/>
        </w:rPr>
        <w:t>79</w:t>
      </w:r>
      <w:r>
        <w:t>、</w:t>
      </w:r>
      <w:r>
        <w:rPr>
          <w:spacing w:val="8"/>
        </w:rPr>
        <w:t xml:space="preserve"> </w:t>
      </w:r>
      <w:r>
        <w:t>保险合同得以适当全面履行的前提条件是</w:t>
        <w:tab/>
      </w:r>
      <w:r>
        <w:rPr>
          <w:rFonts w:ascii="宋体" w:eastAsia="宋体" w:hint="eastAsia"/>
          <w:position w:val="6"/>
          <w:sz w:val="42"/>
        </w:rPr>
        <w:t>（</w:t>
      </w:r>
      <w:r>
        <w:rPr>
          <w:rFonts w:ascii="Arial" w:eastAsia="Arial"/>
        </w:rPr>
        <w:t>D</w:t>
      </w:r>
      <w:r>
        <w:rPr>
          <w:rFonts w:ascii="宋体" w:eastAsia="宋体" w:hint="eastAsia"/>
        </w:rPr>
        <w:t>）</w:t>
      </w:r>
      <w:r>
        <w:t>。</w:t>
      </w:r>
    </w:p>
    <w:p>
      <w:pPr>
        <w:pStyle w:val="BodyText"/>
        <w:spacing w:before="3"/>
      </w:pPr>
    </w:p>
    <w:p>
      <w:pPr>
        <w:pStyle w:val="BodyText"/>
        <w:spacing w:line="470" w:lineRule="auto"/>
        <w:ind w:left="982" w:right="10152"/>
        <w:jc w:val="both"/>
      </w:pPr>
      <w:r>
        <w:t>保险标的保险责任保险价值</w:t>
      </w:r>
    </w:p>
    <w:p>
      <w:pPr>
        <w:pStyle w:val="BodyText"/>
        <w:spacing w:line="446" w:lineRule="exact"/>
        <w:ind w:left="982"/>
      </w:pPr>
      <w:r>
        <w:t>当事人和关系人的名称和场所</w:t>
      </w:r>
    </w:p>
    <w:p>
      <w:pPr>
        <w:pStyle w:val="BodyText"/>
        <w:spacing w:before="8"/>
        <w:rPr>
          <w:sz w:val="28"/>
        </w:rPr>
      </w:pPr>
    </w:p>
    <w:p>
      <w:pPr>
        <w:pStyle w:val="BodyText"/>
        <w:tabs>
          <w:tab w:val="left" w:pos="6115"/>
        </w:tabs>
        <w:spacing w:line="441" w:lineRule="auto"/>
        <w:ind w:left="982" w:right="2870"/>
      </w:pPr>
      <w:r>
        <w:rPr>
          <w:rFonts w:ascii="Arial" w:eastAsia="Arial"/>
        </w:rPr>
        <w:t>80</w:t>
      </w:r>
      <w:r>
        <w:t>、</w:t>
      </w:r>
      <w:r>
        <w:rPr>
          <w:spacing w:val="5"/>
        </w:rPr>
        <w:t xml:space="preserve"> </w:t>
      </w:r>
      <w:r>
        <w:t>下列关于告知义务的说法</w:t>
        <w:tab/>
      </w:r>
      <w:r>
        <w:rPr>
          <w:rFonts w:ascii="宋体" w:eastAsia="宋体" w:hint="eastAsia"/>
          <w:position w:val="6"/>
          <w:sz w:val="42"/>
        </w:rPr>
        <w:t>，</w:t>
      </w:r>
      <w:r>
        <w:t>不正确的</w:t>
      </w:r>
      <w:r>
        <w:rPr>
          <w:spacing w:val="3"/>
        </w:rPr>
        <w:t>是</w:t>
      </w:r>
      <w:r>
        <w:rPr>
          <w:rFonts w:ascii="宋体" w:eastAsia="宋体" w:hint="eastAsia"/>
          <w:position w:val="6"/>
          <w:sz w:val="42"/>
        </w:rPr>
        <w:t>（</w:t>
      </w:r>
      <w:r>
        <w:rPr>
          <w:rFonts w:ascii="Arial" w:eastAsia="Arial"/>
        </w:rPr>
        <w:t>C</w:t>
      </w:r>
      <w:r>
        <w:rPr>
          <w:rFonts w:ascii="宋体" w:eastAsia="宋体" w:hint="eastAsia"/>
        </w:rPr>
        <w:t>）</w:t>
      </w:r>
      <w:r>
        <w:rPr>
          <w:spacing w:val="-17"/>
        </w:rPr>
        <w:t>。</w:t>
      </w:r>
      <w:r>
        <w:t>告知是合同前义务</w:t>
      </w:r>
    </w:p>
    <w:p>
      <w:pPr>
        <w:pStyle w:val="BodyText"/>
        <w:spacing w:before="6"/>
        <w:rPr>
          <w:sz w:val="63"/>
        </w:rPr>
      </w:pPr>
      <w:r>
        <w:br w:type="column"/>
      </w:r>
    </w:p>
    <w:p>
      <w:pPr>
        <w:pStyle w:val="BodyText"/>
        <w:ind w:left="117"/>
      </w:pPr>
      <w:r>
        <w:rPr>
          <w:rFonts w:ascii="宋体" w:eastAsia="宋体" w:hint="eastAsia"/>
          <w:position w:val="6"/>
          <w:sz w:val="42"/>
        </w:rPr>
        <w:t>，</w:t>
      </w:r>
      <w:r>
        <w:t>我们称为</w:t>
      </w:r>
    </w:p>
    <w:p>
      <w:pPr>
        <w:spacing w:after="0"/>
        <w:sectPr>
          <w:type w:val="continuous"/>
          <w:pgSz w:w="22370" w:h="31660"/>
          <w:pgMar w:top="2480" w:right="3000" w:bottom="280" w:left="3140" w:header="708" w:footer="708"/>
          <w:pgNumType w:start="97"/>
          <w:cols w:num="2" w:space="708" w:equalWidth="0">
            <w:col w:w="12541" w:space="624"/>
            <w:col w:w="3065" w:space="0"/>
          </w:cols>
        </w:sectPr>
      </w:pPr>
    </w:p>
    <w:p>
      <w:pPr>
        <w:pStyle w:val="BodyText"/>
        <w:spacing w:before="22"/>
        <w:ind w:left="982"/>
      </w:pPr>
      <w:r>
        <w:t>口头和书面告知都是履行告知义务</w:t>
      </w:r>
    </w:p>
    <w:p>
      <w:pPr>
        <w:pStyle w:val="BodyText"/>
        <w:spacing w:before="9"/>
        <w:rPr>
          <w:sz w:val="43"/>
        </w:rPr>
      </w:pPr>
    </w:p>
    <w:p>
      <w:pPr>
        <w:pStyle w:val="BodyText"/>
        <w:ind w:left="1029"/>
      </w:pPr>
      <w:r>
        <w:t>告知分为有限告知和无限告知</w:t>
      </w:r>
    </w:p>
    <w:p>
      <w:pPr>
        <w:pStyle w:val="BodyText"/>
        <w:spacing w:before="1"/>
        <w:rPr>
          <w:sz w:val="29"/>
        </w:rPr>
      </w:pPr>
    </w:p>
    <w:p>
      <w:pPr>
        <w:spacing w:after="0"/>
        <w:rPr>
          <w:sz w:val="29"/>
        </w:rPr>
        <w:sectPr>
          <w:pgSz w:w="22370" w:h="31660"/>
          <w:pgMar w:top="2340" w:right="3000" w:bottom="280" w:left="3140" w:header="708" w:footer="708"/>
          <w:pgNumType w:start="98"/>
          <w:cols w:space="708"/>
        </w:sectPr>
      </w:pPr>
    </w:p>
    <w:p>
      <w:pPr>
        <w:pStyle w:val="BodyText"/>
        <w:spacing w:before="38" w:line="513" w:lineRule="auto"/>
        <w:ind w:left="1029"/>
      </w:pPr>
      <w:r>
        <w:t xml:space="preserve">早期的海上保险采用的是无限告知的形式 </w:t>
      </w:r>
      <w:r>
        <w:rPr>
          <w:rFonts w:ascii="Arial" w:eastAsia="Arial"/>
        </w:rPr>
        <w:t>81</w:t>
      </w:r>
      <w:r>
        <w:rPr>
          <w:spacing w:val="-2"/>
        </w:rPr>
        <w:t>、我国人身保险的保险利益的确定原则是</w:t>
      </w:r>
      <w:r>
        <w:t>利害相对论</w:t>
      </w:r>
    </w:p>
    <w:p>
      <w:pPr>
        <w:pStyle w:val="BodyText"/>
        <w:spacing w:line="349" w:lineRule="exact"/>
        <w:ind w:left="1029"/>
      </w:pPr>
      <w:r>
        <w:t>承认论</w:t>
      </w:r>
    </w:p>
    <w:p>
      <w:pPr>
        <w:pStyle w:val="BodyText"/>
        <w:spacing w:before="10"/>
        <w:rPr>
          <w:sz w:val="31"/>
        </w:rPr>
      </w:pPr>
    </w:p>
    <w:p>
      <w:pPr>
        <w:pStyle w:val="BodyText"/>
        <w:spacing w:before="1"/>
        <w:ind w:left="1029"/>
      </w:pPr>
      <w:r>
        <w:t>法律论</w:t>
      </w:r>
    </w:p>
    <w:p>
      <w:pPr>
        <w:pStyle w:val="BodyText"/>
        <w:spacing w:before="7"/>
        <w:rPr>
          <w:sz w:val="66"/>
        </w:rPr>
      </w:pPr>
      <w:r>
        <w:br w:type="column"/>
      </w:r>
    </w:p>
    <w:p>
      <w:pPr>
        <w:spacing w:before="0"/>
        <w:ind w:left="688" w:right="0" w:firstLine="0"/>
        <w:jc w:val="left"/>
        <w:rPr>
          <w:rFonts w:ascii="宋体" w:eastAsia="宋体" w:hint="eastAsia"/>
          <w:sz w:val="44"/>
        </w:rPr>
      </w:pPr>
      <w:r>
        <w:rPr>
          <w:rFonts w:ascii="宋体" w:eastAsia="宋体" w:hint="eastAsia"/>
          <w:position w:val="6"/>
          <w:sz w:val="42"/>
        </w:rPr>
        <w:t>（</w:t>
      </w:r>
      <w:r>
        <w:rPr>
          <w:rFonts w:ascii="Arial" w:eastAsia="Arial"/>
          <w:sz w:val="35"/>
        </w:rPr>
        <w:t>D</w:t>
      </w:r>
      <w:r>
        <w:rPr>
          <w:rFonts w:ascii="宋体" w:eastAsia="宋体" w:hint="eastAsia"/>
          <w:sz w:val="35"/>
        </w:rPr>
        <w:t>）</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99"/>
          <w:cols w:num="2" w:space="708" w:equalWidth="0">
            <w:col w:w="7738" w:space="40"/>
            <w:col w:w="8452" w:space="0"/>
          </w:cols>
        </w:sectPr>
      </w:pPr>
    </w:p>
    <w:p>
      <w:pPr>
        <w:pStyle w:val="BodyText"/>
        <w:spacing w:before="1"/>
        <w:rPr>
          <w:rFonts w:ascii="宋体"/>
          <w:sz w:val="29"/>
        </w:rPr>
      </w:pPr>
    </w:p>
    <w:p>
      <w:pPr>
        <w:pStyle w:val="BodyText"/>
        <w:spacing w:before="38"/>
        <w:ind w:left="1029"/>
      </w:pPr>
      <w:r>
        <w:t>限制家庭成员关系范围并结合被保险人同意的方式</w:t>
      </w:r>
    </w:p>
    <w:p>
      <w:pPr>
        <w:pStyle w:val="BodyText"/>
        <w:spacing w:before="7"/>
        <w:rPr>
          <w:sz w:val="25"/>
        </w:rPr>
      </w:pPr>
    </w:p>
    <w:p>
      <w:pPr>
        <w:spacing w:after="0"/>
        <w:rPr>
          <w:sz w:val="25"/>
        </w:rPr>
        <w:sectPr>
          <w:type w:val="continuous"/>
          <w:pgSz w:w="22370" w:h="31660"/>
          <w:pgMar w:top="2480" w:right="3000" w:bottom="280" w:left="3140" w:header="708" w:footer="708"/>
          <w:pgNumType w:start="100"/>
          <w:cols w:space="708"/>
        </w:sectPr>
      </w:pPr>
    </w:p>
    <w:p>
      <w:pPr>
        <w:pStyle w:val="BodyText"/>
        <w:spacing w:before="212"/>
        <w:ind w:left="1029"/>
      </w:pPr>
      <w:r>
        <w:rPr>
          <w:rFonts w:ascii="Arial" w:eastAsia="Arial"/>
        </w:rPr>
        <w:t>80</w:t>
      </w:r>
      <w:r>
        <w:t>、下列关于损失补偿原则的表述</w:t>
      </w:r>
    </w:p>
    <w:p>
      <w:pPr>
        <w:spacing w:before="42"/>
        <w:ind w:left="592" w:right="0" w:firstLine="0"/>
        <w:jc w:val="left"/>
        <w:rPr>
          <w:rFonts w:ascii="宋体" w:eastAsia="宋体" w:hint="eastAsia"/>
          <w:sz w:val="44"/>
        </w:rPr>
      </w:pPr>
      <w:r>
        <w:br w:type="column"/>
      </w:r>
      <w:r>
        <w:rPr>
          <w:rFonts w:ascii="宋体" w:eastAsia="宋体" w:hint="eastAsia"/>
          <w:position w:val="6"/>
          <w:sz w:val="42"/>
        </w:rPr>
        <w:t>，</w:t>
      </w:r>
      <w:r>
        <w:rPr>
          <w:sz w:val="35"/>
        </w:rPr>
        <w:t>不正确的是</w:t>
      </w:r>
      <w:r>
        <w:rPr>
          <w:rFonts w:ascii="宋体" w:eastAsia="宋体" w:hint="eastAsia"/>
          <w:position w:val="6"/>
          <w:sz w:val="42"/>
        </w:rPr>
        <w:t>（</w:t>
      </w:r>
      <w:r>
        <w:rPr>
          <w:rFonts w:ascii="Arial" w:eastAsia="Arial"/>
          <w:sz w:val="35"/>
        </w:rPr>
        <w:t>C</w:t>
      </w:r>
      <w:r>
        <w:rPr>
          <w:rFonts w:ascii="宋体" w:eastAsia="宋体" w:hint="eastAsia"/>
          <w:sz w:val="35"/>
        </w:rPr>
        <w:t>）</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101"/>
          <w:cols w:num="2" w:space="708" w:equalWidth="0">
            <w:col w:w="6334" w:space="40"/>
            <w:col w:w="9856" w:space="0"/>
          </w:cols>
        </w:sectPr>
      </w:pPr>
    </w:p>
    <w:p>
      <w:pPr>
        <w:pStyle w:val="BodyText"/>
        <w:rPr>
          <w:rFonts w:ascii="宋体"/>
          <w:sz w:val="20"/>
        </w:rPr>
      </w:pPr>
    </w:p>
    <w:p>
      <w:pPr>
        <w:pStyle w:val="BodyText"/>
        <w:spacing w:before="11"/>
        <w:rPr>
          <w:rFonts w:ascii="宋体"/>
          <w:sz w:val="14"/>
        </w:rPr>
      </w:pPr>
    </w:p>
    <w:p>
      <w:pPr>
        <w:pStyle w:val="BodyText"/>
        <w:spacing w:before="38" w:line="460" w:lineRule="auto"/>
        <w:ind w:left="1029" w:right="8877"/>
      </w:pPr>
      <w:r>
        <w:t>补偿以保险责任范围内损失的发生为前提补偿以被保险人的实际损失为限</w:t>
      </w:r>
    </w:p>
    <w:p>
      <w:pPr>
        <w:pStyle w:val="BodyText"/>
        <w:spacing w:line="445" w:lineRule="exact"/>
        <w:ind w:left="1029"/>
      </w:pPr>
      <w:r>
        <w:t>特殊情况下可以获得额外收益</w:t>
      </w:r>
    </w:p>
    <w:p>
      <w:pPr>
        <w:pStyle w:val="BodyText"/>
        <w:spacing w:before="1"/>
        <w:rPr>
          <w:sz w:val="32"/>
        </w:rPr>
      </w:pPr>
    </w:p>
    <w:p>
      <w:pPr>
        <w:pStyle w:val="BodyText"/>
        <w:ind w:left="1029"/>
      </w:pPr>
      <w:r>
        <w:t>使被保险人恢复到受灾前的经济原状</w:t>
      </w:r>
    </w:p>
    <w:p>
      <w:pPr>
        <w:pStyle w:val="BodyText"/>
        <w:spacing w:before="6"/>
        <w:rPr>
          <w:sz w:val="30"/>
        </w:rPr>
      </w:pPr>
    </w:p>
    <w:p>
      <w:pPr>
        <w:pStyle w:val="BodyText"/>
        <w:ind w:left="1052"/>
      </w:pPr>
      <w:r>
        <w:rPr>
          <w:rFonts w:ascii="Arial" w:eastAsia="Arial"/>
        </w:rPr>
        <w:t>83</w:t>
      </w:r>
      <w:r>
        <w:t>、迄今为止诊断半月板损伤、交叉韧带断裂等阳性敏感率和准确率最高的检查手段 是</w:t>
      </w:r>
    </w:p>
    <w:p>
      <w:pPr>
        <w:pStyle w:val="BodyText"/>
        <w:spacing w:before="130"/>
        <w:ind w:left="117"/>
      </w:pPr>
      <w:r>
        <w:rPr>
          <w:rFonts w:ascii="宋体" w:eastAsia="宋体" w:hint="eastAsia"/>
        </w:rPr>
        <w:t>（</w:t>
      </w:r>
      <w:r>
        <w:rPr>
          <w:rFonts w:ascii="Arial" w:eastAsia="Arial"/>
        </w:rPr>
        <w:t xml:space="preserve">C </w:t>
      </w:r>
      <w:r>
        <w:rPr>
          <w:rFonts w:ascii="宋体" w:eastAsia="宋体" w:hint="eastAsia"/>
        </w:rPr>
        <w:t>）</w:t>
      </w:r>
      <w:r>
        <w:t>。膝关节镜检查</w:t>
      </w:r>
    </w:p>
    <w:p>
      <w:pPr>
        <w:pStyle w:val="BodyText"/>
        <w:spacing w:before="5"/>
        <w:rPr>
          <w:sz w:val="36"/>
        </w:rPr>
      </w:pPr>
    </w:p>
    <w:p>
      <w:pPr>
        <w:pStyle w:val="BodyText"/>
        <w:spacing w:line="499" w:lineRule="auto"/>
        <w:ind w:left="1029" w:right="13770"/>
        <w:jc w:val="both"/>
      </w:pPr>
      <w:r>
        <w:rPr>
          <w:rFonts w:ascii="Arial" w:eastAsia="Arial"/>
        </w:rPr>
        <w:t xml:space="preserve">X </w:t>
      </w:r>
      <w:r>
        <w:t>线检查</w:t>
      </w:r>
      <w:r>
        <w:rPr>
          <w:rFonts w:ascii="Arial" w:eastAsia="Arial"/>
        </w:rPr>
        <w:t xml:space="preserve">MRI </w:t>
      </w:r>
      <w:r>
        <w:rPr>
          <w:spacing w:val="-9"/>
        </w:rPr>
        <w:t>检查</w:t>
      </w:r>
      <w:r>
        <w:rPr>
          <w:rFonts w:ascii="Arial" w:eastAsia="Arial"/>
        </w:rPr>
        <w:t xml:space="preserve">CT </w:t>
      </w:r>
      <w:r>
        <w:t>检查</w:t>
      </w:r>
    </w:p>
    <w:p>
      <w:pPr>
        <w:pStyle w:val="BodyText"/>
        <w:tabs>
          <w:tab w:val="left" w:pos="6966"/>
        </w:tabs>
        <w:spacing w:line="540" w:lineRule="exact"/>
        <w:ind w:left="1029"/>
      </w:pPr>
      <w:r>
        <w:rPr>
          <w:rFonts w:ascii="Arial" w:eastAsia="Arial"/>
        </w:rPr>
        <w:t>84</w:t>
      </w:r>
      <w:r>
        <w:t>、</w:t>
      </w:r>
      <w:r>
        <w:rPr>
          <w:spacing w:val="6"/>
        </w:rPr>
        <w:t xml:space="preserve"> </w:t>
      </w:r>
      <w:r>
        <w:t>对于跟腱断裂的影像学检查中</w:t>
        <w:tab/>
      </w:r>
      <w:r>
        <w:rPr>
          <w:rFonts w:ascii="宋体" w:eastAsia="宋体" w:hint="eastAsia"/>
          <w:position w:val="6"/>
          <w:sz w:val="42"/>
        </w:rPr>
        <w:t>，</w:t>
      </w:r>
      <w:r>
        <w:t>超声检</w:t>
      </w:r>
      <w:r>
        <w:rPr>
          <w:spacing w:val="3"/>
        </w:rPr>
        <w:t>查</w:t>
      </w:r>
      <w:r>
        <w:rPr>
          <w:rFonts w:ascii="宋体" w:eastAsia="宋体" w:hint="eastAsia"/>
        </w:rPr>
        <w:t>（</w:t>
      </w:r>
      <w:r>
        <w:rPr>
          <w:rFonts w:ascii="Arial" w:eastAsia="Arial"/>
        </w:rPr>
        <w:t>B</w:t>
      </w:r>
      <w:r>
        <w:rPr>
          <w:rFonts w:ascii="Arial" w:eastAsia="Arial"/>
          <w:spacing w:val="-1"/>
        </w:rPr>
        <w:t xml:space="preserve"> </w:t>
      </w:r>
      <w:r>
        <w:rPr>
          <w:rFonts w:ascii="宋体" w:eastAsia="宋体" w:hint="eastAsia"/>
          <w:spacing w:val="-3"/>
        </w:rPr>
        <w:t>）</w:t>
      </w:r>
      <w:r>
        <w:t>。</w:t>
      </w:r>
    </w:p>
    <w:p>
      <w:pPr>
        <w:pStyle w:val="BodyText"/>
        <w:spacing w:before="358" w:line="422" w:lineRule="auto"/>
        <w:ind w:left="1029" w:right="7402"/>
      </w:pPr>
      <w:r>
        <w:t>可发现跟腱断裂</w:t>
      </w:r>
      <w:r>
        <w:rPr>
          <w:rFonts w:ascii="宋体" w:eastAsia="宋体" w:hint="eastAsia"/>
          <w:position w:val="6"/>
          <w:sz w:val="42"/>
        </w:rPr>
        <w:t>，</w:t>
      </w:r>
      <w:r>
        <w:t>确诊跟腱断裂部分断裂最为有效可用来评价两个肌腱断端之间的距离</w:t>
      </w:r>
    </w:p>
    <w:p>
      <w:pPr>
        <w:pStyle w:val="BodyText"/>
        <w:spacing w:before="71" w:line="458" w:lineRule="auto"/>
        <w:ind w:left="1029" w:right="7824"/>
      </w:pPr>
      <w:r>
        <w:t>可用来判断是否有跟腱附着部位的急性撕脱骨折可用来判断跟腱断裂的原因</w:t>
      </w:r>
    </w:p>
    <w:p>
      <w:pPr>
        <w:pStyle w:val="BodyText"/>
        <w:spacing w:before="1" w:line="458" w:lineRule="auto"/>
        <w:ind w:left="1029" w:right="7281"/>
      </w:pPr>
      <w:r>
        <w:rPr>
          <w:rFonts w:ascii="Arial" w:eastAsia="Arial"/>
        </w:rPr>
        <w:t>85</w:t>
      </w:r>
      <w:r>
        <w:t>、下列选项中</w:t>
      </w:r>
      <w:r>
        <w:rPr>
          <w:rFonts w:ascii="宋体" w:eastAsia="宋体" w:hint="eastAsia"/>
          <w:position w:val="6"/>
          <w:sz w:val="42"/>
        </w:rPr>
        <w:t>，</w:t>
      </w:r>
      <w:r>
        <w:t>属于继发性脑损伤的有</w:t>
      </w:r>
      <w:r>
        <w:rPr>
          <w:rFonts w:ascii="宋体" w:eastAsia="宋体" w:hint="eastAsia"/>
          <w:position w:val="6"/>
          <w:sz w:val="42"/>
        </w:rPr>
        <w:t>（</w:t>
      </w:r>
      <w:r>
        <w:rPr>
          <w:rFonts w:ascii="Arial" w:eastAsia="Arial"/>
        </w:rPr>
        <w:t xml:space="preserve">B </w:t>
      </w:r>
      <w:r>
        <w:rPr>
          <w:rFonts w:ascii="宋体" w:eastAsia="宋体" w:hint="eastAsia"/>
        </w:rPr>
        <w:t>）</w:t>
      </w:r>
      <w:r>
        <w:t>。脑震荡</w:t>
      </w:r>
    </w:p>
    <w:p>
      <w:pPr>
        <w:pStyle w:val="BodyText"/>
        <w:spacing w:line="460" w:lineRule="auto"/>
        <w:ind w:left="1029" w:right="13790"/>
      </w:pPr>
      <w:r>
        <w:t>脑 水 肿 脑挫裂伤</w:t>
      </w:r>
    </w:p>
    <w:p>
      <w:pPr>
        <w:pStyle w:val="BodyText"/>
        <w:spacing w:line="445" w:lineRule="exact"/>
        <w:ind w:left="1029"/>
      </w:pPr>
      <w:r>
        <w:t>原发性脑干损伤</w:t>
      </w:r>
    </w:p>
    <w:p>
      <w:pPr>
        <w:pStyle w:val="BodyText"/>
        <w:spacing w:before="10"/>
        <w:rPr>
          <w:sz w:val="31"/>
        </w:rPr>
      </w:pPr>
    </w:p>
    <w:p>
      <w:pPr>
        <w:pStyle w:val="BodyText"/>
        <w:tabs>
          <w:tab w:val="left" w:pos="7718"/>
        </w:tabs>
        <w:spacing w:line="456" w:lineRule="auto"/>
        <w:ind w:left="1029" w:right="7031"/>
      </w:pPr>
      <w:r>
        <w:rPr>
          <w:rFonts w:ascii="Arial" w:eastAsia="Arial"/>
        </w:rPr>
        <w:t>86</w:t>
      </w:r>
      <w:r>
        <w:t>、</w:t>
      </w:r>
      <w:r>
        <w:rPr>
          <w:spacing w:val="6"/>
        </w:rPr>
        <w:t xml:space="preserve"> </w:t>
      </w:r>
      <w:r>
        <w:t>下列关于颅骨骨折说法不正确的是</w:t>
        <w:tab/>
      </w:r>
      <w:r>
        <w:rPr>
          <w:rFonts w:ascii="宋体" w:eastAsia="宋体" w:hint="eastAsia"/>
          <w:position w:val="6"/>
          <w:sz w:val="42"/>
        </w:rPr>
        <w:t>（</w:t>
      </w:r>
      <w:r>
        <w:rPr>
          <w:rFonts w:ascii="Arial" w:eastAsia="Arial"/>
        </w:rPr>
        <w:t>C</w:t>
      </w:r>
      <w:r>
        <w:rPr>
          <w:rFonts w:ascii="Arial" w:eastAsia="Arial"/>
          <w:spacing w:val="4"/>
        </w:rPr>
        <w:t xml:space="preserve"> </w:t>
      </w:r>
      <w:r>
        <w:rPr>
          <w:rFonts w:ascii="宋体" w:eastAsia="宋体" w:hint="eastAsia"/>
        </w:rPr>
        <w:t>）</w:t>
      </w:r>
      <w:r>
        <w:rPr>
          <w:spacing w:val="-17"/>
        </w:rPr>
        <w:t>。</w:t>
      </w:r>
      <w:r>
        <w:t>颅骨骨折是指颅骨受暴力作用所致颅骨结构改变</w:t>
      </w:r>
    </w:p>
    <w:p>
      <w:pPr>
        <w:spacing w:after="0" w:line="456" w:lineRule="auto"/>
        <w:sectPr>
          <w:type w:val="continuous"/>
          <w:pgSz w:w="22370" w:h="31660"/>
          <w:pgMar w:top="2480" w:right="3000" w:bottom="280" w:left="3140" w:header="708" w:footer="708"/>
          <w:pgNumType w:start="102"/>
          <w:cols w:space="708"/>
        </w:sectPr>
      </w:pPr>
    </w:p>
    <w:p>
      <w:pPr>
        <w:pStyle w:val="BodyText"/>
        <w:spacing w:before="22" w:line="352" w:lineRule="auto"/>
        <w:ind w:left="1029" w:right="6278"/>
      </w:pPr>
      <w:r>
        <w:t>颅骨骨折可发生于颅骨任何部位</w:t>
      </w:r>
      <w:r>
        <w:rPr>
          <w:rFonts w:ascii="宋体" w:eastAsia="宋体" w:hint="eastAsia"/>
          <w:position w:val="6"/>
          <w:sz w:val="42"/>
        </w:rPr>
        <w:t>，</w:t>
      </w:r>
      <w:r>
        <w:t>以顶骨最多</w:t>
      </w:r>
      <w:r>
        <w:rPr>
          <w:rFonts w:ascii="宋体" w:eastAsia="宋体" w:hint="eastAsia"/>
          <w:position w:val="6"/>
          <w:sz w:val="42"/>
        </w:rPr>
        <w:t>，</w:t>
      </w:r>
      <w:r>
        <w:t>额骨次之颅骨骨折的伤者</w:t>
      </w:r>
      <w:r>
        <w:rPr>
          <w:rFonts w:ascii="宋体" w:eastAsia="宋体" w:hint="eastAsia"/>
          <w:position w:val="6"/>
          <w:sz w:val="42"/>
        </w:rPr>
        <w:t>，</w:t>
      </w:r>
      <w:r>
        <w:t>都合并严重的脑损伤</w:t>
      </w:r>
    </w:p>
    <w:p>
      <w:pPr>
        <w:pStyle w:val="BodyText"/>
        <w:spacing w:before="109"/>
        <w:ind w:left="1029"/>
      </w:pPr>
      <w:r>
        <w:t>没有颅骨骨折的伤者</w:t>
      </w:r>
      <w:r>
        <w:rPr>
          <w:rFonts w:ascii="宋体" w:eastAsia="宋体" w:hint="eastAsia"/>
          <w:position w:val="6"/>
          <w:sz w:val="42"/>
        </w:rPr>
        <w:t>，</w:t>
      </w:r>
      <w:r>
        <w:t>可能存在严重的脑损伤</w:t>
      </w:r>
    </w:p>
    <w:p>
      <w:pPr>
        <w:pStyle w:val="BodyText"/>
        <w:spacing w:before="7"/>
        <w:rPr>
          <w:sz w:val="18"/>
        </w:rPr>
      </w:pPr>
    </w:p>
    <w:p>
      <w:pPr>
        <w:spacing w:after="0"/>
        <w:rPr>
          <w:sz w:val="18"/>
        </w:rPr>
        <w:sectPr>
          <w:pgSz w:w="22370" w:h="31660"/>
          <w:pgMar w:top="2300" w:right="3000" w:bottom="280" w:left="3140" w:header="708" w:footer="708"/>
          <w:pgNumType w:start="103"/>
          <w:cols w:space="708"/>
        </w:sectPr>
      </w:pPr>
    </w:p>
    <w:p>
      <w:pPr>
        <w:pStyle w:val="BodyText"/>
        <w:spacing w:before="170" w:line="472" w:lineRule="auto"/>
        <w:ind w:left="1029"/>
      </w:pPr>
      <w:r>
        <w:rPr>
          <w:rFonts w:ascii="Century Gothic" w:eastAsia="Century Gothic"/>
        </w:rPr>
        <w:t>87</w:t>
      </w:r>
      <w:r>
        <w:t>、 下列选项中不属于烧伤复合伤的是烧伤复合骨关节损伤</w:t>
      </w:r>
    </w:p>
    <w:p>
      <w:pPr>
        <w:pStyle w:val="BodyText"/>
        <w:spacing w:line="432" w:lineRule="exact"/>
        <w:ind w:left="1029"/>
      </w:pPr>
      <w:r>
        <w:t>放烧复合伤</w:t>
      </w:r>
    </w:p>
    <w:p>
      <w:pPr>
        <w:pStyle w:val="BodyText"/>
        <w:spacing w:before="9"/>
        <w:rPr>
          <w:sz w:val="32"/>
        </w:rPr>
      </w:pPr>
    </w:p>
    <w:p>
      <w:pPr>
        <w:pStyle w:val="BodyText"/>
        <w:ind w:left="1029"/>
      </w:pPr>
      <w:r>
        <w:t>烧伤复合颅脑损伤</w:t>
      </w:r>
    </w:p>
    <w:p>
      <w:pPr>
        <w:spacing w:before="42"/>
        <w:ind w:left="426" w:right="0" w:firstLine="0"/>
        <w:jc w:val="left"/>
        <w:rPr>
          <w:rFonts w:ascii="宋体" w:eastAsia="宋体" w:hint="eastAsia"/>
          <w:sz w:val="22"/>
        </w:rPr>
      </w:pPr>
      <w:r>
        <w:br w:type="column"/>
      </w:r>
      <w:r>
        <w:rPr>
          <w:rFonts w:ascii="宋体" w:eastAsia="宋体" w:hint="eastAsia"/>
          <w:w w:val="105"/>
          <w:position w:val="6"/>
          <w:sz w:val="42"/>
        </w:rPr>
        <w:t>(</w:t>
      </w:r>
      <w:r>
        <w:rPr>
          <w:rFonts w:ascii="Century Gothic" w:eastAsia="Century Gothic"/>
          <w:w w:val="105"/>
          <w:sz w:val="35"/>
        </w:rPr>
        <w:t>B )</w:t>
      </w:r>
      <w:r>
        <w:rPr>
          <w:rFonts w:ascii="宋体" w:eastAsia="宋体" w:hint="eastAsia"/>
          <w:w w:val="105"/>
          <w:position w:val="8"/>
          <w:sz w:val="22"/>
        </w:rPr>
        <w:t>。</w:t>
      </w:r>
    </w:p>
    <w:p>
      <w:pPr>
        <w:spacing w:after="0"/>
        <w:jc w:val="left"/>
        <w:rPr>
          <w:rFonts w:ascii="宋体" w:eastAsia="宋体" w:hint="eastAsia"/>
          <w:sz w:val="22"/>
        </w:rPr>
        <w:sectPr>
          <w:type w:val="continuous"/>
          <w:pgSz w:w="22370" w:h="31660"/>
          <w:pgMar w:top="2480" w:right="3000" w:bottom="280" w:left="3140" w:header="708" w:footer="708"/>
          <w:pgNumType w:start="104"/>
          <w:cols w:num="2" w:space="708" w:equalWidth="0">
            <w:col w:w="7213" w:space="40"/>
            <w:col w:w="8977" w:space="0"/>
          </w:cols>
        </w:sectPr>
      </w:pPr>
    </w:p>
    <w:p>
      <w:pPr>
        <w:pStyle w:val="BodyText"/>
        <w:spacing w:before="7"/>
        <w:rPr>
          <w:rFonts w:ascii="宋体"/>
          <w:sz w:val="29"/>
        </w:rPr>
      </w:pPr>
    </w:p>
    <w:p>
      <w:pPr>
        <w:spacing w:after="0"/>
        <w:rPr>
          <w:rFonts w:ascii="宋体"/>
          <w:sz w:val="29"/>
        </w:rPr>
        <w:sectPr>
          <w:type w:val="continuous"/>
          <w:pgSz w:w="22370" w:h="31660"/>
          <w:pgMar w:top="2480" w:right="3000" w:bottom="280" w:left="3140" w:header="708" w:footer="708"/>
          <w:pgNumType w:start="105"/>
          <w:cols w:space="708"/>
        </w:sectPr>
      </w:pPr>
    </w:p>
    <w:p>
      <w:pPr>
        <w:pStyle w:val="BodyText"/>
        <w:spacing w:before="38"/>
        <w:ind w:left="1029"/>
      </w:pPr>
      <w:r>
        <w:t>烧伤复合胸部损伤</w:t>
      </w:r>
    </w:p>
    <w:p>
      <w:pPr>
        <w:pStyle w:val="BodyText"/>
        <w:spacing w:before="9"/>
        <w:rPr>
          <w:sz w:val="30"/>
        </w:rPr>
      </w:pPr>
    </w:p>
    <w:p>
      <w:pPr>
        <w:pStyle w:val="BodyText"/>
        <w:spacing w:before="1"/>
        <w:ind w:left="1029"/>
      </w:pPr>
      <w:r>
        <w:rPr>
          <w:rFonts w:ascii="Century Gothic" w:eastAsia="Century Gothic"/>
        </w:rPr>
        <w:t>88</w:t>
      </w:r>
      <w:r>
        <w:t>、 根据外伤在不良后果发生中的原因力大小</w:t>
      </w:r>
    </w:p>
    <w:p>
      <w:pPr>
        <w:pStyle w:val="BodyText"/>
        <w:spacing w:before="9"/>
        <w:rPr>
          <w:sz w:val="58"/>
        </w:rPr>
      </w:pPr>
      <w:r>
        <w:br w:type="column"/>
      </w:r>
    </w:p>
    <w:p>
      <w:pPr>
        <w:pStyle w:val="BodyText"/>
        <w:ind w:left="488"/>
      </w:pPr>
      <w:r>
        <w:rPr>
          <w:rFonts w:ascii="宋体" w:eastAsia="宋体" w:hint="eastAsia"/>
          <w:position w:val="6"/>
          <w:sz w:val="42"/>
        </w:rPr>
        <w:t>，</w:t>
      </w:r>
      <w:r>
        <w:t xml:space="preserve">损伤参与度可分为 </w:t>
      </w:r>
      <w:r>
        <w:rPr>
          <w:rFonts w:ascii="Century Gothic" w:eastAsia="Century Gothic"/>
        </w:rPr>
        <w:t xml:space="preserve">6 </w:t>
      </w:r>
      <w:r>
        <w:t>级</w:t>
      </w:r>
      <w:r>
        <w:rPr>
          <w:rFonts w:ascii="Century Gothic" w:eastAsia="Century Gothic"/>
        </w:rPr>
        <w:t>,</w:t>
      </w:r>
      <w:r>
        <w:t xml:space="preserve">其中 </w:t>
      </w:r>
      <w:r>
        <w:rPr>
          <w:rFonts w:ascii="Century Gothic" w:eastAsia="Century Gothic"/>
        </w:rPr>
        <w:t xml:space="preserve">C </w:t>
      </w:r>
      <w:r>
        <w:t>级表示</w:t>
      </w:r>
    </w:p>
    <w:p>
      <w:pPr>
        <w:spacing w:after="0"/>
        <w:sectPr>
          <w:type w:val="continuous"/>
          <w:pgSz w:w="22370" w:h="31660"/>
          <w:pgMar w:top="2480" w:right="3000" w:bottom="280" w:left="3140" w:header="708" w:footer="708"/>
          <w:pgNumType w:start="106"/>
          <w:cols w:num="2" w:space="708" w:equalWidth="0">
            <w:col w:w="8266" w:space="40"/>
            <w:col w:w="7924" w:space="0"/>
          </w:cols>
        </w:sectPr>
      </w:pPr>
    </w:p>
    <w:p>
      <w:pPr>
        <w:pStyle w:val="BodyText"/>
        <w:spacing w:before="111"/>
        <w:ind w:left="117"/>
      </w:pPr>
      <w:r>
        <w:rPr>
          <w:rFonts w:ascii="Century Gothic" w:eastAsia="Century Gothic"/>
        </w:rPr>
        <w:t>(B )</w:t>
      </w:r>
      <w:r>
        <w:t>。不良后果绝大部分由自身疾病或残疾造成</w:t>
      </w:r>
    </w:p>
    <w:p>
      <w:pPr>
        <w:pStyle w:val="BodyText"/>
        <w:spacing w:line="561" w:lineRule="exact"/>
        <w:ind w:left="117"/>
      </w:pPr>
      <w:r>
        <w:br w:type="column"/>
      </w:r>
      <w:r>
        <w:rPr>
          <w:rFonts w:ascii="宋体" w:eastAsia="宋体" w:hint="eastAsia"/>
          <w:position w:val="6"/>
          <w:sz w:val="42"/>
        </w:rPr>
        <w:t>，</w:t>
      </w:r>
      <w:r>
        <w:t>外伤在后果中作用轻微</w:t>
      </w:r>
    </w:p>
    <w:p>
      <w:pPr>
        <w:spacing w:after="0" w:line="561" w:lineRule="exact"/>
        <w:sectPr>
          <w:type w:val="continuous"/>
          <w:pgSz w:w="22370" w:h="31660"/>
          <w:pgMar w:top="2480" w:right="3000" w:bottom="280" w:left="3140" w:header="708" w:footer="708"/>
          <w:pgNumType w:start="107"/>
          <w:cols w:num="2" w:space="708" w:equalWidth="0">
            <w:col w:w="7391" w:space="657"/>
            <w:col w:w="8182" w:space="0"/>
          </w:cols>
        </w:sectPr>
      </w:pPr>
    </w:p>
    <w:p>
      <w:pPr>
        <w:pStyle w:val="BodyText"/>
        <w:spacing w:before="3"/>
        <w:rPr>
          <w:sz w:val="21"/>
        </w:rPr>
      </w:pPr>
    </w:p>
    <w:p>
      <w:pPr>
        <w:spacing w:after="0"/>
        <w:rPr>
          <w:sz w:val="21"/>
        </w:rPr>
        <w:sectPr>
          <w:type w:val="continuous"/>
          <w:pgSz w:w="22370" w:h="31660"/>
          <w:pgMar w:top="2480" w:right="3000" w:bottom="280" w:left="3140" w:header="708" w:footer="708"/>
          <w:pgNumType w:start="108"/>
          <w:cols w:space="708"/>
        </w:sectPr>
      </w:pPr>
    </w:p>
    <w:p>
      <w:pPr>
        <w:pStyle w:val="BodyText"/>
        <w:spacing w:before="168"/>
        <w:ind w:left="1029"/>
      </w:pPr>
      <w:r>
        <w:t>不良后果主要由自身残疾或疾病造成</w:t>
      </w:r>
    </w:p>
    <w:p>
      <w:pPr>
        <w:pStyle w:val="BodyText"/>
        <w:spacing w:before="38"/>
        <w:ind w:left="612"/>
      </w:pPr>
      <w:r>
        <w:br w:type="column"/>
      </w:r>
      <w:r>
        <w:rPr>
          <w:rFonts w:ascii="宋体" w:eastAsia="宋体" w:hint="eastAsia"/>
          <w:position w:val="6"/>
          <w:sz w:val="42"/>
        </w:rPr>
        <w:t>，</w:t>
      </w:r>
      <w:r>
        <w:t>外伤在后果起占次要作用</w:t>
      </w:r>
    </w:p>
    <w:p>
      <w:pPr>
        <w:spacing w:after="0"/>
        <w:sectPr>
          <w:type w:val="continuous"/>
          <w:pgSz w:w="22370" w:h="31660"/>
          <w:pgMar w:top="2480" w:right="3000" w:bottom="280" w:left="3140" w:header="708" w:footer="708"/>
          <w:pgNumType w:start="109"/>
          <w:cols w:num="2" w:space="708" w:equalWidth="0">
            <w:col w:w="6646" w:space="40"/>
            <w:col w:w="9544" w:space="0"/>
          </w:cols>
        </w:sectPr>
      </w:pPr>
    </w:p>
    <w:p>
      <w:pPr>
        <w:pStyle w:val="BodyText"/>
        <w:spacing w:before="7"/>
        <w:rPr>
          <w:sz w:val="29"/>
        </w:rPr>
      </w:pPr>
    </w:p>
    <w:p>
      <w:pPr>
        <w:pStyle w:val="BodyText"/>
        <w:spacing w:before="38"/>
        <w:ind w:left="1029"/>
      </w:pPr>
      <w:r>
        <w:t>不良后果由外伤与自身疾病共同作用导致</w:t>
      </w:r>
    </w:p>
    <w:p>
      <w:pPr>
        <w:pStyle w:val="BodyText"/>
        <w:spacing w:before="286"/>
        <w:ind w:left="1029"/>
      </w:pPr>
      <w:r>
        <w:t>不良后果主要由外伤所致</w:t>
      </w:r>
      <w:r>
        <w:rPr>
          <w:rFonts w:ascii="宋体" w:eastAsia="宋体" w:hint="eastAsia"/>
          <w:position w:val="6"/>
          <w:sz w:val="42"/>
        </w:rPr>
        <w:t>，</w:t>
      </w:r>
      <w:r>
        <w:t>自身因素起次要作用</w:t>
      </w:r>
    </w:p>
    <w:p>
      <w:pPr>
        <w:pStyle w:val="BodyText"/>
        <w:spacing w:before="397" w:line="472" w:lineRule="auto"/>
        <w:ind w:left="1029" w:right="7716"/>
      </w:pPr>
      <w:r>
        <w:rPr>
          <w:rFonts w:ascii="Century Gothic" w:eastAsia="Century Gothic"/>
        </w:rPr>
        <w:t>89</w:t>
      </w:r>
      <w:r>
        <w:rPr>
          <w:spacing w:val="2"/>
        </w:rPr>
        <w:t>、保险合同订立时</w:t>
      </w:r>
      <w:r>
        <w:rPr>
          <w:spacing w:val="-29"/>
          <w:position w:val="2"/>
          <w:sz w:val="22"/>
        </w:rPr>
        <w:t xml:space="preserve">, </w:t>
      </w:r>
      <w:r>
        <w:t>保险人的核心义务是</w:t>
      </w:r>
      <w:r>
        <w:rPr>
          <w:rFonts w:ascii="Century Gothic" w:eastAsia="Century Gothic"/>
        </w:rPr>
        <w:t>(A</w:t>
      </w:r>
      <w:r>
        <w:rPr>
          <w:rFonts w:ascii="Century Gothic" w:eastAsia="Century Gothic"/>
          <w:spacing w:val="-9"/>
        </w:rPr>
        <w:t xml:space="preserve"> )</w:t>
      </w:r>
      <w:r>
        <w:rPr>
          <w:spacing w:val="-14"/>
        </w:rPr>
        <w:t>。</w:t>
      </w:r>
      <w:r>
        <w:t>明确说明</w:t>
      </w:r>
    </w:p>
    <w:p>
      <w:pPr>
        <w:pStyle w:val="BodyText"/>
        <w:spacing w:line="431" w:lineRule="exact"/>
        <w:ind w:left="1029"/>
      </w:pPr>
      <w:r>
        <w:t>如实告知</w:t>
      </w:r>
    </w:p>
    <w:p>
      <w:pPr>
        <w:pStyle w:val="BodyText"/>
        <w:spacing w:before="9"/>
        <w:rPr>
          <w:sz w:val="32"/>
        </w:rPr>
      </w:pPr>
    </w:p>
    <w:p>
      <w:pPr>
        <w:pStyle w:val="BodyText"/>
        <w:ind w:left="1029"/>
      </w:pPr>
      <w:r>
        <w:t>弃权与禁止反言</w:t>
      </w:r>
    </w:p>
    <w:p>
      <w:pPr>
        <w:pStyle w:val="BodyText"/>
        <w:spacing w:before="7"/>
        <w:rPr>
          <w:sz w:val="29"/>
        </w:rPr>
      </w:pPr>
    </w:p>
    <w:p>
      <w:pPr>
        <w:spacing w:after="0"/>
        <w:rPr>
          <w:sz w:val="29"/>
        </w:rPr>
        <w:sectPr>
          <w:type w:val="continuous"/>
          <w:pgSz w:w="22370" w:h="31660"/>
          <w:pgMar w:top="2480" w:right="3000" w:bottom="280" w:left="3140" w:header="708" w:footer="708"/>
          <w:pgNumType w:start="110"/>
          <w:cols w:space="708"/>
        </w:sectPr>
      </w:pPr>
    </w:p>
    <w:p>
      <w:pPr>
        <w:pStyle w:val="BodyText"/>
        <w:spacing w:before="38"/>
        <w:ind w:left="1029"/>
      </w:pPr>
      <w:r>
        <w:t>保证</w:t>
      </w:r>
    </w:p>
    <w:p>
      <w:pPr>
        <w:pStyle w:val="BodyText"/>
        <w:spacing w:before="266"/>
        <w:ind w:left="1029"/>
      </w:pPr>
      <w:r>
        <w:rPr>
          <w:rFonts w:ascii="Century Gothic" w:eastAsia="Century Gothic"/>
        </w:rPr>
        <w:t>90</w:t>
      </w:r>
      <w:r>
        <w:t>、 申请人提出理赔后</w:t>
      </w:r>
      <w:r>
        <w:rPr>
          <w:rFonts w:ascii="宋体" w:eastAsia="宋体" w:hint="eastAsia"/>
          <w:position w:val="6"/>
          <w:sz w:val="42"/>
        </w:rPr>
        <w:t>，</w:t>
      </w:r>
      <w:r>
        <w:t>保险公司如果认为需补交有关的证明和资料</w:t>
      </w:r>
    </w:p>
    <w:p>
      <w:pPr>
        <w:pStyle w:val="BodyText"/>
        <w:spacing w:before="9"/>
        <w:rPr>
          <w:sz w:val="58"/>
        </w:rPr>
      </w:pPr>
      <w:r>
        <w:br w:type="column"/>
      </w:r>
    </w:p>
    <w:p>
      <w:pPr>
        <w:pStyle w:val="BodyText"/>
        <w:spacing w:before="1"/>
        <w:ind w:left="514"/>
      </w:pPr>
      <w:r>
        <w:rPr>
          <w:rFonts w:ascii="宋体" w:eastAsia="宋体" w:hint="eastAsia"/>
          <w:position w:val="6"/>
          <w:sz w:val="42"/>
        </w:rPr>
        <w:t>，</w:t>
      </w:r>
      <w:r>
        <w:t>应当及时一次性通</w:t>
      </w:r>
    </w:p>
    <w:p>
      <w:pPr>
        <w:spacing w:after="0"/>
        <w:sectPr>
          <w:type w:val="continuous"/>
          <w:pgSz w:w="22370" w:h="31660"/>
          <w:pgMar w:top="2480" w:right="3000" w:bottom="280" w:left="3140" w:header="708" w:footer="708"/>
          <w:pgNumType w:start="111"/>
          <w:cols w:num="2" w:space="708" w:equalWidth="0">
            <w:col w:w="11846" w:space="40"/>
            <w:col w:w="4344" w:space="0"/>
          </w:cols>
        </w:sectPr>
      </w:pPr>
    </w:p>
    <w:p>
      <w:pPr>
        <w:pStyle w:val="BodyText"/>
        <w:spacing w:before="3" w:line="290" w:lineRule="auto"/>
        <w:ind w:left="117" w:right="603"/>
      </w:pPr>
      <w:r>
        <w:t>知对方</w:t>
      </w:r>
      <w:r>
        <w:rPr>
          <w:rFonts w:ascii="宋体" w:eastAsia="宋体" w:hint="eastAsia"/>
          <w:position w:val="6"/>
          <w:sz w:val="42"/>
        </w:rPr>
        <w:t>；</w:t>
      </w:r>
      <w:r>
        <w:t>材料齐全后</w:t>
      </w:r>
      <w:r>
        <w:rPr>
          <w:rFonts w:ascii="宋体" w:eastAsia="宋体" w:hint="eastAsia"/>
          <w:position w:val="6"/>
          <w:sz w:val="42"/>
        </w:rPr>
        <w:t>，</w:t>
      </w:r>
      <w:r>
        <w:t xml:space="preserve">保险公司应当及时作出核定 </w:t>
      </w:r>
      <w:r>
        <w:rPr>
          <w:rFonts w:ascii="宋体" w:eastAsia="宋体" w:hint="eastAsia"/>
          <w:position w:val="6"/>
          <w:sz w:val="42"/>
        </w:rPr>
        <w:t>，</w:t>
      </w:r>
      <w:r>
        <w:t>情形复杂的</w:t>
      </w:r>
      <w:r>
        <w:rPr>
          <w:rFonts w:ascii="宋体" w:eastAsia="宋体" w:hint="eastAsia"/>
          <w:position w:val="6"/>
          <w:sz w:val="42"/>
        </w:rPr>
        <w:t>，</w:t>
      </w:r>
      <w:r>
        <w:t>应当在</w:t>
      </w:r>
      <w:r>
        <w:rPr>
          <w:rFonts w:ascii="Century Gothic" w:eastAsia="Century Gothic"/>
        </w:rPr>
        <w:t>(D )</w:t>
      </w:r>
      <w:r>
        <w:t>内作出核定</w:t>
      </w:r>
      <w:r>
        <w:rPr>
          <w:rFonts w:ascii="宋体" w:eastAsia="宋体" w:hint="eastAsia"/>
          <w:position w:val="6"/>
          <w:sz w:val="42"/>
        </w:rPr>
        <w:t>，</w:t>
      </w:r>
      <w:r>
        <w:t>并将核定结果书面通知对方。</w:t>
      </w:r>
    </w:p>
    <w:p>
      <w:pPr>
        <w:pStyle w:val="BodyText"/>
        <w:spacing w:before="11"/>
        <w:rPr>
          <w:sz w:val="30"/>
        </w:rPr>
      </w:pPr>
    </w:p>
    <w:p>
      <w:pPr>
        <w:pStyle w:val="BodyText"/>
        <w:ind w:left="1029"/>
      </w:pPr>
      <w:r>
        <w:rPr>
          <w:rFonts w:ascii="Century Gothic" w:eastAsia="Century Gothic"/>
        </w:rPr>
        <w:t xml:space="preserve">3 </w:t>
      </w:r>
      <w:r>
        <w:t>日</w:t>
      </w:r>
    </w:p>
    <w:p>
      <w:pPr>
        <w:pStyle w:val="BodyText"/>
        <w:spacing w:before="4"/>
        <w:rPr>
          <w:sz w:val="32"/>
        </w:rPr>
      </w:pPr>
    </w:p>
    <w:p>
      <w:pPr>
        <w:pStyle w:val="BodyText"/>
        <w:ind w:left="1029"/>
      </w:pPr>
      <w:r>
        <w:rPr>
          <w:rFonts w:ascii="Century Gothic" w:eastAsia="Century Gothic"/>
        </w:rPr>
        <w:t>10</w:t>
      </w:r>
      <w:r>
        <w:rPr>
          <w:rFonts w:ascii="Century Gothic" w:eastAsia="Century Gothic"/>
          <w:spacing w:val="-16"/>
        </w:rPr>
        <w:t xml:space="preserve"> </w:t>
      </w:r>
      <w:r>
        <w:t>日</w:t>
      </w:r>
    </w:p>
    <w:p>
      <w:pPr>
        <w:pStyle w:val="BodyText"/>
        <w:spacing w:before="7"/>
        <w:rPr>
          <w:sz w:val="32"/>
        </w:rPr>
      </w:pPr>
    </w:p>
    <w:p>
      <w:pPr>
        <w:pStyle w:val="BodyText"/>
        <w:ind w:left="1029"/>
      </w:pPr>
      <w:r>
        <w:rPr>
          <w:rFonts w:ascii="Century Gothic" w:eastAsia="Century Gothic"/>
        </w:rPr>
        <w:t>15</w:t>
      </w:r>
      <w:r>
        <w:rPr>
          <w:rFonts w:ascii="Century Gothic" w:eastAsia="Century Gothic"/>
          <w:spacing w:val="-16"/>
        </w:rPr>
        <w:t xml:space="preserve"> </w:t>
      </w:r>
      <w:r>
        <w:t>日</w:t>
      </w:r>
    </w:p>
    <w:p>
      <w:pPr>
        <w:pStyle w:val="BodyText"/>
        <w:spacing w:before="4"/>
        <w:rPr>
          <w:sz w:val="32"/>
        </w:rPr>
      </w:pPr>
    </w:p>
    <w:p>
      <w:pPr>
        <w:pStyle w:val="BodyText"/>
        <w:spacing w:before="1"/>
        <w:ind w:left="1029"/>
      </w:pPr>
      <w:r>
        <w:rPr>
          <w:rFonts w:ascii="Century Gothic" w:eastAsia="Century Gothic"/>
        </w:rPr>
        <w:t>30</w:t>
      </w:r>
      <w:r>
        <w:rPr>
          <w:rFonts w:ascii="Century Gothic" w:eastAsia="Century Gothic"/>
          <w:spacing w:val="-16"/>
        </w:rPr>
        <w:t xml:space="preserve"> </w:t>
      </w:r>
      <w:r>
        <w:t>日</w:t>
      </w:r>
    </w:p>
    <w:p>
      <w:pPr>
        <w:pStyle w:val="BodyText"/>
        <w:spacing w:before="4"/>
        <w:rPr>
          <w:sz w:val="32"/>
        </w:rPr>
      </w:pPr>
    </w:p>
    <w:p>
      <w:pPr>
        <w:pStyle w:val="BodyText"/>
        <w:tabs>
          <w:tab w:val="left" w:pos="8794"/>
        </w:tabs>
        <w:spacing w:line="309" w:lineRule="auto"/>
        <w:ind w:left="117" w:right="2141" w:firstLine="912"/>
      </w:pPr>
      <w:r>
        <w:rPr>
          <w:rFonts w:ascii="Century Gothic" w:eastAsia="Century Gothic"/>
        </w:rPr>
        <w:t>91</w:t>
      </w:r>
      <w:r>
        <w:rPr>
          <w:spacing w:val="28"/>
        </w:rPr>
        <w:t>、</w:t>
      </w:r>
      <w:r>
        <w:t>监护是为监督和保护无民事行为能力人和限制民事行为能力人的合法权益而设</w:t>
      </w:r>
      <w:r>
        <w:rPr>
          <w:spacing w:val="-17"/>
        </w:rPr>
        <w:t>立</w:t>
      </w:r>
      <w:r>
        <w:t>的一种民事法律制度。监护关系成立的要件不包括</w:t>
        <w:tab/>
      </w:r>
      <w:r>
        <w:rPr>
          <w:rFonts w:ascii="Century Gothic" w:eastAsia="Century Gothic"/>
        </w:rPr>
        <w:t>(B )</w:t>
      </w:r>
      <w:r>
        <w:t>。</w:t>
      </w:r>
    </w:p>
    <w:p>
      <w:pPr>
        <w:pStyle w:val="BodyText"/>
        <w:spacing w:before="10"/>
        <w:rPr>
          <w:sz w:val="19"/>
        </w:rPr>
      </w:pPr>
    </w:p>
    <w:p>
      <w:pPr>
        <w:pStyle w:val="BodyText"/>
        <w:spacing w:before="38" w:line="463" w:lineRule="auto"/>
        <w:ind w:left="1029" w:right="6771"/>
      </w:pPr>
      <w:r>
        <w:t>被监护人须为无民事行为能力人或限制民事行为能力人监护人必须与被监护人存在血缘关系</w:t>
      </w:r>
    </w:p>
    <w:p>
      <w:pPr>
        <w:pStyle w:val="BodyText"/>
        <w:spacing w:line="447" w:lineRule="exact"/>
        <w:ind w:left="1029"/>
      </w:pPr>
      <w:r>
        <w:t>监护人须为完全民事行为能力人</w:t>
      </w:r>
    </w:p>
    <w:p>
      <w:pPr>
        <w:pStyle w:val="BodyText"/>
        <w:tabs>
          <w:tab w:val="left" w:pos="6112"/>
        </w:tabs>
        <w:spacing w:before="289"/>
        <w:ind w:left="1029"/>
      </w:pPr>
      <w:r>
        <w:t>监护人的职责是由法律规定的</w:t>
        <w:tab/>
      </w:r>
      <w:r>
        <w:rPr>
          <w:rFonts w:ascii="宋体" w:eastAsia="宋体" w:hint="eastAsia"/>
          <w:position w:val="6"/>
          <w:sz w:val="42"/>
        </w:rPr>
        <w:t>，</w:t>
      </w:r>
      <w:r>
        <w:t>而不能由当事人约定</w:t>
      </w:r>
    </w:p>
    <w:p>
      <w:pPr>
        <w:pStyle w:val="BodyText"/>
        <w:spacing w:before="9"/>
        <w:rPr>
          <w:sz w:val="22"/>
        </w:rPr>
      </w:pPr>
    </w:p>
    <w:p>
      <w:pPr>
        <w:spacing w:after="0"/>
        <w:rPr>
          <w:sz w:val="22"/>
        </w:rPr>
        <w:sectPr>
          <w:type w:val="continuous"/>
          <w:pgSz w:w="22370" w:h="31660"/>
          <w:pgMar w:top="2480" w:right="3000" w:bottom="280" w:left="3140" w:header="708" w:footer="708"/>
          <w:pgNumType w:start="112"/>
          <w:cols w:space="708"/>
        </w:sectPr>
      </w:pPr>
    </w:p>
    <w:p>
      <w:pPr>
        <w:pStyle w:val="BodyText"/>
        <w:spacing w:before="170"/>
        <w:ind w:left="1029"/>
      </w:pPr>
      <w:r>
        <w:rPr>
          <w:rFonts w:ascii="Century Gothic" w:eastAsia="Century Gothic"/>
        </w:rPr>
        <w:t>92</w:t>
      </w:r>
      <w:r>
        <w:t>、证据的种类是指法律规定证据的不同表现形式</w:t>
      </w:r>
    </w:p>
    <w:p>
      <w:pPr>
        <w:pStyle w:val="BodyText"/>
        <w:spacing w:before="42"/>
        <w:ind w:left="824" w:right="1300"/>
        <w:jc w:val="center"/>
      </w:pPr>
      <w:r>
        <w:br w:type="column"/>
      </w:r>
      <w:r>
        <w:rPr>
          <w:rFonts w:ascii="宋体" w:eastAsia="宋体" w:hint="eastAsia"/>
          <w:position w:val="6"/>
          <w:sz w:val="42"/>
        </w:rPr>
        <w:t>，</w:t>
      </w:r>
      <w:r>
        <w:t>理赔实践的证据主要是指</w:t>
      </w:r>
      <w:r>
        <w:rPr>
          <w:rFonts w:ascii="Century Gothic" w:eastAsia="Century Gothic"/>
        </w:rPr>
        <w:t>(A )</w:t>
      </w:r>
      <w:r>
        <w:t>。</w:t>
      </w:r>
    </w:p>
    <w:p>
      <w:pPr>
        <w:spacing w:after="0"/>
        <w:jc w:val="center"/>
        <w:sectPr>
          <w:type w:val="continuous"/>
          <w:pgSz w:w="22370" w:h="31660"/>
          <w:pgMar w:top="2480" w:right="3000" w:bottom="280" w:left="3140" w:header="708" w:footer="708"/>
          <w:pgNumType w:start="113"/>
          <w:cols w:num="2" w:space="708" w:equalWidth="0">
            <w:col w:w="8791" w:space="40"/>
            <w:col w:w="7399" w:space="0"/>
          </w:cols>
        </w:sectPr>
      </w:pPr>
    </w:p>
    <w:p>
      <w:pPr>
        <w:pStyle w:val="BodyText"/>
        <w:spacing w:before="25" w:line="456" w:lineRule="auto"/>
        <w:ind w:left="1029" w:right="9929"/>
      </w:pPr>
      <w:r>
        <w:t>受益人提交或公司调查获取的资料当事人的陈述</w:t>
      </w:r>
    </w:p>
    <w:p>
      <w:pPr>
        <w:pStyle w:val="BodyText"/>
        <w:spacing w:before="3" w:line="456" w:lineRule="auto"/>
        <w:ind w:left="1029" w:right="13790"/>
      </w:pPr>
      <w:r>
        <w:t>视听资料证人证言</w:t>
      </w:r>
    </w:p>
    <w:p>
      <w:pPr>
        <w:pStyle w:val="BodyText"/>
        <w:spacing w:before="30"/>
        <w:ind w:left="1029"/>
      </w:pPr>
      <w:r>
        <w:rPr>
          <w:rFonts w:ascii="Lucida Sans" w:eastAsia="Lucida Sans"/>
        </w:rPr>
        <w:t>93</w:t>
      </w:r>
      <w:r>
        <w:t>、 下列选项中</w:t>
      </w:r>
      <w:r>
        <w:rPr>
          <w:rFonts w:ascii="宋体" w:eastAsia="宋体" w:hint="eastAsia"/>
          <w:position w:val="6"/>
          <w:sz w:val="42"/>
        </w:rPr>
        <w:t>，</w:t>
      </w:r>
      <w:r>
        <w:t xml:space="preserve">关于间接证据说法不正确的是 </w:t>
      </w:r>
      <w:r>
        <w:rPr>
          <w:rFonts w:ascii="宋体" w:eastAsia="宋体" w:hint="eastAsia"/>
          <w:position w:val="6"/>
          <w:sz w:val="42"/>
        </w:rPr>
        <w:t>（</w:t>
      </w:r>
      <w:r>
        <w:rPr>
          <w:rFonts w:ascii="Lucida Sans" w:eastAsia="Lucida Sans"/>
        </w:rPr>
        <w:t xml:space="preserve">D </w:t>
      </w:r>
      <w:r>
        <w:rPr>
          <w:rFonts w:ascii="宋体" w:eastAsia="宋体" w:hint="eastAsia"/>
        </w:rPr>
        <w:t>）</w:t>
      </w:r>
      <w:r>
        <w:t>。</w:t>
      </w:r>
    </w:p>
    <w:p>
      <w:pPr>
        <w:pStyle w:val="BodyText"/>
        <w:spacing w:before="10"/>
        <w:rPr>
          <w:sz w:val="21"/>
        </w:rPr>
      </w:pPr>
    </w:p>
    <w:p>
      <w:pPr>
        <w:spacing w:after="0"/>
        <w:rPr>
          <w:sz w:val="21"/>
        </w:rPr>
        <w:sectPr>
          <w:pgSz w:w="22370" w:h="31660"/>
          <w:pgMar w:top="2480" w:right="3000" w:bottom="280" w:left="3140" w:header="708" w:footer="708"/>
          <w:pgNumType w:start="114"/>
          <w:cols w:space="708"/>
        </w:sectPr>
      </w:pPr>
    </w:p>
    <w:p>
      <w:pPr>
        <w:pStyle w:val="BodyText"/>
        <w:spacing w:before="169" w:line="319" w:lineRule="auto"/>
        <w:ind w:left="117" w:right="38" w:firstLine="912"/>
      </w:pPr>
      <w:r>
        <w:t>间接证据是指不能单独或者直接证明案件事实件事实的证据</w:t>
      </w:r>
    </w:p>
    <w:p>
      <w:pPr>
        <w:pStyle w:val="BodyText"/>
        <w:spacing w:before="253"/>
        <w:ind w:left="1029"/>
      </w:pPr>
      <w:r>
        <w:t>单独的间接证据不能证明案件事实</w:t>
      </w:r>
    </w:p>
    <w:p>
      <w:pPr>
        <w:pStyle w:val="BodyText"/>
        <w:spacing w:before="39"/>
        <w:ind w:left="117"/>
      </w:pPr>
      <w:r>
        <w:br w:type="column"/>
      </w:r>
      <w:r>
        <w:rPr>
          <w:rFonts w:ascii="宋体" w:eastAsia="宋体" w:hint="eastAsia"/>
          <w:position w:val="6"/>
          <w:sz w:val="42"/>
        </w:rPr>
        <w:t>，</w:t>
      </w:r>
      <w:r>
        <w:t>必须与其他证据结合起来</w:t>
      </w:r>
      <w:r>
        <w:rPr>
          <w:rFonts w:ascii="宋体" w:eastAsia="宋体" w:hint="eastAsia"/>
          <w:position w:val="6"/>
          <w:sz w:val="42"/>
        </w:rPr>
        <w:t>，</w:t>
      </w:r>
      <w:r>
        <w:t>共同证明案</w:t>
      </w:r>
    </w:p>
    <w:p>
      <w:pPr>
        <w:spacing w:after="0"/>
        <w:sectPr>
          <w:type w:val="continuous"/>
          <w:pgSz w:w="22370" w:h="31660"/>
          <w:pgMar w:top="2480" w:right="3000" w:bottom="280" w:left="3140" w:header="708" w:footer="708"/>
          <w:pgNumType w:start="115"/>
          <w:cols w:num="2" w:space="708" w:equalWidth="0">
            <w:col w:w="8090" w:space="705"/>
            <w:col w:w="7435" w:space="0"/>
          </w:cols>
        </w:sectPr>
      </w:pPr>
    </w:p>
    <w:p>
      <w:pPr>
        <w:pStyle w:val="BodyText"/>
        <w:spacing w:before="6"/>
        <w:rPr>
          <w:sz w:val="18"/>
        </w:rPr>
      </w:pPr>
    </w:p>
    <w:p>
      <w:pPr>
        <w:spacing w:after="0"/>
        <w:rPr>
          <w:sz w:val="18"/>
        </w:rPr>
        <w:sectPr>
          <w:type w:val="continuous"/>
          <w:pgSz w:w="22370" w:h="31660"/>
          <w:pgMar w:top="2480" w:right="3000" w:bottom="280" w:left="3140" w:header="708" w:footer="708"/>
          <w:pgNumType w:start="116"/>
          <w:cols w:space="708"/>
        </w:sectPr>
      </w:pPr>
    </w:p>
    <w:p>
      <w:pPr>
        <w:pStyle w:val="BodyText"/>
        <w:spacing w:before="168"/>
        <w:ind w:left="1029"/>
      </w:pPr>
      <w:r>
        <w:t>但是几个间接证据联合起来</w:t>
      </w:r>
    </w:p>
    <w:p>
      <w:pPr>
        <w:pStyle w:val="BodyText"/>
        <w:spacing w:before="38"/>
        <w:ind w:left="426"/>
      </w:pPr>
      <w:r>
        <w:br w:type="column"/>
      </w:r>
      <w:r>
        <w:rPr>
          <w:rFonts w:ascii="宋体" w:eastAsia="宋体" w:hint="eastAsia"/>
          <w:position w:val="6"/>
          <w:sz w:val="42"/>
        </w:rPr>
        <w:t>，</w:t>
      </w:r>
      <w:r>
        <w:t>相互印证</w:t>
      </w:r>
      <w:r>
        <w:rPr>
          <w:rFonts w:ascii="Lucida Sans" w:eastAsia="Lucida Sans"/>
        </w:rPr>
        <w:t>,</w:t>
      </w:r>
      <w:r>
        <w:t>其证明力可以达到与直接证据相当的证明力</w:t>
      </w:r>
    </w:p>
    <w:p>
      <w:pPr>
        <w:spacing w:after="0"/>
        <w:sectPr>
          <w:type w:val="continuous"/>
          <w:pgSz w:w="22370" w:h="31660"/>
          <w:pgMar w:top="2480" w:right="3000" w:bottom="280" w:left="3140" w:header="708" w:footer="708"/>
          <w:pgNumType w:start="117"/>
          <w:cols w:num="2" w:space="708" w:equalWidth="0">
            <w:col w:w="5242" w:space="40"/>
            <w:col w:w="10948" w:space="0"/>
          </w:cols>
        </w:sectPr>
      </w:pPr>
    </w:p>
    <w:p>
      <w:pPr>
        <w:pStyle w:val="BodyText"/>
        <w:spacing w:before="6"/>
        <w:rPr>
          <w:sz w:val="18"/>
        </w:rPr>
      </w:pPr>
    </w:p>
    <w:p>
      <w:pPr>
        <w:spacing w:after="0"/>
        <w:rPr>
          <w:sz w:val="18"/>
        </w:rPr>
        <w:sectPr>
          <w:type w:val="continuous"/>
          <w:pgSz w:w="22370" w:h="31660"/>
          <w:pgMar w:top="2480" w:right="3000" w:bottom="280" w:left="3140" w:header="708" w:footer="708"/>
          <w:pgNumType w:start="118"/>
          <w:cols w:space="708"/>
        </w:sectPr>
      </w:pPr>
    </w:p>
    <w:p>
      <w:pPr>
        <w:pStyle w:val="BodyText"/>
        <w:spacing w:before="169"/>
        <w:ind w:left="1029"/>
      </w:pPr>
      <w:r>
        <w:t>无论是单独的间接证据还是几个间接证据联合起来</w:t>
      </w:r>
    </w:p>
    <w:p>
      <w:pPr>
        <w:spacing w:before="39"/>
        <w:ind w:left="797" w:right="0" w:firstLine="0"/>
        <w:jc w:val="left"/>
        <w:rPr>
          <w:sz w:val="35"/>
        </w:rPr>
      </w:pPr>
      <w:r>
        <w:br w:type="column"/>
      </w:r>
      <w:r>
        <w:rPr>
          <w:rFonts w:ascii="宋体" w:eastAsia="宋体" w:hint="eastAsia"/>
          <w:position w:val="6"/>
          <w:sz w:val="42"/>
        </w:rPr>
        <w:t>，</w:t>
      </w:r>
      <w:r>
        <w:rPr>
          <w:sz w:val="35"/>
        </w:rPr>
        <w:t>都不具有证明力</w:t>
      </w:r>
    </w:p>
    <w:p>
      <w:pPr>
        <w:spacing w:after="0"/>
        <w:jc w:val="left"/>
        <w:rPr>
          <w:sz w:val="35"/>
        </w:rPr>
        <w:sectPr>
          <w:type w:val="continuous"/>
          <w:pgSz w:w="22370" w:h="31660"/>
          <w:pgMar w:top="2480" w:right="3000" w:bottom="280" w:left="3140" w:header="708" w:footer="708"/>
          <w:pgNumType w:start="119"/>
          <w:cols w:num="2" w:space="708" w:equalWidth="0">
            <w:col w:w="8752" w:space="40"/>
            <w:col w:w="7438" w:space="0"/>
          </w:cols>
        </w:sectPr>
      </w:pPr>
    </w:p>
    <w:p>
      <w:pPr>
        <w:pStyle w:val="BodyText"/>
        <w:spacing w:before="4"/>
        <w:rPr>
          <w:sz w:val="29"/>
        </w:rPr>
      </w:pPr>
    </w:p>
    <w:p>
      <w:pPr>
        <w:spacing w:after="0"/>
        <w:rPr>
          <w:sz w:val="29"/>
        </w:rPr>
        <w:sectPr>
          <w:type w:val="continuous"/>
          <w:pgSz w:w="22370" w:h="31660"/>
          <w:pgMar w:top="2480" w:right="3000" w:bottom="280" w:left="3140" w:header="708" w:footer="708"/>
          <w:pgNumType w:start="120"/>
          <w:cols w:space="708"/>
        </w:sectPr>
      </w:pPr>
    </w:p>
    <w:p>
      <w:pPr>
        <w:pStyle w:val="BodyText"/>
        <w:spacing w:before="80" w:line="396" w:lineRule="auto"/>
        <w:ind w:left="1029" w:right="11"/>
      </w:pPr>
      <w:r>
        <w:rPr>
          <w:rFonts w:ascii="Lucida Sans" w:eastAsia="Lucida Sans"/>
        </w:rPr>
        <w:t>94</w:t>
      </w:r>
      <w:r>
        <w:t>、 下列选项中关于保险公司理赔人员证据出示与保密策略说法不准确的是使用的证据越多越好</w:t>
      </w:r>
      <w:r>
        <w:rPr>
          <w:rFonts w:ascii="宋体" w:eastAsia="宋体" w:hint="eastAsia"/>
          <w:position w:val="6"/>
          <w:sz w:val="42"/>
        </w:rPr>
        <w:t>，</w:t>
      </w:r>
      <w:r>
        <w:t>证据越多越早出示胜诉可能性越大</w:t>
      </w:r>
    </w:p>
    <w:p>
      <w:pPr>
        <w:pStyle w:val="BodyText"/>
        <w:spacing w:before="80"/>
        <w:ind w:left="1029"/>
      </w:pPr>
      <w:r>
        <w:br w:type="column"/>
      </w:r>
      <w:r>
        <w:rPr>
          <w:rFonts w:ascii="宋体" w:eastAsia="宋体" w:hint="eastAsia"/>
        </w:rPr>
        <w:t>（</w:t>
      </w:r>
      <w:r>
        <w:rPr>
          <w:rFonts w:ascii="Lucida Sans" w:eastAsia="Lucida Sans"/>
        </w:rPr>
        <w:t xml:space="preserve">A </w:t>
      </w:r>
      <w:r>
        <w:rPr>
          <w:rFonts w:ascii="宋体" w:eastAsia="宋体" w:hint="eastAsia"/>
        </w:rPr>
        <w:t>）</w:t>
      </w:r>
      <w:r>
        <w:t>。</w:t>
      </w:r>
    </w:p>
    <w:p>
      <w:pPr>
        <w:spacing w:after="0"/>
        <w:sectPr>
          <w:type w:val="continuous"/>
          <w:pgSz w:w="22370" w:h="31660"/>
          <w:pgMar w:top="2480" w:right="3000" w:bottom="280" w:left="3140" w:header="708" w:footer="708"/>
          <w:pgNumType w:start="121"/>
          <w:cols w:num="2" w:space="708" w:equalWidth="0">
            <w:col w:w="12869" w:space="144"/>
            <w:col w:w="3217" w:space="0"/>
          </w:cols>
        </w:sectPr>
      </w:pPr>
    </w:p>
    <w:p>
      <w:pPr>
        <w:pStyle w:val="BodyText"/>
        <w:spacing w:line="508" w:lineRule="exact"/>
        <w:ind w:left="1052"/>
      </w:pPr>
      <w:r>
        <w:t>单一证据证明力足够的情况下</w:t>
      </w:r>
      <w:r>
        <w:rPr>
          <w:rFonts w:ascii="宋体" w:eastAsia="宋体" w:hint="eastAsia"/>
          <w:position w:val="6"/>
          <w:sz w:val="42"/>
        </w:rPr>
        <w:t>，</w:t>
      </w:r>
      <w:r>
        <w:t>其他证据可隐而不发</w:t>
      </w:r>
      <w:r>
        <w:rPr>
          <w:rFonts w:ascii="宋体" w:eastAsia="宋体" w:hint="eastAsia"/>
          <w:position w:val="6"/>
          <w:sz w:val="42"/>
        </w:rPr>
        <w:t>，</w:t>
      </w:r>
      <w:r>
        <w:t>防止全部证据过早暴露</w:t>
      </w:r>
      <w:r>
        <w:rPr>
          <w:rFonts w:ascii="宋体" w:eastAsia="宋体" w:hint="eastAsia"/>
          <w:position w:val="6"/>
          <w:sz w:val="42"/>
        </w:rPr>
        <w:t>，</w:t>
      </w:r>
      <w:r>
        <w:t>诉讼时出 现</w:t>
      </w:r>
    </w:p>
    <w:p>
      <w:pPr>
        <w:pStyle w:val="BodyText"/>
        <w:spacing w:before="152"/>
        <w:ind w:left="117"/>
      </w:pPr>
      <w:r>
        <w:t>被动局面</w:t>
      </w:r>
    </w:p>
    <w:p>
      <w:pPr>
        <w:pStyle w:val="BodyText"/>
        <w:spacing w:before="11"/>
        <w:rPr>
          <w:sz w:val="28"/>
        </w:rPr>
      </w:pPr>
    </w:p>
    <w:p>
      <w:pPr>
        <w:spacing w:after="0"/>
        <w:rPr>
          <w:sz w:val="28"/>
        </w:rPr>
        <w:sectPr>
          <w:type w:val="continuous"/>
          <w:pgSz w:w="22370" w:h="31660"/>
          <w:pgMar w:top="2480" w:right="3000" w:bottom="280" w:left="3140" w:header="708" w:footer="708"/>
          <w:pgNumType w:start="122"/>
          <w:cols w:space="708"/>
        </w:sectPr>
      </w:pPr>
    </w:p>
    <w:p>
      <w:pPr>
        <w:pStyle w:val="BodyText"/>
        <w:spacing w:before="38" w:line="249" w:lineRule="auto"/>
        <w:ind w:left="117" w:right="38" w:firstLine="934"/>
      </w:pPr>
      <w:r>
        <w:t>果客户要求出示的有关证据材料涉及等</w:t>
      </w:r>
      <w:r>
        <w:rPr>
          <w:rFonts w:ascii="宋体" w:eastAsia="宋体" w:hint="eastAsia"/>
          <w:position w:val="6"/>
          <w:sz w:val="42"/>
        </w:rPr>
        <w:t>，</w:t>
      </w:r>
      <w:r>
        <w:t>可以免于证据出示</w:t>
      </w:r>
    </w:p>
    <w:p>
      <w:pPr>
        <w:pStyle w:val="BodyText"/>
        <w:spacing w:before="38"/>
        <w:ind w:left="117"/>
      </w:pPr>
      <w:r>
        <w:br w:type="column"/>
      </w:r>
      <w:r>
        <w:t>国家秘密”、公共利益”、商业秘密”、个人隐私</w:t>
      </w:r>
    </w:p>
    <w:p>
      <w:pPr>
        <w:spacing w:after="0"/>
        <w:sectPr>
          <w:type w:val="continuous"/>
          <w:pgSz w:w="22370" w:h="31660"/>
          <w:pgMar w:top="2480" w:right="3000" w:bottom="280" w:left="3140" w:header="708" w:footer="708"/>
          <w:pgNumType w:start="123"/>
          <w:cols w:num="2" w:space="708" w:equalWidth="0">
            <w:col w:w="6708" w:space="612"/>
            <w:col w:w="8910" w:space="0"/>
          </w:cols>
        </w:sectPr>
      </w:pPr>
    </w:p>
    <w:p>
      <w:pPr>
        <w:pStyle w:val="BodyText"/>
        <w:spacing w:before="9"/>
        <w:rPr>
          <w:sz w:val="16"/>
        </w:rPr>
      </w:pPr>
    </w:p>
    <w:p>
      <w:pPr>
        <w:spacing w:after="0"/>
        <w:rPr>
          <w:sz w:val="16"/>
        </w:rPr>
        <w:sectPr>
          <w:type w:val="continuous"/>
          <w:pgSz w:w="22370" w:h="31660"/>
          <w:pgMar w:top="2480" w:right="3000" w:bottom="280" w:left="3140" w:header="708" w:footer="708"/>
          <w:pgNumType w:start="124"/>
          <w:cols w:space="708"/>
        </w:sectPr>
      </w:pPr>
    </w:p>
    <w:p>
      <w:pPr>
        <w:pStyle w:val="BodyText"/>
        <w:spacing w:before="39"/>
        <w:ind w:left="1029"/>
      </w:pPr>
      <w:r>
        <w:t>证据无法支持公司观点</w:t>
      </w:r>
      <w:r>
        <w:rPr>
          <w:rFonts w:ascii="宋体" w:eastAsia="宋体" w:hint="eastAsia"/>
          <w:position w:val="6"/>
          <w:sz w:val="42"/>
        </w:rPr>
        <w:t>，</w:t>
      </w:r>
      <w:r>
        <w:t>调查无果</w:t>
      </w:r>
      <w:r>
        <w:rPr>
          <w:rFonts w:ascii="宋体" w:eastAsia="宋体" w:hint="eastAsia"/>
          <w:position w:val="6"/>
          <w:sz w:val="42"/>
        </w:rPr>
        <w:t>，</w:t>
      </w:r>
      <w:r>
        <w:t>应及时给付</w:t>
      </w:r>
    </w:p>
    <w:p>
      <w:pPr>
        <w:pStyle w:val="BodyText"/>
        <w:spacing w:before="249"/>
        <w:ind w:left="1052"/>
      </w:pPr>
      <w:r>
        <w:rPr>
          <w:rFonts w:ascii="Lucida Sans" w:eastAsia="Lucida Sans"/>
        </w:rPr>
        <w:t>95</w:t>
      </w:r>
      <w:r>
        <w:t>、 成熟健康的服务价值层级</w:t>
      </w:r>
      <w:r>
        <w:rPr>
          <w:rFonts w:ascii="宋体" w:eastAsia="宋体" w:hint="eastAsia"/>
          <w:position w:val="6"/>
          <w:sz w:val="42"/>
        </w:rPr>
        <w:t>，</w:t>
      </w:r>
      <w:r>
        <w:t>以满足消费者的需求层次递增</w:t>
      </w:r>
    </w:p>
    <w:p>
      <w:pPr>
        <w:spacing w:before="141" w:line="403" w:lineRule="auto"/>
        <w:ind w:left="1029" w:right="4808" w:hanging="913"/>
        <w:jc w:val="left"/>
        <w:rPr>
          <w:sz w:val="35"/>
        </w:rPr>
      </w:pPr>
      <w:r>
        <w:rPr>
          <w:rFonts w:ascii="宋体" w:eastAsia="宋体" w:hint="eastAsia"/>
          <w:sz w:val="35"/>
        </w:rPr>
        <w:t>（</w:t>
      </w:r>
      <w:r>
        <w:rPr>
          <w:rFonts w:ascii="Lucida Sans" w:eastAsia="Lucida Sans"/>
          <w:sz w:val="35"/>
        </w:rPr>
        <w:t xml:space="preserve">B </w:t>
      </w:r>
      <w:r>
        <w:rPr>
          <w:rFonts w:ascii="宋体" w:eastAsia="宋体" w:hint="eastAsia"/>
          <w:sz w:val="35"/>
        </w:rPr>
        <w:t>）</w:t>
      </w:r>
      <w:r>
        <w:rPr>
          <w:spacing w:val="-20"/>
          <w:sz w:val="35"/>
        </w:rPr>
        <w:t xml:space="preserve">。尊重 </w:t>
      </w:r>
      <w:r>
        <w:rPr>
          <w:rFonts w:ascii="Lucida Console" w:eastAsia="Lucida Console"/>
          <w:position w:val="-11"/>
          <w:sz w:val="21"/>
        </w:rPr>
        <w:t>T</w:t>
      </w:r>
      <w:r>
        <w:rPr>
          <w:rFonts w:ascii="Lucida Console" w:eastAsia="Lucida Console"/>
          <w:spacing w:val="-83"/>
          <w:position w:val="-11"/>
          <w:sz w:val="21"/>
        </w:rPr>
        <w:t xml:space="preserve"> </w:t>
      </w:r>
      <w:r>
        <w:rPr>
          <w:spacing w:val="-27"/>
          <w:sz w:val="35"/>
        </w:rPr>
        <w:t xml:space="preserve">快速 </w:t>
      </w:r>
      <w:r>
        <w:rPr>
          <w:rFonts w:ascii="Lucida Console" w:eastAsia="Lucida Console"/>
          <w:position w:val="-11"/>
          <w:sz w:val="21"/>
        </w:rPr>
        <w:t>T</w:t>
      </w:r>
      <w:r>
        <w:rPr>
          <w:rFonts w:ascii="Lucida Console" w:eastAsia="Lucida Console"/>
          <w:spacing w:val="-83"/>
          <w:position w:val="-11"/>
          <w:sz w:val="21"/>
        </w:rPr>
        <w:t xml:space="preserve"> </w:t>
      </w:r>
      <w:r>
        <w:rPr>
          <w:spacing w:val="-26"/>
          <w:sz w:val="35"/>
        </w:rPr>
        <w:t xml:space="preserve">便利 </w:t>
      </w:r>
      <w:r>
        <w:rPr>
          <w:rFonts w:ascii="Lucida Console" w:eastAsia="Lucida Console"/>
          <w:position w:val="-11"/>
          <w:sz w:val="21"/>
        </w:rPr>
        <w:t>T</w:t>
      </w:r>
      <w:r>
        <w:rPr>
          <w:rFonts w:ascii="Lucida Console" w:eastAsia="Lucida Console"/>
          <w:spacing w:val="-84"/>
          <w:position w:val="-11"/>
          <w:sz w:val="21"/>
        </w:rPr>
        <w:t xml:space="preserve"> </w:t>
      </w:r>
      <w:r>
        <w:rPr>
          <w:spacing w:val="-25"/>
          <w:sz w:val="35"/>
        </w:rPr>
        <w:t xml:space="preserve">规范 </w:t>
      </w:r>
      <w:r>
        <w:rPr>
          <w:rFonts w:ascii="Lucida Console" w:eastAsia="Lucida Console"/>
          <w:position w:val="-11"/>
          <w:sz w:val="21"/>
        </w:rPr>
        <w:t>T</w:t>
      </w:r>
      <w:r>
        <w:rPr>
          <w:rFonts w:ascii="Lucida Console" w:eastAsia="Lucida Console"/>
          <w:spacing w:val="-87"/>
          <w:position w:val="-11"/>
          <w:sz w:val="21"/>
        </w:rPr>
        <w:t xml:space="preserve"> </w:t>
      </w:r>
      <w:r>
        <w:rPr>
          <w:spacing w:val="-6"/>
          <w:sz w:val="35"/>
        </w:rPr>
        <w:t>默契</w:t>
      </w:r>
      <w:r>
        <w:rPr>
          <w:spacing w:val="-29"/>
          <w:sz w:val="35"/>
        </w:rPr>
        <w:t xml:space="preserve">快速 </w:t>
      </w:r>
      <w:r>
        <w:rPr>
          <w:rFonts w:ascii="Lucida Console" w:eastAsia="Lucida Console"/>
          <w:position w:val="-10"/>
          <w:sz w:val="21"/>
        </w:rPr>
        <w:t>T</w:t>
      </w:r>
      <w:r>
        <w:rPr>
          <w:rFonts w:ascii="Lucida Console" w:eastAsia="Lucida Console"/>
          <w:spacing w:val="-86"/>
          <w:position w:val="-10"/>
          <w:sz w:val="21"/>
        </w:rPr>
        <w:t xml:space="preserve"> </w:t>
      </w:r>
      <w:r>
        <w:rPr>
          <w:spacing w:val="-28"/>
          <w:sz w:val="35"/>
        </w:rPr>
        <w:t xml:space="preserve">便利 </w:t>
      </w:r>
      <w:r>
        <w:rPr>
          <w:rFonts w:ascii="Lucida Console" w:eastAsia="Lucida Console"/>
          <w:position w:val="4"/>
          <w:sz w:val="22"/>
        </w:rPr>
        <w:t>T</w:t>
      </w:r>
      <w:r>
        <w:rPr>
          <w:rFonts w:ascii="Lucida Console" w:eastAsia="Lucida Console"/>
          <w:spacing w:val="53"/>
          <w:position w:val="4"/>
          <w:sz w:val="22"/>
        </w:rPr>
        <w:t xml:space="preserve"> </w:t>
      </w:r>
      <w:r>
        <w:rPr>
          <w:spacing w:val="-28"/>
          <w:sz w:val="35"/>
        </w:rPr>
        <w:t xml:space="preserve">尊重 </w:t>
      </w:r>
      <w:r>
        <w:rPr>
          <w:rFonts w:ascii="Lucida Console" w:eastAsia="Lucida Console"/>
          <w:position w:val="-10"/>
          <w:sz w:val="21"/>
        </w:rPr>
        <w:t>T</w:t>
      </w:r>
      <w:r>
        <w:rPr>
          <w:rFonts w:ascii="Lucida Console" w:eastAsia="Lucida Console"/>
          <w:spacing w:val="-86"/>
          <w:position w:val="-10"/>
          <w:sz w:val="21"/>
        </w:rPr>
        <w:t xml:space="preserve"> </w:t>
      </w:r>
      <w:r>
        <w:rPr>
          <w:spacing w:val="-27"/>
          <w:sz w:val="35"/>
        </w:rPr>
        <w:t xml:space="preserve">规范 </w:t>
      </w:r>
      <w:r>
        <w:rPr>
          <w:rFonts w:ascii="Lucida Console" w:eastAsia="Lucida Console"/>
          <w:position w:val="-10"/>
          <w:sz w:val="21"/>
        </w:rPr>
        <w:t>T</w:t>
      </w:r>
      <w:r>
        <w:rPr>
          <w:rFonts w:ascii="Lucida Console" w:eastAsia="Lucida Console"/>
          <w:spacing w:val="-86"/>
          <w:position w:val="-10"/>
          <w:sz w:val="21"/>
        </w:rPr>
        <w:t xml:space="preserve"> </w:t>
      </w:r>
      <w:r>
        <w:rPr>
          <w:sz w:val="35"/>
        </w:rPr>
        <w:t>默契</w:t>
      </w:r>
      <w:r>
        <w:rPr>
          <w:spacing w:val="-29"/>
          <w:sz w:val="35"/>
        </w:rPr>
        <w:t xml:space="preserve">快速 </w:t>
      </w:r>
      <w:r>
        <w:rPr>
          <w:rFonts w:ascii="Lucida Console" w:eastAsia="Lucida Console"/>
          <w:position w:val="-10"/>
          <w:sz w:val="21"/>
        </w:rPr>
        <w:t>T</w:t>
      </w:r>
      <w:r>
        <w:rPr>
          <w:rFonts w:ascii="Lucida Console" w:eastAsia="Lucida Console"/>
          <w:spacing w:val="-86"/>
          <w:position w:val="-10"/>
          <w:sz w:val="21"/>
        </w:rPr>
        <w:t xml:space="preserve"> </w:t>
      </w:r>
      <w:r>
        <w:rPr>
          <w:spacing w:val="-29"/>
          <w:sz w:val="35"/>
        </w:rPr>
        <w:t xml:space="preserve">便利 </w:t>
      </w:r>
      <w:r>
        <w:rPr>
          <w:rFonts w:ascii="Lucida Console" w:eastAsia="Lucida Console"/>
          <w:position w:val="-10"/>
          <w:sz w:val="21"/>
        </w:rPr>
        <w:t>T</w:t>
      </w:r>
      <w:r>
        <w:rPr>
          <w:rFonts w:ascii="Lucida Console" w:eastAsia="Lucida Console"/>
          <w:spacing w:val="-86"/>
          <w:position w:val="-10"/>
          <w:sz w:val="21"/>
        </w:rPr>
        <w:t xml:space="preserve"> </w:t>
      </w:r>
      <w:r>
        <w:rPr>
          <w:spacing w:val="-28"/>
          <w:sz w:val="35"/>
        </w:rPr>
        <w:t xml:space="preserve">规范 </w:t>
      </w:r>
      <w:r>
        <w:rPr>
          <w:rFonts w:ascii="Lucida Console" w:eastAsia="Lucida Console"/>
          <w:position w:val="-10"/>
          <w:sz w:val="21"/>
        </w:rPr>
        <w:t>T</w:t>
      </w:r>
      <w:r>
        <w:rPr>
          <w:rFonts w:ascii="Lucida Console" w:eastAsia="Lucida Console"/>
          <w:spacing w:val="-86"/>
          <w:position w:val="-10"/>
          <w:sz w:val="21"/>
        </w:rPr>
        <w:t xml:space="preserve"> </w:t>
      </w:r>
      <w:r>
        <w:rPr>
          <w:spacing w:val="-28"/>
          <w:sz w:val="35"/>
        </w:rPr>
        <w:t xml:space="preserve">默契 </w:t>
      </w:r>
      <w:r>
        <w:rPr>
          <w:rFonts w:ascii="Lucida Console" w:eastAsia="Lucida Console"/>
          <w:position w:val="-10"/>
          <w:sz w:val="21"/>
        </w:rPr>
        <w:t>T</w:t>
      </w:r>
      <w:r>
        <w:rPr>
          <w:rFonts w:ascii="Lucida Console" w:eastAsia="Lucida Console"/>
          <w:spacing w:val="-86"/>
          <w:position w:val="-10"/>
          <w:sz w:val="21"/>
        </w:rPr>
        <w:t xml:space="preserve"> </w:t>
      </w:r>
      <w:r>
        <w:rPr>
          <w:sz w:val="35"/>
        </w:rPr>
        <w:t>尊重</w:t>
      </w:r>
    </w:p>
    <w:p>
      <w:pPr>
        <w:pStyle w:val="BodyText"/>
        <w:spacing w:before="8"/>
        <w:rPr>
          <w:sz w:val="67"/>
        </w:rPr>
      </w:pPr>
      <w:r>
        <w:br w:type="column"/>
      </w:r>
    </w:p>
    <w:p>
      <w:pPr>
        <w:pStyle w:val="BodyText"/>
        <w:ind w:left="117"/>
      </w:pPr>
      <w:r>
        <w:rPr>
          <w:rFonts w:ascii="宋体" w:eastAsia="宋体" w:hint="eastAsia"/>
          <w:position w:val="6"/>
          <w:sz w:val="42"/>
        </w:rPr>
        <w:t>，</w:t>
      </w:r>
      <w:r>
        <w:t>呈现稳定的梯形</w:t>
      </w:r>
      <w:r>
        <w:rPr>
          <w:rFonts w:ascii="宋体" w:eastAsia="宋体" w:hint="eastAsia"/>
          <w:position w:val="6"/>
          <w:sz w:val="42"/>
        </w:rPr>
        <w:t>，</w:t>
      </w:r>
      <w:r>
        <w:t>共分为</w:t>
      </w:r>
    </w:p>
    <w:p>
      <w:pPr>
        <w:spacing w:after="0"/>
        <w:sectPr>
          <w:type w:val="continuous"/>
          <w:pgSz w:w="22370" w:h="31660"/>
          <w:pgMar w:top="2480" w:right="3000" w:bottom="280" w:left="3140" w:header="708" w:footer="708"/>
          <w:pgNumType w:start="125"/>
          <w:cols w:num="2" w:space="708" w:equalWidth="0">
            <w:col w:w="10856" w:space="410"/>
            <w:col w:w="4964" w:space="0"/>
          </w:cols>
        </w:sectPr>
      </w:pPr>
    </w:p>
    <w:p>
      <w:pPr>
        <w:spacing w:before="48"/>
        <w:ind w:left="1029" w:right="0" w:firstLine="0"/>
        <w:jc w:val="left"/>
        <w:rPr>
          <w:sz w:val="35"/>
        </w:rPr>
      </w:pPr>
      <w:r>
        <w:rPr>
          <w:spacing w:val="-29"/>
          <w:sz w:val="35"/>
        </w:rPr>
        <w:t xml:space="preserve">快速 </w:t>
      </w:r>
      <w:r>
        <w:rPr>
          <w:rFonts w:ascii="Lucida Console" w:eastAsia="Lucida Console"/>
          <w:position w:val="-10"/>
          <w:sz w:val="21"/>
        </w:rPr>
        <w:t>T</w:t>
      </w:r>
      <w:r>
        <w:rPr>
          <w:rFonts w:ascii="Lucida Console" w:eastAsia="Lucida Console"/>
          <w:spacing w:val="-87"/>
          <w:position w:val="-10"/>
          <w:sz w:val="21"/>
        </w:rPr>
        <w:t xml:space="preserve"> </w:t>
      </w:r>
      <w:r>
        <w:rPr>
          <w:spacing w:val="-29"/>
          <w:sz w:val="35"/>
        </w:rPr>
        <w:t xml:space="preserve">便利 </w:t>
      </w:r>
      <w:r>
        <w:rPr>
          <w:rFonts w:ascii="Lucida Console" w:eastAsia="Lucida Console"/>
          <w:position w:val="-10"/>
          <w:sz w:val="21"/>
        </w:rPr>
        <w:t>T</w:t>
      </w:r>
      <w:r>
        <w:rPr>
          <w:rFonts w:ascii="Lucida Console" w:eastAsia="Lucida Console"/>
          <w:spacing w:val="-87"/>
          <w:position w:val="-10"/>
          <w:sz w:val="21"/>
        </w:rPr>
        <w:t xml:space="preserve"> </w:t>
      </w:r>
      <w:r>
        <w:rPr>
          <w:spacing w:val="-28"/>
          <w:sz w:val="35"/>
        </w:rPr>
        <w:t xml:space="preserve">尊重 </w:t>
      </w:r>
      <w:r>
        <w:rPr>
          <w:rFonts w:ascii="Lucida Console" w:eastAsia="Lucida Console"/>
          <w:position w:val="-10"/>
          <w:sz w:val="21"/>
        </w:rPr>
        <w:t>T</w:t>
      </w:r>
      <w:r>
        <w:rPr>
          <w:rFonts w:ascii="Lucida Console" w:eastAsia="Lucida Console"/>
          <w:spacing w:val="-87"/>
          <w:position w:val="-10"/>
          <w:sz w:val="21"/>
        </w:rPr>
        <w:t xml:space="preserve"> </w:t>
      </w:r>
      <w:r>
        <w:rPr>
          <w:spacing w:val="-28"/>
          <w:sz w:val="35"/>
        </w:rPr>
        <w:t xml:space="preserve">默契 </w:t>
      </w:r>
      <w:r>
        <w:rPr>
          <w:rFonts w:ascii="Lucida Console" w:eastAsia="Lucida Console"/>
          <w:position w:val="-10"/>
          <w:sz w:val="21"/>
        </w:rPr>
        <w:t>T</w:t>
      </w:r>
      <w:r>
        <w:rPr>
          <w:rFonts w:ascii="Lucida Console" w:eastAsia="Lucida Console"/>
          <w:spacing w:val="-87"/>
          <w:position w:val="-10"/>
          <w:sz w:val="21"/>
        </w:rPr>
        <w:t xml:space="preserve"> </w:t>
      </w:r>
      <w:r>
        <w:rPr>
          <w:sz w:val="35"/>
        </w:rPr>
        <w:t>规范</w:t>
      </w:r>
    </w:p>
    <w:p>
      <w:pPr>
        <w:pStyle w:val="BodyText"/>
        <w:spacing w:before="48" w:line="874" w:lineRule="exact"/>
        <w:ind w:left="1029" w:right="7"/>
      </w:pPr>
      <w:r>
        <w:rPr>
          <w:rFonts w:ascii="Lucida Sans" w:eastAsia="Lucida Sans"/>
        </w:rPr>
        <w:t>96</w:t>
      </w:r>
      <w:r>
        <w:t>、 下列选项中</w:t>
      </w:r>
      <w:r>
        <w:rPr>
          <w:rFonts w:ascii="宋体" w:eastAsia="宋体" w:hint="eastAsia"/>
          <w:position w:val="6"/>
          <w:sz w:val="42"/>
        </w:rPr>
        <w:t>，</w:t>
      </w:r>
      <w:r>
        <w:t>关于国内理赔服务创新的说法错误的是理赔直付是联合医院提供保险理赔前置的一种增值服务</w:t>
      </w:r>
    </w:p>
    <w:p>
      <w:pPr>
        <w:pStyle w:val="BodyText"/>
        <w:spacing w:before="70"/>
        <w:ind w:left="117"/>
      </w:pPr>
      <w:r>
        <w:t>大创新</w:t>
      </w:r>
    </w:p>
    <w:p>
      <w:pPr>
        <w:pStyle w:val="BodyText"/>
        <w:spacing w:before="12"/>
        <w:rPr>
          <w:sz w:val="63"/>
        </w:rPr>
      </w:pPr>
      <w:r>
        <w:br w:type="column"/>
      </w:r>
    </w:p>
    <w:p>
      <w:pPr>
        <w:pStyle w:val="BodyText"/>
        <w:ind w:left="117"/>
      </w:pPr>
      <w:r>
        <w:rPr>
          <w:rFonts w:ascii="宋体" w:eastAsia="宋体" w:hint="eastAsia"/>
          <w:position w:val="6"/>
          <w:sz w:val="42"/>
        </w:rPr>
        <w:t>（</w:t>
      </w:r>
      <w:r>
        <w:rPr>
          <w:rFonts w:ascii="Lucida Sans" w:eastAsia="Lucida Sans"/>
        </w:rPr>
        <w:t xml:space="preserve">C </w:t>
      </w:r>
      <w:r>
        <w:rPr>
          <w:rFonts w:ascii="宋体" w:eastAsia="宋体" w:hint="eastAsia"/>
        </w:rPr>
        <w:t>）</w:t>
      </w:r>
      <w:r>
        <w:t>。</w:t>
      </w:r>
    </w:p>
    <w:p>
      <w:pPr>
        <w:pStyle w:val="BodyText"/>
        <w:spacing w:before="295"/>
        <w:ind w:left="117"/>
      </w:pPr>
      <w:r>
        <w:rPr>
          <w:rFonts w:ascii="宋体" w:eastAsia="宋体" w:hint="eastAsia"/>
          <w:position w:val="6"/>
          <w:sz w:val="42"/>
        </w:rPr>
        <w:t>，</w:t>
      </w:r>
      <w:r>
        <w:t>是保险公司将理赔前置的重</w:t>
      </w:r>
    </w:p>
    <w:p>
      <w:pPr>
        <w:spacing w:after="0"/>
        <w:sectPr>
          <w:type w:val="continuous"/>
          <w:pgSz w:w="22370" w:h="31660"/>
          <w:pgMar w:top="2480" w:right="3000" w:bottom="280" w:left="3140" w:header="708" w:footer="708"/>
          <w:pgNumType w:start="126"/>
          <w:cols w:num="2" w:space="708" w:equalWidth="0">
            <w:col w:w="10132" w:space="227"/>
            <w:col w:w="5871" w:space="0"/>
          </w:cols>
        </w:sectPr>
      </w:pPr>
    </w:p>
    <w:p>
      <w:pPr>
        <w:pStyle w:val="BodyText"/>
        <w:spacing w:before="6"/>
        <w:rPr>
          <w:sz w:val="18"/>
        </w:rPr>
      </w:pPr>
    </w:p>
    <w:p>
      <w:pPr>
        <w:spacing w:after="0"/>
        <w:rPr>
          <w:sz w:val="18"/>
        </w:rPr>
        <w:sectPr>
          <w:type w:val="continuous"/>
          <w:pgSz w:w="22370" w:h="31660"/>
          <w:pgMar w:top="2480" w:right="3000" w:bottom="280" w:left="3140" w:header="708" w:footer="708"/>
          <w:pgNumType w:start="127"/>
          <w:cols w:space="708"/>
        </w:sectPr>
      </w:pPr>
    </w:p>
    <w:p>
      <w:pPr>
        <w:pStyle w:val="BodyText"/>
        <w:spacing w:before="168"/>
        <w:ind w:left="1029"/>
      </w:pPr>
      <w:r>
        <w:t>附加值服务有助于提高客户满意度及忠诚度</w:t>
      </w:r>
    </w:p>
    <w:p>
      <w:pPr>
        <w:pStyle w:val="BodyText"/>
        <w:spacing w:before="38"/>
        <w:ind w:left="705"/>
      </w:pPr>
      <w:r>
        <w:br w:type="column"/>
      </w:r>
      <w:r>
        <w:rPr>
          <w:rFonts w:ascii="宋体" w:eastAsia="宋体" w:hint="eastAsia"/>
          <w:position w:val="6"/>
          <w:sz w:val="42"/>
        </w:rPr>
        <w:t>，</w:t>
      </w:r>
      <w:r>
        <w:t>从而提高客户留存率、降低退保损失</w:t>
      </w:r>
    </w:p>
    <w:p>
      <w:pPr>
        <w:spacing w:after="0"/>
        <w:sectPr>
          <w:type w:val="continuous"/>
          <w:pgSz w:w="22370" w:h="31660"/>
          <w:pgMar w:top="2480" w:right="3000" w:bottom="280" w:left="3140" w:header="708" w:footer="708"/>
          <w:pgNumType w:start="128"/>
          <w:cols w:num="2" w:space="708" w:equalWidth="0">
            <w:col w:w="7699" w:space="40"/>
            <w:col w:w="8491" w:space="0"/>
          </w:cols>
        </w:sectPr>
      </w:pPr>
    </w:p>
    <w:p>
      <w:pPr>
        <w:pStyle w:val="BodyText"/>
        <w:spacing w:before="7"/>
        <w:rPr>
          <w:sz w:val="18"/>
        </w:rPr>
      </w:pPr>
    </w:p>
    <w:p>
      <w:pPr>
        <w:pStyle w:val="BodyText"/>
        <w:spacing w:before="38"/>
        <w:ind w:left="1029"/>
      </w:pPr>
      <w:r>
        <w:t>移动理赔相对传统理赔方式</w:t>
      </w:r>
      <w:r>
        <w:rPr>
          <w:rFonts w:ascii="宋体" w:eastAsia="宋体" w:hint="eastAsia"/>
          <w:position w:val="6"/>
          <w:sz w:val="42"/>
        </w:rPr>
        <w:t>，</w:t>
      </w:r>
      <w:r>
        <w:t>在效率方面效果不佳</w:t>
      </w:r>
      <w:r>
        <w:rPr>
          <w:rFonts w:ascii="宋体" w:eastAsia="宋体" w:hint="eastAsia"/>
          <w:position w:val="6"/>
          <w:sz w:val="42"/>
        </w:rPr>
        <w:t>，</w:t>
      </w:r>
      <w:r>
        <w:t>客户满意度不高</w:t>
      </w:r>
    </w:p>
    <w:p>
      <w:pPr>
        <w:pStyle w:val="BodyText"/>
        <w:spacing w:before="4"/>
        <w:rPr>
          <w:sz w:val="18"/>
        </w:rPr>
      </w:pPr>
    </w:p>
    <w:p>
      <w:pPr>
        <w:spacing w:after="0"/>
        <w:rPr>
          <w:sz w:val="18"/>
        </w:rPr>
        <w:sectPr>
          <w:type w:val="continuous"/>
          <w:pgSz w:w="22370" w:h="31660"/>
          <w:pgMar w:top="2480" w:right="3000" w:bottom="280" w:left="3140" w:header="708" w:footer="708"/>
          <w:pgNumType w:start="129"/>
          <w:cols w:space="708"/>
        </w:sectPr>
      </w:pPr>
    </w:p>
    <w:p>
      <w:pPr>
        <w:pStyle w:val="BodyText"/>
        <w:spacing w:before="168" w:line="319" w:lineRule="auto"/>
        <w:ind w:left="117" w:right="38" w:firstLine="912"/>
      </w:pPr>
      <w:r>
        <w:t>客户分类服务根据保费贡献大小将客户分为普通客户、户提供动态服务和管理</w:t>
      </w:r>
    </w:p>
    <w:p>
      <w:pPr>
        <w:pStyle w:val="BodyText"/>
        <w:spacing w:before="38"/>
        <w:ind w:left="117"/>
      </w:pPr>
      <w:r>
        <w:br w:type="column"/>
      </w:r>
      <w:r>
        <w:rPr>
          <w:rFonts w:ascii="Lucida Sans" w:eastAsia="Lucida Sans"/>
        </w:rPr>
        <w:t xml:space="preserve">VIP </w:t>
      </w:r>
      <w:r>
        <w:t>贵宾客户</w:t>
      </w:r>
      <w:r>
        <w:rPr>
          <w:rFonts w:ascii="宋体" w:eastAsia="宋体" w:hint="eastAsia"/>
          <w:position w:val="6"/>
          <w:sz w:val="42"/>
        </w:rPr>
        <w:t>，</w:t>
      </w:r>
      <w:r>
        <w:t>对不同类别的客</w:t>
      </w:r>
    </w:p>
    <w:p>
      <w:pPr>
        <w:spacing w:after="0"/>
        <w:sectPr>
          <w:type w:val="continuous"/>
          <w:pgSz w:w="22370" w:h="31660"/>
          <w:pgMar w:top="2480" w:right="3000" w:bottom="280" w:left="3140" w:header="708" w:footer="708"/>
          <w:pgNumType w:start="130"/>
          <w:cols w:num="2" w:space="708" w:equalWidth="0">
            <w:col w:w="9494" w:space="865"/>
            <w:col w:w="5871" w:space="0"/>
          </w:cols>
        </w:sectPr>
      </w:pPr>
    </w:p>
    <w:p>
      <w:pPr>
        <w:pStyle w:val="BodyText"/>
        <w:spacing w:before="5"/>
        <w:rPr>
          <w:sz w:val="10"/>
        </w:rPr>
      </w:pPr>
    </w:p>
    <w:p>
      <w:pPr>
        <w:spacing w:after="0"/>
        <w:rPr>
          <w:sz w:val="10"/>
        </w:rPr>
        <w:sectPr>
          <w:type w:val="continuous"/>
          <w:pgSz w:w="22370" w:h="31660"/>
          <w:pgMar w:top="2480" w:right="3000" w:bottom="280" w:left="3140" w:header="708" w:footer="708"/>
          <w:pgNumType w:start="131"/>
          <w:cols w:space="708"/>
        </w:sectPr>
      </w:pPr>
    </w:p>
    <w:p>
      <w:pPr>
        <w:pStyle w:val="BodyText"/>
        <w:spacing w:before="173" w:line="468" w:lineRule="auto"/>
        <w:ind w:left="1029"/>
      </w:pPr>
      <w:r>
        <w:rPr>
          <w:rFonts w:ascii="Lucida Sans" w:eastAsia="Lucida Sans"/>
        </w:rPr>
        <w:t>97</w:t>
      </w:r>
      <w:r>
        <w:rPr>
          <w:spacing w:val="-7"/>
        </w:rPr>
        <w:t>、 投保人伪造保险事故进行索赔</w:t>
      </w:r>
      <w:r>
        <w:t>物质风险因素</w:t>
      </w:r>
    </w:p>
    <w:p>
      <w:pPr>
        <w:pStyle w:val="BodyText"/>
        <w:spacing w:line="427" w:lineRule="exact"/>
        <w:ind w:left="1029"/>
      </w:pPr>
      <w:r>
        <w:t>心理风险因素</w:t>
      </w:r>
    </w:p>
    <w:p>
      <w:pPr>
        <w:pStyle w:val="BodyText"/>
        <w:spacing w:before="43"/>
        <w:ind w:left="387"/>
      </w:pPr>
      <w:r>
        <w:br w:type="column"/>
      </w:r>
      <w:r>
        <w:rPr>
          <w:rFonts w:ascii="宋体" w:eastAsia="宋体" w:hint="eastAsia"/>
          <w:position w:val="6"/>
          <w:sz w:val="42"/>
        </w:rPr>
        <w:t>，</w:t>
      </w:r>
      <w:r>
        <w:t>这属于风险因素中的</w:t>
      </w:r>
      <w:r>
        <w:rPr>
          <w:rFonts w:ascii="宋体" w:eastAsia="宋体" w:hint="eastAsia"/>
          <w:position w:val="6"/>
          <w:sz w:val="42"/>
        </w:rPr>
        <w:t>（</w:t>
      </w:r>
      <w:r>
        <w:rPr>
          <w:rFonts w:ascii="Lucida Sans" w:eastAsia="Lucida Sans"/>
        </w:rPr>
        <w:t xml:space="preserve">C </w:t>
      </w:r>
      <w:r>
        <w:rPr>
          <w:rFonts w:ascii="宋体" w:eastAsia="宋体" w:hint="eastAsia"/>
        </w:rPr>
        <w:t>）</w:t>
      </w:r>
      <w:r>
        <w:t>。</w:t>
      </w:r>
    </w:p>
    <w:p>
      <w:pPr>
        <w:spacing w:after="0"/>
        <w:sectPr>
          <w:type w:val="continuous"/>
          <w:pgSz w:w="22370" w:h="31660"/>
          <w:pgMar w:top="2480" w:right="3000" w:bottom="280" w:left="3140" w:header="708" w:footer="708"/>
          <w:pgNumType w:start="132"/>
          <w:cols w:num="2" w:space="708" w:equalWidth="0">
            <w:col w:w="6511" w:space="40"/>
            <w:col w:w="9679" w:space="0"/>
          </w:cols>
        </w:sectPr>
      </w:pPr>
    </w:p>
    <w:p>
      <w:pPr>
        <w:pStyle w:val="BodyText"/>
        <w:spacing w:before="22" w:line="470" w:lineRule="auto"/>
        <w:ind w:left="1029" w:right="13088"/>
      </w:pPr>
      <w:r>
        <w:t>道德风险因素社会风险因素</w:t>
      </w:r>
    </w:p>
    <w:p>
      <w:pPr>
        <w:pStyle w:val="BodyText"/>
        <w:spacing w:line="563" w:lineRule="exact"/>
        <w:ind w:left="1029"/>
        <w:rPr>
          <w:rFonts w:ascii="宋体" w:eastAsia="宋体" w:hint="eastAsia"/>
          <w:sz w:val="44"/>
        </w:rPr>
      </w:pPr>
      <w:r>
        <w:rPr>
          <w:rFonts w:ascii="Century Gothic" w:eastAsia="Century Gothic"/>
        </w:rPr>
        <w:t>98</w:t>
      </w:r>
      <w:r>
        <w:t>、 按风险的性质分类</w:t>
      </w:r>
      <w:r>
        <w:rPr>
          <w:rFonts w:ascii="宋体" w:eastAsia="宋体" w:hint="eastAsia"/>
          <w:position w:val="6"/>
          <w:sz w:val="42"/>
        </w:rPr>
        <w:t>，</w:t>
      </w:r>
      <w:r>
        <w:t>风险分为</w:t>
      </w:r>
      <w:r>
        <w:rPr>
          <w:rFonts w:ascii="Century Gothic" w:eastAsia="Century Gothic"/>
        </w:rPr>
        <w:t>(A )</w:t>
      </w:r>
      <w:r>
        <w:rPr>
          <w:rFonts w:ascii="宋体" w:eastAsia="宋体" w:hint="eastAsia"/>
          <w:position w:val="8"/>
          <w:sz w:val="44"/>
        </w:rPr>
        <w:t>。</w:t>
      </w:r>
    </w:p>
    <w:p>
      <w:pPr>
        <w:pStyle w:val="BodyText"/>
        <w:spacing w:before="450" w:line="468" w:lineRule="auto"/>
        <w:ind w:left="1029" w:right="12035"/>
      </w:pPr>
      <w:r>
        <w:t>纯粹风险和投机风险静态风险和动态风险</w:t>
      </w:r>
    </w:p>
    <w:p>
      <w:pPr>
        <w:pStyle w:val="BodyText"/>
        <w:spacing w:before="6"/>
        <w:ind w:left="1029"/>
      </w:pPr>
      <w:r>
        <w:t>自然风险、社会风险、经济风险和政治风险</w:t>
      </w:r>
    </w:p>
    <w:p>
      <w:pPr>
        <w:pStyle w:val="BodyText"/>
        <w:rPr>
          <w:sz w:val="20"/>
        </w:rPr>
      </w:pPr>
    </w:p>
    <w:p>
      <w:pPr>
        <w:spacing w:after="0"/>
        <w:rPr>
          <w:sz w:val="20"/>
        </w:rPr>
        <w:sectPr>
          <w:pgSz w:w="22370" w:h="31660"/>
          <w:pgMar w:top="2340" w:right="3000" w:bottom="280" w:left="3140" w:header="708" w:footer="708"/>
          <w:pgNumType w:start="133"/>
          <w:cols w:space="708"/>
        </w:sectPr>
      </w:pPr>
    </w:p>
    <w:p>
      <w:pPr>
        <w:pStyle w:val="BodyText"/>
        <w:spacing w:before="175"/>
        <w:ind w:left="1029"/>
      </w:pPr>
      <w:r>
        <w:t>人身风险、财产风险、责任风险、信用风险、财务风险</w:t>
      </w:r>
    </w:p>
    <w:p>
      <w:pPr>
        <w:pStyle w:val="BodyText"/>
        <w:spacing w:before="7"/>
        <w:rPr>
          <w:sz w:val="38"/>
        </w:rPr>
      </w:pPr>
    </w:p>
    <w:p>
      <w:pPr>
        <w:pStyle w:val="BodyText"/>
        <w:spacing w:before="1"/>
        <w:ind w:left="1029"/>
      </w:pPr>
      <w:r>
        <w:rPr>
          <w:rFonts w:ascii="Century Gothic" w:eastAsia="Century Gothic"/>
        </w:rPr>
        <w:t>99</w:t>
      </w:r>
      <w:r>
        <w:t>、 保险是对不可预计的损失进行重新分配的融资活动</w:t>
      </w:r>
    </w:p>
    <w:p>
      <w:pPr>
        <w:pStyle w:val="BodyText"/>
        <w:spacing w:before="139"/>
        <w:ind w:left="215"/>
      </w:pPr>
      <w:r>
        <w:t>经济</w:t>
      </w:r>
    </w:p>
    <w:p>
      <w:pPr>
        <w:pStyle w:val="BodyText"/>
        <w:rPr>
          <w:sz w:val="50"/>
        </w:rPr>
      </w:pPr>
      <w:r>
        <w:br w:type="column"/>
      </w:r>
    </w:p>
    <w:p>
      <w:pPr>
        <w:pStyle w:val="BodyText"/>
        <w:spacing w:before="349"/>
        <w:ind w:left="215"/>
      </w:pPr>
      <w:r>
        <w:rPr>
          <w:rFonts w:ascii="宋体" w:eastAsia="宋体" w:hint="eastAsia"/>
          <w:position w:val="6"/>
          <w:sz w:val="42"/>
        </w:rPr>
        <w:t>，</w:t>
      </w:r>
      <w:r>
        <w:t>这是从</w:t>
      </w:r>
      <w:r>
        <w:rPr>
          <w:rFonts w:ascii="Century Gothic" w:eastAsia="Century Gothic"/>
        </w:rPr>
        <w:t>(A )</w:t>
      </w:r>
      <w:r>
        <w:t>角度对保险的定义。</w:t>
      </w:r>
    </w:p>
    <w:p>
      <w:pPr>
        <w:spacing w:after="0"/>
        <w:sectPr>
          <w:type w:val="continuous"/>
          <w:pgSz w:w="22370" w:h="31660"/>
          <w:pgMar w:top="2480" w:right="3000" w:bottom="280" w:left="3140" w:header="708" w:footer="708"/>
          <w:pgNumType w:start="134"/>
          <w:cols w:num="2" w:space="708" w:equalWidth="0">
            <w:col w:w="9710" w:space="489"/>
            <w:col w:w="6031" w:space="0"/>
          </w:cols>
        </w:sectPr>
      </w:pPr>
    </w:p>
    <w:p>
      <w:pPr>
        <w:pStyle w:val="BodyText"/>
        <w:spacing w:before="1"/>
        <w:rPr>
          <w:sz w:val="20"/>
        </w:rPr>
      </w:pPr>
    </w:p>
    <w:p>
      <w:pPr>
        <w:pStyle w:val="BodyText"/>
        <w:spacing w:before="38"/>
        <w:ind w:left="1029"/>
      </w:pPr>
      <w:r>
        <w:t>法律</w:t>
      </w:r>
    </w:p>
    <w:p>
      <w:pPr>
        <w:pStyle w:val="BodyText"/>
        <w:spacing w:before="5"/>
        <w:rPr>
          <w:sz w:val="37"/>
        </w:rPr>
      </w:pPr>
    </w:p>
    <w:p>
      <w:pPr>
        <w:pStyle w:val="BodyText"/>
        <w:ind w:left="1029"/>
      </w:pPr>
      <w:r>
        <w:t>社会功能</w:t>
      </w:r>
    </w:p>
    <w:p>
      <w:pPr>
        <w:pStyle w:val="BodyText"/>
        <w:rPr>
          <w:sz w:val="20"/>
        </w:rPr>
      </w:pPr>
    </w:p>
    <w:p>
      <w:pPr>
        <w:spacing w:after="0"/>
        <w:rPr>
          <w:sz w:val="20"/>
        </w:rPr>
        <w:sectPr>
          <w:type w:val="continuous"/>
          <w:pgSz w:w="22370" w:h="31660"/>
          <w:pgMar w:top="2480" w:right="3000" w:bottom="280" w:left="3140" w:header="708" w:footer="708"/>
          <w:pgNumType w:start="135"/>
          <w:cols w:space="708"/>
        </w:sectPr>
      </w:pPr>
    </w:p>
    <w:p>
      <w:pPr>
        <w:pStyle w:val="BodyText"/>
        <w:spacing w:before="171"/>
        <w:ind w:left="1029"/>
      </w:pPr>
      <w:r>
        <w:t>政治</w:t>
      </w:r>
    </w:p>
    <w:p>
      <w:pPr>
        <w:pStyle w:val="BodyText"/>
        <w:spacing w:before="11"/>
        <w:rPr>
          <w:sz w:val="38"/>
        </w:rPr>
      </w:pPr>
    </w:p>
    <w:p>
      <w:pPr>
        <w:pStyle w:val="BodyText"/>
        <w:spacing w:line="480" w:lineRule="auto"/>
        <w:ind w:left="1029"/>
      </w:pPr>
      <w:r>
        <w:rPr>
          <w:rFonts w:ascii="Century Gothic" w:eastAsia="Century Gothic"/>
        </w:rPr>
        <w:t>100</w:t>
      </w:r>
      <w:r>
        <w:rPr>
          <w:spacing w:val="-2"/>
        </w:rPr>
        <w:t>、 既有损失又有获利可能的风险</w:t>
      </w:r>
      <w:r>
        <w:t>纯粹风险</w:t>
      </w:r>
    </w:p>
    <w:p>
      <w:pPr>
        <w:pStyle w:val="BodyText"/>
        <w:spacing w:line="430" w:lineRule="exact"/>
        <w:ind w:left="1029"/>
      </w:pPr>
      <w:r>
        <w:t>投机风险</w:t>
      </w:r>
    </w:p>
    <w:p>
      <w:pPr>
        <w:pStyle w:val="BodyText"/>
        <w:spacing w:before="4"/>
        <w:rPr>
          <w:sz w:val="37"/>
        </w:rPr>
      </w:pPr>
    </w:p>
    <w:p>
      <w:pPr>
        <w:pStyle w:val="BodyText"/>
        <w:ind w:left="1029"/>
      </w:pPr>
      <w:r>
        <w:t>社会风险</w:t>
      </w:r>
    </w:p>
    <w:p>
      <w:pPr>
        <w:pStyle w:val="BodyText"/>
        <w:spacing w:before="1"/>
        <w:rPr>
          <w:sz w:val="74"/>
        </w:rPr>
      </w:pPr>
      <w:r>
        <w:br w:type="column"/>
      </w:r>
    </w:p>
    <w:p>
      <w:pPr>
        <w:spacing w:before="0"/>
        <w:ind w:left="356" w:right="0" w:firstLine="0"/>
        <w:jc w:val="left"/>
        <w:rPr>
          <w:rFonts w:ascii="宋体" w:eastAsia="宋体" w:hint="eastAsia"/>
          <w:sz w:val="44"/>
        </w:rPr>
      </w:pPr>
      <w:r>
        <w:rPr>
          <w:rFonts w:ascii="宋体" w:eastAsia="宋体" w:hint="eastAsia"/>
          <w:position w:val="6"/>
          <w:sz w:val="42"/>
        </w:rPr>
        <w:t>，</w:t>
      </w:r>
      <w:r>
        <w:rPr>
          <w:sz w:val="35"/>
        </w:rPr>
        <w:t>称为</w:t>
      </w:r>
      <w:r>
        <w:rPr>
          <w:rFonts w:ascii="Century Gothic" w:eastAsia="Century Gothic"/>
          <w:sz w:val="35"/>
        </w:rPr>
        <w:t>(B )</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136"/>
          <w:cols w:num="2" w:space="708" w:equalWidth="0">
            <w:col w:w="6705" w:space="40"/>
            <w:col w:w="9485" w:space="0"/>
          </w:cols>
        </w:sectPr>
      </w:pPr>
    </w:p>
    <w:p>
      <w:pPr>
        <w:pStyle w:val="BodyText"/>
        <w:rPr>
          <w:rFonts w:ascii="宋体"/>
          <w:sz w:val="20"/>
        </w:rPr>
      </w:pPr>
    </w:p>
    <w:p>
      <w:pPr>
        <w:pStyle w:val="BodyText"/>
        <w:spacing w:before="172"/>
        <w:ind w:left="1029"/>
      </w:pPr>
      <w:r>
        <w:t>经济风险</w:t>
      </w:r>
    </w:p>
    <w:p>
      <w:pPr>
        <w:pStyle w:val="BodyText"/>
        <w:spacing w:before="3"/>
        <w:rPr>
          <w:sz w:val="29"/>
        </w:rPr>
      </w:pPr>
    </w:p>
    <w:p>
      <w:pPr>
        <w:pStyle w:val="BodyText"/>
        <w:ind w:left="1029"/>
        <w:rPr>
          <w:rFonts w:ascii="宋体" w:eastAsia="宋体" w:hint="eastAsia"/>
          <w:sz w:val="44"/>
        </w:rPr>
      </w:pPr>
      <w:r>
        <w:rPr>
          <w:rFonts w:ascii="Century Gothic" w:eastAsia="Century Gothic"/>
        </w:rPr>
        <w:t>101</w:t>
      </w:r>
      <w:r>
        <w:t>、下列各项中</w:t>
      </w:r>
      <w:r>
        <w:rPr>
          <w:rFonts w:ascii="宋体" w:eastAsia="宋体" w:hint="eastAsia"/>
          <w:position w:val="6"/>
          <w:sz w:val="42"/>
        </w:rPr>
        <w:t>，</w:t>
      </w:r>
      <w:r>
        <w:t>不属于政策性保险的是</w:t>
      </w:r>
      <w:r>
        <w:rPr>
          <w:rFonts w:ascii="Century Gothic" w:eastAsia="Century Gothic"/>
        </w:rPr>
        <w:t>(A )</w:t>
      </w:r>
      <w:r>
        <w:rPr>
          <w:rFonts w:ascii="宋体" w:eastAsia="宋体" w:hint="eastAsia"/>
          <w:position w:val="8"/>
          <w:sz w:val="44"/>
        </w:rPr>
        <w:t>。</w:t>
      </w:r>
    </w:p>
    <w:p>
      <w:pPr>
        <w:pStyle w:val="BodyText"/>
        <w:spacing w:before="451" w:line="470" w:lineRule="auto"/>
        <w:ind w:left="1029" w:right="13790"/>
        <w:jc w:val="both"/>
      </w:pPr>
      <w:r>
        <w:t>养老保险农业保险巨灾保险</w:t>
      </w:r>
    </w:p>
    <w:p>
      <w:pPr>
        <w:pStyle w:val="BodyText"/>
        <w:spacing w:before="45"/>
        <w:ind w:left="1029"/>
      </w:pPr>
      <w:r>
        <w:t>出口信用保险</w:t>
      </w:r>
    </w:p>
    <w:p>
      <w:pPr>
        <w:pStyle w:val="BodyText"/>
        <w:spacing w:before="6"/>
        <w:rPr>
          <w:sz w:val="25"/>
        </w:rPr>
      </w:pPr>
    </w:p>
    <w:p>
      <w:pPr>
        <w:pStyle w:val="BodyText"/>
        <w:ind w:left="1029"/>
        <w:rPr>
          <w:rFonts w:ascii="宋体" w:eastAsia="宋体" w:hint="eastAsia"/>
          <w:sz w:val="44"/>
        </w:rPr>
      </w:pPr>
      <w:r>
        <w:rPr>
          <w:rFonts w:ascii="Century Gothic" w:eastAsia="Century Gothic"/>
        </w:rPr>
        <w:t>102</w:t>
      </w:r>
      <w:r>
        <w:t>、按照保险的性质划分</w:t>
      </w:r>
      <w:r>
        <w:rPr>
          <w:position w:val="2"/>
          <w:sz w:val="22"/>
        </w:rPr>
        <w:t xml:space="preserve">, </w:t>
      </w:r>
      <w:r>
        <w:t>保险的分类不包括</w:t>
      </w:r>
      <w:r>
        <w:rPr>
          <w:rFonts w:ascii="宋体" w:eastAsia="宋体" w:hint="eastAsia"/>
          <w:position w:val="6"/>
          <w:sz w:val="42"/>
        </w:rPr>
        <w:t>(</w:t>
      </w:r>
      <w:r>
        <w:rPr>
          <w:rFonts w:ascii="Century Gothic" w:eastAsia="Century Gothic"/>
        </w:rPr>
        <w:t>B )</w:t>
      </w:r>
      <w:r>
        <w:rPr>
          <w:rFonts w:ascii="宋体" w:eastAsia="宋体" w:hint="eastAsia"/>
          <w:position w:val="8"/>
          <w:sz w:val="44"/>
        </w:rPr>
        <w:t>。</w:t>
      </w:r>
    </w:p>
    <w:p>
      <w:pPr>
        <w:pStyle w:val="BodyText"/>
        <w:spacing w:before="451" w:line="477" w:lineRule="auto"/>
        <w:ind w:left="1029" w:right="13439"/>
      </w:pPr>
      <w:r>
        <w:t xml:space="preserve">商业保险 强制保险 社会保险 </w:t>
      </w:r>
      <w:r>
        <w:rPr>
          <w:spacing w:val="-4"/>
        </w:rPr>
        <w:t>政策性保险</w:t>
      </w:r>
    </w:p>
    <w:p>
      <w:pPr>
        <w:spacing w:after="0" w:line="477" w:lineRule="auto"/>
        <w:sectPr>
          <w:type w:val="continuous"/>
          <w:pgSz w:w="22370" w:h="31660"/>
          <w:pgMar w:top="2480" w:right="3000" w:bottom="280" w:left="3140" w:header="708" w:footer="708"/>
          <w:pgNumType w:start="137"/>
          <w:cols w:space="708"/>
        </w:sectPr>
      </w:pPr>
    </w:p>
    <w:p>
      <w:pPr>
        <w:pStyle w:val="BodyText"/>
        <w:spacing w:before="104" w:line="480" w:lineRule="auto"/>
        <w:ind w:left="1029"/>
      </w:pPr>
      <w:r>
        <w:rPr>
          <w:rFonts w:ascii="Century Gothic" w:eastAsia="Century Gothic"/>
        </w:rPr>
        <w:t>103</w:t>
      </w:r>
      <w:r>
        <w:rPr>
          <w:spacing w:val="-2"/>
        </w:rPr>
        <w:t>、 保险合同双方当事人约定互负义务</w:t>
      </w:r>
      <w:r>
        <w:t>双务合同</w:t>
      </w:r>
    </w:p>
    <w:p>
      <w:pPr>
        <w:pStyle w:val="BodyText"/>
        <w:spacing w:before="29"/>
        <w:ind w:left="1029"/>
      </w:pPr>
      <w:r>
        <w:t>有偿合同</w:t>
      </w:r>
    </w:p>
    <w:p>
      <w:pPr>
        <w:pStyle w:val="BodyText"/>
        <w:spacing w:line="555" w:lineRule="exact"/>
        <w:ind w:left="452"/>
      </w:pPr>
      <w:r>
        <w:br w:type="column"/>
      </w:r>
      <w:r>
        <w:rPr>
          <w:rFonts w:ascii="宋体" w:eastAsia="宋体" w:hint="eastAsia"/>
          <w:position w:val="6"/>
          <w:sz w:val="42"/>
        </w:rPr>
        <w:t>，</w:t>
      </w:r>
      <w:r>
        <w:t>并受其承诺约束的合同</w:t>
      </w:r>
      <w:r>
        <w:rPr>
          <w:rFonts w:ascii="宋体" w:eastAsia="宋体" w:hint="eastAsia"/>
          <w:position w:val="6"/>
          <w:sz w:val="42"/>
        </w:rPr>
        <w:t>，</w:t>
      </w:r>
      <w:r>
        <w:t>我们称为</w:t>
      </w:r>
      <w:r>
        <w:rPr>
          <w:rFonts w:ascii="Century Gothic" w:eastAsia="Century Gothic"/>
        </w:rPr>
        <w:t>(A )</w:t>
      </w:r>
      <w:r>
        <w:t>。</w:t>
      </w:r>
    </w:p>
    <w:p>
      <w:pPr>
        <w:spacing w:after="0" w:line="555" w:lineRule="exact"/>
        <w:sectPr>
          <w:type w:val="continuous"/>
          <w:pgSz w:w="22370" w:h="31660"/>
          <w:pgMar w:top="2480" w:right="3000" w:bottom="280" w:left="3140" w:header="708" w:footer="708"/>
          <w:pgNumType w:start="138"/>
          <w:cols w:num="2" w:space="708" w:equalWidth="0">
            <w:col w:w="7407" w:space="40"/>
            <w:col w:w="8783" w:space="0"/>
          </w:cols>
        </w:sectPr>
      </w:pPr>
    </w:p>
    <w:p>
      <w:pPr>
        <w:pStyle w:val="BodyText"/>
        <w:spacing w:before="22"/>
        <w:ind w:left="1007"/>
      </w:pPr>
      <w:r>
        <w:t>射幸合同</w:t>
      </w:r>
    </w:p>
    <w:p>
      <w:pPr>
        <w:pStyle w:val="BodyText"/>
        <w:spacing w:before="6"/>
        <w:rPr>
          <w:sz w:val="26"/>
        </w:rPr>
      </w:pPr>
    </w:p>
    <w:p>
      <w:pPr>
        <w:spacing w:after="0"/>
        <w:rPr>
          <w:sz w:val="26"/>
        </w:rPr>
        <w:sectPr>
          <w:pgSz w:w="22370" w:h="31660"/>
          <w:pgMar w:top="2340" w:right="3000" w:bottom="280" w:left="3140" w:header="708" w:footer="708"/>
          <w:pgNumType w:start="139"/>
          <w:cols w:space="708"/>
        </w:sectPr>
      </w:pPr>
    </w:p>
    <w:p>
      <w:pPr>
        <w:pStyle w:val="BodyText"/>
        <w:spacing w:before="38"/>
        <w:ind w:left="1007"/>
      </w:pPr>
      <w:r>
        <w:t>附合合同</w:t>
      </w:r>
    </w:p>
    <w:p>
      <w:pPr>
        <w:pStyle w:val="BodyText"/>
        <w:spacing w:before="8"/>
        <w:rPr>
          <w:sz w:val="31"/>
        </w:rPr>
      </w:pPr>
    </w:p>
    <w:p>
      <w:pPr>
        <w:pStyle w:val="BodyText"/>
        <w:spacing w:line="477" w:lineRule="auto"/>
        <w:ind w:left="1007"/>
      </w:pPr>
      <w:r>
        <w:rPr>
          <w:rFonts w:ascii="Century Gothic" w:eastAsia="Century Gothic"/>
        </w:rPr>
        <w:t>104</w:t>
      </w:r>
      <w:r>
        <w:t>、 保险标的的保险价值的确定方式不包括投保时由保险人和投保人约定</w:t>
      </w:r>
    </w:p>
    <w:p>
      <w:pPr>
        <w:pStyle w:val="BodyText"/>
        <w:spacing w:line="436" w:lineRule="exact"/>
        <w:ind w:left="1007"/>
      </w:pPr>
      <w:r>
        <w:t>投保时由保险人确定</w:t>
      </w:r>
    </w:p>
    <w:p>
      <w:pPr>
        <w:pStyle w:val="BodyText"/>
        <w:spacing w:before="5"/>
        <w:rPr>
          <w:sz w:val="33"/>
        </w:rPr>
      </w:pPr>
    </w:p>
    <w:p>
      <w:pPr>
        <w:pStyle w:val="BodyText"/>
        <w:ind w:left="1007"/>
      </w:pPr>
      <w:r>
        <w:t>保险事故发生时保险标的的实际价值</w:t>
      </w:r>
    </w:p>
    <w:p>
      <w:pPr>
        <w:pStyle w:val="BodyText"/>
        <w:spacing w:before="6"/>
        <w:rPr>
          <w:sz w:val="56"/>
        </w:rPr>
      </w:pPr>
      <w:r>
        <w:br w:type="column"/>
      </w:r>
    </w:p>
    <w:p>
      <w:pPr>
        <w:pStyle w:val="BodyText"/>
        <w:ind w:left="570"/>
        <w:rPr>
          <w:rFonts w:ascii="宋体" w:eastAsia="宋体" w:hint="eastAsia"/>
          <w:sz w:val="44"/>
        </w:rPr>
      </w:pPr>
      <w:r>
        <w:rPr>
          <w:rFonts w:ascii="Century Gothic" w:eastAsia="Century Gothic"/>
          <w:w w:val="105"/>
        </w:rPr>
        <w:t>(B )</w:t>
      </w:r>
      <w:r>
        <w:rPr>
          <w:rFonts w:ascii="宋体" w:eastAsia="宋体" w:hint="eastAsia"/>
          <w:w w:val="105"/>
          <w:position w:val="8"/>
          <w:sz w:val="44"/>
        </w:rPr>
        <w:t>。</w:t>
      </w:r>
    </w:p>
    <w:p>
      <w:pPr>
        <w:spacing w:after="0"/>
        <w:rPr>
          <w:rFonts w:ascii="宋体" w:eastAsia="宋体" w:hint="eastAsia"/>
          <w:sz w:val="44"/>
        </w:rPr>
        <w:sectPr>
          <w:type w:val="continuous"/>
          <w:pgSz w:w="22370" w:h="31660"/>
          <w:pgMar w:top="2480" w:right="3000" w:bottom="280" w:left="3140" w:header="708" w:footer="708"/>
          <w:pgNumType w:start="140"/>
          <w:cols w:num="2" w:space="708" w:equalWidth="0">
            <w:col w:w="8086" w:space="40"/>
            <w:col w:w="8104" w:space="0"/>
          </w:cols>
        </w:sectPr>
      </w:pPr>
    </w:p>
    <w:p>
      <w:pPr>
        <w:pStyle w:val="BodyText"/>
        <w:rPr>
          <w:rFonts w:ascii="宋体"/>
          <w:sz w:val="20"/>
        </w:rPr>
      </w:pPr>
    </w:p>
    <w:p>
      <w:pPr>
        <w:spacing w:after="0"/>
        <w:rPr>
          <w:rFonts w:ascii="宋体"/>
          <w:sz w:val="20"/>
        </w:rPr>
        <w:sectPr>
          <w:type w:val="continuous"/>
          <w:pgSz w:w="22370" w:h="31660"/>
          <w:pgMar w:top="2480" w:right="3000" w:bottom="280" w:left="3140" w:header="708" w:footer="708"/>
          <w:pgNumType w:start="141"/>
          <w:cols w:space="708"/>
        </w:sectPr>
      </w:pPr>
    </w:p>
    <w:p>
      <w:pPr>
        <w:pStyle w:val="BodyText"/>
        <w:spacing w:before="171"/>
        <w:ind w:left="1007"/>
      </w:pPr>
      <w:r>
        <w:t>保险事故发生时保险标的的重置价值</w:t>
      </w:r>
    </w:p>
    <w:p>
      <w:pPr>
        <w:pStyle w:val="BodyText"/>
        <w:spacing w:before="8"/>
        <w:rPr>
          <w:sz w:val="31"/>
        </w:rPr>
      </w:pPr>
    </w:p>
    <w:p>
      <w:pPr>
        <w:pStyle w:val="BodyText"/>
        <w:spacing w:line="477" w:lineRule="auto"/>
        <w:ind w:left="1007" w:firstLine="22"/>
      </w:pPr>
      <w:r>
        <w:rPr>
          <w:rFonts w:ascii="Century Gothic" w:eastAsia="Century Gothic"/>
        </w:rPr>
        <w:t>105</w:t>
      </w:r>
      <w:r>
        <w:rPr>
          <w:spacing w:val="-2"/>
        </w:rPr>
        <w:t>、 以保险金额与保险价值的关系为准</w:t>
      </w:r>
      <w:r>
        <w:t>足额保险</w:t>
      </w:r>
    </w:p>
    <w:p>
      <w:pPr>
        <w:pStyle w:val="BodyText"/>
        <w:spacing w:line="437" w:lineRule="exact"/>
        <w:ind w:left="1007"/>
      </w:pPr>
      <w:r>
        <w:t>重复保险</w:t>
      </w:r>
    </w:p>
    <w:p>
      <w:pPr>
        <w:pStyle w:val="BodyText"/>
        <w:rPr>
          <w:sz w:val="70"/>
        </w:rPr>
      </w:pPr>
      <w:r>
        <w:br w:type="column"/>
      </w:r>
    </w:p>
    <w:p>
      <w:pPr>
        <w:pStyle w:val="BodyText"/>
        <w:ind w:left="483"/>
      </w:pPr>
      <w:r>
        <w:rPr>
          <w:rFonts w:ascii="宋体" w:eastAsia="宋体" w:hint="eastAsia"/>
          <w:position w:val="6"/>
          <w:sz w:val="42"/>
        </w:rPr>
        <w:t>，</w:t>
      </w:r>
      <w:r>
        <w:t xml:space="preserve">可以将保险分为 </w:t>
      </w:r>
      <w:r>
        <w:rPr>
          <w:rFonts w:ascii="Century Gothic" w:eastAsia="Century Gothic"/>
        </w:rPr>
        <w:t xml:space="preserve">3 </w:t>
      </w:r>
      <w:r>
        <w:t>类</w:t>
      </w:r>
      <w:r>
        <w:rPr>
          <w:rFonts w:ascii="Century Gothic" w:eastAsia="Century Gothic"/>
        </w:rPr>
        <w:t>,</w:t>
      </w:r>
      <w:r>
        <w:t>不包括</w:t>
      </w:r>
      <w:r>
        <w:rPr>
          <w:rFonts w:ascii="Century Gothic" w:eastAsia="Century Gothic"/>
        </w:rPr>
        <w:t>(C )</w:t>
      </w:r>
      <w:r>
        <w:t>。足额保险 不</w:t>
      </w:r>
    </w:p>
    <w:p>
      <w:pPr>
        <w:spacing w:after="0"/>
        <w:sectPr>
          <w:type w:val="continuous"/>
          <w:pgSz w:w="22370" w:h="31660"/>
          <w:pgMar w:top="2480" w:right="3000" w:bottom="280" w:left="3140" w:header="708" w:footer="708"/>
          <w:pgNumType w:start="142"/>
          <w:cols w:num="2" w:space="708" w:equalWidth="0">
            <w:col w:w="7407" w:space="40"/>
            <w:col w:w="8783" w:space="0"/>
          </w:cols>
        </w:sectPr>
      </w:pPr>
    </w:p>
    <w:p>
      <w:pPr>
        <w:pStyle w:val="BodyText"/>
        <w:rPr>
          <w:sz w:val="20"/>
        </w:rPr>
      </w:pPr>
    </w:p>
    <w:p>
      <w:pPr>
        <w:pStyle w:val="BodyText"/>
        <w:spacing w:before="171"/>
        <w:ind w:left="1007"/>
      </w:pPr>
      <w:r>
        <w:t>超额保险</w:t>
      </w:r>
    </w:p>
    <w:p>
      <w:pPr>
        <w:pStyle w:val="BodyText"/>
        <w:spacing w:before="280" w:line="439" w:lineRule="auto"/>
        <w:ind w:left="1007" w:right="6388"/>
      </w:pPr>
      <w:r>
        <w:rPr>
          <w:rFonts w:ascii="Century Gothic" w:eastAsia="Century Gothic"/>
        </w:rPr>
        <w:t>106</w:t>
      </w:r>
      <w:r>
        <w:rPr>
          <w:spacing w:val="8"/>
        </w:rPr>
        <w:t>、下列各项中</w:t>
      </w:r>
      <w:r>
        <w:rPr>
          <w:rFonts w:ascii="宋体" w:eastAsia="宋体" w:hint="eastAsia"/>
          <w:spacing w:val="-3"/>
          <w:position w:val="6"/>
          <w:sz w:val="42"/>
        </w:rPr>
        <w:t>，</w:t>
      </w:r>
      <w:r>
        <w:t>除哪项外</w:t>
      </w:r>
      <w:r>
        <w:rPr>
          <w:rFonts w:ascii="宋体" w:eastAsia="宋体" w:hint="eastAsia"/>
          <w:spacing w:val="-3"/>
          <w:position w:val="6"/>
          <w:sz w:val="42"/>
        </w:rPr>
        <w:t>，</w:t>
      </w:r>
      <w:r>
        <w:t>保险合同可以终止</w:t>
      </w:r>
      <w:r>
        <w:rPr>
          <w:rFonts w:ascii="宋体" w:eastAsia="宋体" w:hint="eastAsia"/>
          <w:position w:val="6"/>
          <w:sz w:val="42"/>
        </w:rPr>
        <w:t>(</w:t>
      </w:r>
      <w:r>
        <w:rPr>
          <w:rFonts w:ascii="Century Gothic" w:eastAsia="Century Gothic"/>
        </w:rPr>
        <w:t>D</w:t>
      </w:r>
      <w:r>
        <w:rPr>
          <w:rFonts w:ascii="Century Gothic" w:eastAsia="Century Gothic"/>
          <w:spacing w:val="2"/>
        </w:rPr>
        <w:t xml:space="preserve"> )</w:t>
      </w:r>
      <w:r>
        <w:rPr>
          <w:spacing w:val="-14"/>
        </w:rPr>
        <w:t>。</w:t>
      </w:r>
      <w:r>
        <w:t>期限届满</w:t>
      </w:r>
    </w:p>
    <w:p>
      <w:pPr>
        <w:pStyle w:val="BodyText"/>
        <w:spacing w:before="57" w:line="468" w:lineRule="auto"/>
        <w:ind w:left="1007" w:right="12058"/>
      </w:pPr>
      <w:r>
        <w:rPr>
          <w:spacing w:val="-2"/>
        </w:rPr>
        <w:t>保险人履行全部义务</w:t>
      </w:r>
      <w:r>
        <w:t>合同解除</w:t>
      </w:r>
    </w:p>
    <w:p>
      <w:pPr>
        <w:spacing w:after="0" w:line="468" w:lineRule="auto"/>
        <w:sectPr>
          <w:type w:val="continuous"/>
          <w:pgSz w:w="22370" w:h="31660"/>
          <w:pgMar w:top="2480" w:right="3000" w:bottom="280" w:left="3140" w:header="708" w:footer="708"/>
          <w:pgNumType w:start="143"/>
          <w:cols w:space="708"/>
        </w:sectPr>
      </w:pPr>
    </w:p>
    <w:p>
      <w:pPr>
        <w:pStyle w:val="BodyText"/>
        <w:spacing w:before="3"/>
        <w:ind w:left="1007"/>
      </w:pPr>
      <w:r>
        <w:t>合同变更</w:t>
      </w:r>
    </w:p>
    <w:p>
      <w:pPr>
        <w:pStyle w:val="BodyText"/>
        <w:spacing w:before="8"/>
        <w:rPr>
          <w:sz w:val="31"/>
        </w:rPr>
      </w:pPr>
    </w:p>
    <w:p>
      <w:pPr>
        <w:pStyle w:val="BodyText"/>
        <w:spacing w:line="477" w:lineRule="auto"/>
        <w:ind w:left="1007" w:right="348"/>
      </w:pPr>
      <w:r>
        <w:rPr>
          <w:rFonts w:ascii="Century Gothic" w:eastAsia="Century Gothic"/>
        </w:rPr>
        <w:t>107</w:t>
      </w:r>
      <w:r>
        <w:t>、 承诺的构成有三个重要条件承诺由受要约人作出</w:t>
      </w:r>
    </w:p>
    <w:p>
      <w:pPr>
        <w:pStyle w:val="BodyText"/>
        <w:spacing w:line="436" w:lineRule="exact"/>
        <w:ind w:left="1007"/>
      </w:pPr>
      <w:r>
        <w:t>承诺必须与要约的内容完全一致</w:t>
      </w:r>
    </w:p>
    <w:p>
      <w:pPr>
        <w:pStyle w:val="BodyText"/>
        <w:spacing w:before="5"/>
        <w:rPr>
          <w:sz w:val="33"/>
        </w:rPr>
      </w:pPr>
    </w:p>
    <w:p>
      <w:pPr>
        <w:pStyle w:val="BodyText"/>
        <w:ind w:left="1007"/>
      </w:pPr>
      <w:r>
        <w:t>承诺必须是在有效时间内作出</w:t>
      </w:r>
    </w:p>
    <w:p>
      <w:pPr>
        <w:pStyle w:val="BodyText"/>
        <w:spacing w:before="4"/>
        <w:rPr>
          <w:sz w:val="33"/>
        </w:rPr>
      </w:pPr>
    </w:p>
    <w:p>
      <w:pPr>
        <w:pStyle w:val="BodyText"/>
        <w:spacing w:before="1" w:line="468" w:lineRule="auto"/>
        <w:ind w:left="1007"/>
        <w:jc w:val="both"/>
      </w:pPr>
      <w:r>
        <w:t>承诺必须对要约内容提出实质性改变</w:t>
      </w:r>
      <w:r>
        <w:rPr>
          <w:rFonts w:ascii="Century Gothic" w:eastAsia="Century Gothic"/>
        </w:rPr>
        <w:t>108</w:t>
      </w:r>
      <w:r>
        <w:rPr>
          <w:spacing w:val="-2"/>
        </w:rPr>
        <w:t>、 下列关于保险利益的成立条件</w:t>
      </w:r>
      <w:r>
        <w:t>合法性</w:t>
      </w:r>
    </w:p>
    <w:p>
      <w:pPr>
        <w:pStyle w:val="BodyText"/>
        <w:spacing w:before="5"/>
        <w:ind w:left="1007"/>
      </w:pPr>
      <w:r>
        <w:t>社会性</w:t>
      </w:r>
    </w:p>
    <w:p>
      <w:pPr>
        <w:pStyle w:val="BodyText"/>
        <w:spacing w:before="5"/>
        <w:rPr>
          <w:sz w:val="33"/>
        </w:rPr>
      </w:pPr>
    </w:p>
    <w:p>
      <w:pPr>
        <w:pStyle w:val="BodyText"/>
        <w:ind w:left="1007"/>
      </w:pPr>
      <w:r>
        <w:t>财产保险用货币衡量</w:t>
      </w:r>
    </w:p>
    <w:p>
      <w:pPr>
        <w:pStyle w:val="BodyText"/>
        <w:spacing w:before="11"/>
        <w:rPr>
          <w:sz w:val="56"/>
        </w:rPr>
      </w:pPr>
      <w:r>
        <w:br w:type="column"/>
      </w:r>
    </w:p>
    <w:p>
      <w:pPr>
        <w:pStyle w:val="BodyText"/>
        <w:tabs>
          <w:tab w:val="left" w:pos="5636"/>
        </w:tabs>
        <w:ind w:left="-3"/>
      </w:pPr>
      <w:r>
        <w:rPr>
          <w:rFonts w:ascii="宋体" w:eastAsia="宋体" w:hint="eastAsia"/>
          <w:position w:val="6"/>
          <w:sz w:val="42"/>
        </w:rPr>
        <w:t>，</w:t>
      </w:r>
      <w:r>
        <w:t>下列不属于这三个构成条件的是</w:t>
        <w:tab/>
      </w:r>
      <w:r>
        <w:rPr>
          <w:rFonts w:ascii="宋体" w:eastAsia="宋体" w:hint="eastAsia"/>
          <w:position w:val="6"/>
          <w:sz w:val="42"/>
        </w:rPr>
        <w:t>(</w:t>
      </w:r>
      <w:r>
        <w:rPr>
          <w:rFonts w:ascii="Century Gothic" w:eastAsia="Century Gothic"/>
        </w:rPr>
        <w:t>D</w:t>
      </w:r>
      <w:r>
        <w:rPr>
          <w:rFonts w:ascii="Century Gothic" w:eastAsia="Century Gothic"/>
          <w:spacing w:val="-1"/>
        </w:rPr>
        <w:t xml:space="preserve"> </w:t>
      </w:r>
      <w:r>
        <w:rPr>
          <w:rFonts w:ascii="Century Gothic" w:eastAsia="Century Gothic"/>
        </w:rPr>
        <w:t>)</w:t>
      </w:r>
      <w:r>
        <w:t>。</w:t>
      </w: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spacing w:before="8"/>
        <w:rPr>
          <w:sz w:val="43"/>
        </w:rPr>
      </w:pPr>
    </w:p>
    <w:p>
      <w:pPr>
        <w:pStyle w:val="BodyText"/>
        <w:ind w:left="390"/>
        <w:rPr>
          <w:rFonts w:ascii="宋体" w:eastAsia="宋体" w:hint="eastAsia"/>
          <w:sz w:val="44"/>
        </w:rPr>
      </w:pPr>
      <w:r>
        <w:rPr>
          <w:rFonts w:ascii="宋体" w:eastAsia="宋体" w:hint="eastAsia"/>
          <w:position w:val="6"/>
          <w:sz w:val="42"/>
        </w:rPr>
        <w:t>，</w:t>
      </w:r>
      <w:r>
        <w:t>不正确的是</w:t>
      </w:r>
      <w:r>
        <w:rPr>
          <w:rFonts w:ascii="Century Gothic" w:eastAsia="Century Gothic"/>
        </w:rPr>
        <w:t>(B )</w:t>
      </w:r>
      <w:r>
        <w:rPr>
          <w:rFonts w:ascii="宋体" w:eastAsia="宋体" w:hint="eastAsia"/>
          <w:position w:val="8"/>
          <w:sz w:val="44"/>
        </w:rPr>
        <w:t>。</w:t>
      </w:r>
    </w:p>
    <w:p>
      <w:pPr>
        <w:spacing w:after="0"/>
        <w:rPr>
          <w:rFonts w:ascii="宋体" w:eastAsia="宋体" w:hint="eastAsia"/>
          <w:sz w:val="44"/>
        </w:rPr>
        <w:sectPr>
          <w:type w:val="continuous"/>
          <w:pgSz w:w="22370" w:h="31660"/>
          <w:pgMar w:top="2480" w:right="3000" w:bottom="280" w:left="3140" w:header="708" w:footer="708"/>
          <w:pgNumType w:start="144"/>
          <w:cols w:num="2" w:space="708" w:equalWidth="0">
            <w:col w:w="6682" w:space="40"/>
            <w:col w:w="9508" w:space="0"/>
          </w:cols>
        </w:sectPr>
      </w:pPr>
    </w:p>
    <w:p>
      <w:pPr>
        <w:pStyle w:val="BodyText"/>
        <w:rPr>
          <w:rFonts w:ascii="宋体"/>
          <w:sz w:val="20"/>
        </w:rPr>
      </w:pPr>
    </w:p>
    <w:p>
      <w:pPr>
        <w:spacing w:after="0"/>
        <w:rPr>
          <w:rFonts w:ascii="宋体"/>
          <w:sz w:val="20"/>
        </w:rPr>
        <w:sectPr>
          <w:type w:val="continuous"/>
          <w:pgSz w:w="22370" w:h="31660"/>
          <w:pgMar w:top="2480" w:right="3000" w:bottom="280" w:left="3140" w:header="708" w:footer="708"/>
          <w:pgNumType w:start="145"/>
          <w:cols w:space="708"/>
        </w:sectPr>
      </w:pPr>
    </w:p>
    <w:p>
      <w:pPr>
        <w:pStyle w:val="BodyText"/>
        <w:spacing w:before="171"/>
        <w:ind w:left="1007"/>
      </w:pPr>
      <w:r>
        <w:t>人身保险具有利害关系</w:t>
      </w:r>
    </w:p>
    <w:p>
      <w:pPr>
        <w:pStyle w:val="BodyText"/>
        <w:spacing w:before="278" w:line="439" w:lineRule="auto"/>
        <w:ind w:left="1007"/>
      </w:pPr>
      <w:r>
        <w:rPr>
          <w:rFonts w:ascii="Century Gothic" w:eastAsia="Century Gothic"/>
        </w:rPr>
        <w:t>109</w:t>
      </w:r>
      <w:r>
        <w:t>、 除下列哪项外</w:t>
      </w:r>
      <w:r>
        <w:rPr>
          <w:rFonts w:ascii="宋体" w:eastAsia="宋体" w:hint="eastAsia"/>
          <w:position w:val="6"/>
          <w:sz w:val="42"/>
        </w:rPr>
        <w:t>，</w:t>
      </w:r>
      <w:r>
        <w:t>投保人对其余人员有保险利益本人</w:t>
      </w:r>
    </w:p>
    <w:p>
      <w:pPr>
        <w:pStyle w:val="BodyText"/>
        <w:spacing w:before="57" w:line="496" w:lineRule="auto"/>
        <w:ind w:left="1007" w:right="5392"/>
      </w:pPr>
      <w:r>
        <w:t>配偶、子女、父母朋友、近亲属</w:t>
      </w:r>
    </w:p>
    <w:p>
      <w:pPr>
        <w:pStyle w:val="BodyText"/>
        <w:spacing w:before="12"/>
        <w:rPr>
          <w:sz w:val="66"/>
        </w:rPr>
      </w:pPr>
      <w:r>
        <w:br w:type="column"/>
      </w:r>
    </w:p>
    <w:p>
      <w:pPr>
        <w:spacing w:before="0"/>
        <w:ind w:left="336" w:right="0" w:firstLine="0"/>
        <w:jc w:val="left"/>
        <w:rPr>
          <w:rFonts w:ascii="宋体" w:eastAsia="宋体" w:hint="eastAsia"/>
          <w:sz w:val="44"/>
        </w:rPr>
      </w:pPr>
      <w:r>
        <w:rPr>
          <w:rFonts w:ascii="宋体" w:eastAsia="宋体" w:hint="eastAsia"/>
          <w:position w:val="6"/>
          <w:sz w:val="42"/>
        </w:rPr>
        <w:t>(</w:t>
      </w:r>
      <w:r>
        <w:rPr>
          <w:rFonts w:ascii="Century Gothic" w:eastAsia="Century Gothic"/>
          <w:sz w:val="35"/>
        </w:rPr>
        <w:t>C )</w:t>
      </w:r>
      <w:r>
        <w:rPr>
          <w:rFonts w:ascii="宋体" w:eastAsia="宋体" w:hint="eastAsia"/>
          <w:position w:val="8"/>
          <w:sz w:val="44"/>
        </w:rPr>
        <w:t>。</w:t>
      </w:r>
    </w:p>
    <w:p>
      <w:pPr>
        <w:spacing w:after="0"/>
        <w:jc w:val="left"/>
        <w:rPr>
          <w:rFonts w:ascii="宋体" w:eastAsia="宋体" w:hint="eastAsia"/>
          <w:sz w:val="44"/>
        </w:rPr>
        <w:sectPr>
          <w:type w:val="continuous"/>
          <w:pgSz w:w="22370" w:h="31660"/>
          <w:pgMar w:top="2480" w:right="3000" w:bottom="280" w:left="3140" w:header="708" w:footer="708"/>
          <w:pgNumType w:start="146"/>
          <w:cols w:num="2" w:space="708" w:equalWidth="0">
            <w:col w:w="9210" w:space="40"/>
            <w:col w:w="6980" w:space="0"/>
          </w:cols>
        </w:sectPr>
      </w:pPr>
    </w:p>
    <w:p>
      <w:pPr>
        <w:pStyle w:val="BodyText"/>
        <w:spacing w:before="22"/>
        <w:ind w:left="1029"/>
      </w:pPr>
      <w:r>
        <w:t>与投保人有劳动关系的人</w:t>
      </w:r>
    </w:p>
    <w:p>
      <w:pPr>
        <w:pStyle w:val="BodyText"/>
        <w:spacing w:before="8"/>
        <w:rPr>
          <w:sz w:val="29"/>
        </w:rPr>
      </w:pPr>
    </w:p>
    <w:p>
      <w:pPr>
        <w:pStyle w:val="BodyText"/>
        <w:spacing w:line="463" w:lineRule="auto"/>
        <w:ind w:left="1029"/>
      </w:pPr>
      <w:r>
        <w:rPr>
          <w:rFonts w:ascii="Century Gothic" w:eastAsia="Century Gothic"/>
        </w:rPr>
        <w:t>110</w:t>
      </w:r>
      <w:r>
        <w:rPr>
          <w:spacing w:val="-2"/>
        </w:rPr>
        <w:t>、 重复保险的分摊方式不包括</w:t>
      </w:r>
      <w:r>
        <w:t>比例责任制</w:t>
      </w:r>
    </w:p>
    <w:p>
      <w:pPr>
        <w:pStyle w:val="BodyText"/>
        <w:spacing w:line="434" w:lineRule="exact"/>
        <w:ind w:left="1029"/>
      </w:pPr>
      <w:r>
        <w:t>顺序责任制</w:t>
      </w:r>
    </w:p>
    <w:p>
      <w:pPr>
        <w:pStyle w:val="BodyText"/>
        <w:rPr>
          <w:sz w:val="31"/>
        </w:rPr>
      </w:pPr>
    </w:p>
    <w:p>
      <w:pPr>
        <w:pStyle w:val="BodyText"/>
        <w:spacing w:line="453" w:lineRule="auto"/>
        <w:ind w:left="1029" w:right="3566"/>
      </w:pPr>
      <w:r>
        <w:rPr>
          <w:spacing w:val="-4"/>
        </w:rPr>
        <w:t>限额责任制近因责任制</w:t>
      </w:r>
    </w:p>
    <w:p>
      <w:pPr>
        <w:pStyle w:val="BodyText"/>
        <w:spacing w:line="429" w:lineRule="exact"/>
        <w:ind w:left="1029"/>
      </w:pPr>
      <w:r>
        <w:rPr>
          <w:rFonts w:ascii="Century Gothic" w:eastAsia="Century Gothic"/>
        </w:rPr>
        <w:t>111</w:t>
      </w:r>
      <w:r>
        <w:t>、 下列关于委付的产生条件</w:t>
      </w:r>
    </w:p>
    <w:p>
      <w:pPr>
        <w:pStyle w:val="BodyText"/>
        <w:spacing w:before="7"/>
        <w:rPr>
          <w:sz w:val="32"/>
        </w:rPr>
      </w:pPr>
    </w:p>
    <w:p>
      <w:pPr>
        <w:pStyle w:val="BodyText"/>
        <w:spacing w:line="491" w:lineRule="auto"/>
        <w:ind w:left="1029" w:right="758"/>
      </w:pPr>
      <w:r>
        <w:t>必须是被保险人向保险人提出可以附有条件</w:t>
      </w:r>
    </w:p>
    <w:p>
      <w:pPr>
        <w:pStyle w:val="BodyText"/>
        <w:spacing w:before="5"/>
        <w:rPr>
          <w:sz w:val="56"/>
        </w:rPr>
      </w:pPr>
      <w:r>
        <w:br w:type="column"/>
      </w:r>
    </w:p>
    <w:p>
      <w:pPr>
        <w:pStyle w:val="BodyText"/>
        <w:ind w:left="376"/>
      </w:pPr>
      <w:r>
        <w:rPr>
          <w:rFonts w:ascii="宋体" w:eastAsia="宋体" w:hint="eastAsia"/>
          <w:position w:val="6"/>
          <w:sz w:val="42"/>
        </w:rPr>
        <w:t>(</w:t>
      </w:r>
      <w:r>
        <w:rPr>
          <w:rFonts w:ascii="Century Gothic" w:eastAsia="Century Gothic"/>
        </w:rPr>
        <w:t>D )</w:t>
      </w:r>
      <w:r>
        <w:t>。</w:t>
      </w:r>
    </w:p>
    <w:p>
      <w:pPr>
        <w:pStyle w:val="BodyText"/>
        <w:rPr>
          <w:sz w:val="50"/>
        </w:rPr>
      </w:pPr>
    </w:p>
    <w:p>
      <w:pPr>
        <w:pStyle w:val="BodyText"/>
        <w:rPr>
          <w:sz w:val="50"/>
        </w:rPr>
      </w:pPr>
    </w:p>
    <w:p>
      <w:pPr>
        <w:pStyle w:val="BodyText"/>
        <w:rPr>
          <w:sz w:val="50"/>
        </w:rPr>
      </w:pPr>
    </w:p>
    <w:p>
      <w:pPr>
        <w:pStyle w:val="BodyText"/>
        <w:rPr>
          <w:sz w:val="50"/>
        </w:rPr>
      </w:pPr>
    </w:p>
    <w:p>
      <w:pPr>
        <w:pStyle w:val="BodyText"/>
        <w:rPr>
          <w:sz w:val="50"/>
        </w:rPr>
      </w:pPr>
    </w:p>
    <w:p>
      <w:pPr>
        <w:pStyle w:val="BodyText"/>
        <w:spacing w:before="415"/>
        <w:ind w:left="-17"/>
        <w:rPr>
          <w:rFonts w:ascii="宋体" w:eastAsia="宋体" w:hint="eastAsia"/>
          <w:sz w:val="44"/>
        </w:rPr>
      </w:pPr>
      <w:r>
        <w:rPr>
          <w:rFonts w:ascii="宋体" w:eastAsia="宋体" w:hint="eastAsia"/>
          <w:position w:val="6"/>
          <w:sz w:val="42"/>
        </w:rPr>
        <w:t>，</w:t>
      </w:r>
      <w:r>
        <w:t>不正确的是</w:t>
      </w:r>
      <w:r>
        <w:rPr>
          <w:rFonts w:ascii="Century Gothic" w:eastAsia="Century Gothic"/>
        </w:rPr>
        <w:t>(B )</w:t>
      </w:r>
      <w:r>
        <w:rPr>
          <w:rFonts w:ascii="宋体" w:eastAsia="宋体" w:hint="eastAsia"/>
          <w:position w:val="8"/>
          <w:sz w:val="44"/>
        </w:rPr>
        <w:t>。</w:t>
      </w:r>
    </w:p>
    <w:p>
      <w:pPr>
        <w:spacing w:after="0"/>
        <w:rPr>
          <w:rFonts w:ascii="宋体" w:eastAsia="宋体" w:hint="eastAsia"/>
          <w:sz w:val="44"/>
        </w:rPr>
        <w:sectPr>
          <w:pgSz w:w="22370" w:h="31660"/>
          <w:pgMar w:top="2340" w:right="3000" w:bottom="280" w:left="3140" w:header="708" w:footer="708"/>
          <w:pgNumType w:start="147"/>
          <w:cols w:num="2" w:space="708" w:equalWidth="0">
            <w:col w:w="6354" w:space="40"/>
            <w:col w:w="9836" w:space="0"/>
          </w:cols>
        </w:sectPr>
      </w:pPr>
    </w:p>
    <w:p>
      <w:pPr>
        <w:pStyle w:val="BodyText"/>
        <w:spacing w:line="376" w:lineRule="exact"/>
        <w:ind w:left="1029"/>
      </w:pPr>
      <w:r>
        <w:t>必须经保险人同意</w:t>
      </w:r>
    </w:p>
    <w:p>
      <w:pPr>
        <w:pStyle w:val="BodyText"/>
        <w:spacing w:before="267"/>
        <w:ind w:left="1029"/>
      </w:pPr>
      <w:r>
        <w:t>就保险标的的全部提出请求</w:t>
      </w:r>
      <w:r>
        <w:rPr>
          <w:rFonts w:ascii="宋体" w:eastAsia="宋体" w:hint="eastAsia"/>
          <w:position w:val="6"/>
          <w:sz w:val="42"/>
        </w:rPr>
        <w:t>，</w:t>
      </w:r>
      <w:r>
        <w:t>除非保险标的独立可分</w:t>
      </w:r>
    </w:p>
    <w:p>
      <w:pPr>
        <w:pStyle w:val="BodyText"/>
        <w:spacing w:before="209"/>
        <w:ind w:left="1029"/>
        <w:rPr>
          <w:rFonts w:ascii="宋体" w:eastAsia="宋体" w:hint="eastAsia"/>
          <w:sz w:val="44"/>
        </w:rPr>
      </w:pPr>
      <w:r>
        <w:rPr>
          <w:rFonts w:ascii="Century Gothic" w:eastAsia="Century Gothic"/>
        </w:rPr>
        <w:t>112</w:t>
      </w:r>
      <w:r>
        <w:t>、下列选项中</w:t>
      </w:r>
      <w:r>
        <w:rPr>
          <w:rFonts w:ascii="宋体" w:eastAsia="宋体" w:hint="eastAsia"/>
          <w:position w:val="6"/>
          <w:sz w:val="42"/>
        </w:rPr>
        <w:t>，</w:t>
      </w:r>
      <w:r>
        <w:t xml:space="preserve">不属于比例再保险的是 </w:t>
      </w:r>
      <w:r>
        <w:rPr>
          <w:rFonts w:ascii="宋体" w:eastAsia="宋体" w:hint="eastAsia"/>
          <w:position w:val="6"/>
          <w:sz w:val="42"/>
        </w:rPr>
        <w:t>(</w:t>
      </w:r>
      <w:r>
        <w:rPr>
          <w:rFonts w:ascii="Century Gothic" w:eastAsia="Century Gothic"/>
        </w:rPr>
        <w:t>C)</w:t>
      </w:r>
      <w:r>
        <w:rPr>
          <w:rFonts w:ascii="宋体" w:eastAsia="宋体" w:hint="eastAsia"/>
          <w:position w:val="8"/>
          <w:sz w:val="44"/>
        </w:rPr>
        <w:t>。</w:t>
      </w:r>
    </w:p>
    <w:p>
      <w:pPr>
        <w:pStyle w:val="BodyText"/>
        <w:spacing w:before="420" w:line="451" w:lineRule="auto"/>
        <w:ind w:left="1029" w:right="13439"/>
      </w:pPr>
      <w:r>
        <w:t>成数再保险溢额再保险</w:t>
      </w:r>
    </w:p>
    <w:p>
      <w:pPr>
        <w:pStyle w:val="BodyText"/>
        <w:spacing w:before="7"/>
        <w:ind w:left="1029"/>
      </w:pPr>
      <w:r>
        <w:t>险位超赔再保险</w:t>
      </w:r>
    </w:p>
    <w:p>
      <w:pPr>
        <w:pStyle w:val="BodyText"/>
        <w:spacing w:before="2"/>
        <w:rPr>
          <w:sz w:val="31"/>
        </w:rPr>
      </w:pPr>
    </w:p>
    <w:p>
      <w:pPr>
        <w:pStyle w:val="BodyText"/>
        <w:ind w:left="1029"/>
      </w:pPr>
      <w:r>
        <w:t>成数和溢额混合再保险</w:t>
      </w:r>
    </w:p>
    <w:p>
      <w:pPr>
        <w:pStyle w:val="BodyText"/>
        <w:rPr>
          <w:sz w:val="26"/>
        </w:rPr>
      </w:pPr>
    </w:p>
    <w:p>
      <w:pPr>
        <w:pStyle w:val="BodyText"/>
        <w:spacing w:line="225" w:lineRule="auto"/>
        <w:ind w:left="117" w:right="1606" w:firstLine="934"/>
        <w:rPr>
          <w:rFonts w:ascii="宋体" w:eastAsia="宋体" w:hint="eastAsia"/>
          <w:sz w:val="44"/>
        </w:rPr>
      </w:pPr>
      <w:r>
        <w:rPr>
          <w:rFonts w:ascii="Century Gothic" w:eastAsia="Century Gothic"/>
        </w:rPr>
        <w:t>113</w:t>
      </w:r>
      <w:r>
        <w:t>、病伤会带来经济损失</w:t>
      </w:r>
      <w:r>
        <w:rPr>
          <w:rFonts w:ascii="宋体" w:eastAsia="宋体" w:hint="eastAsia"/>
          <w:position w:val="6"/>
          <w:sz w:val="42"/>
        </w:rPr>
        <w:t>，</w:t>
      </w:r>
      <w:r>
        <w:t xml:space="preserve">其中挂号、检查、药物、换药、 </w:t>
      </w:r>
      <w:r>
        <w:rPr>
          <w:position w:val="-2"/>
        </w:rPr>
        <w:t>注射、住院、手术、特护</w:t>
      </w:r>
      <w:r>
        <w:t>等费用属于</w:t>
      </w:r>
      <w:r>
        <w:rPr>
          <w:rFonts w:ascii="Century Gothic" w:eastAsia="Century Gothic"/>
        </w:rPr>
        <w:t>(A)</w:t>
      </w:r>
      <w:r>
        <w:rPr>
          <w:rFonts w:ascii="宋体" w:eastAsia="宋体" w:hint="eastAsia"/>
          <w:position w:val="7"/>
          <w:sz w:val="44"/>
        </w:rPr>
        <w:t>。</w:t>
      </w:r>
    </w:p>
    <w:p>
      <w:pPr>
        <w:pStyle w:val="BodyText"/>
        <w:spacing w:before="399" w:line="453" w:lineRule="auto"/>
        <w:ind w:left="1029" w:right="11684"/>
      </w:pPr>
      <w:r>
        <w:t xml:space="preserve">病伤的直接医疗花费 病伤的间接医疗花费 </w:t>
      </w:r>
      <w:r>
        <w:rPr>
          <w:spacing w:val="-2"/>
        </w:rPr>
        <w:t>病伤引起社会生产损失</w:t>
      </w:r>
    </w:p>
    <w:p>
      <w:pPr>
        <w:pStyle w:val="BodyText"/>
        <w:spacing w:line="447" w:lineRule="exact"/>
        <w:ind w:left="1029"/>
      </w:pPr>
      <w:r>
        <w:t>病伤引起社会财富的损失</w:t>
      </w:r>
    </w:p>
    <w:p>
      <w:pPr>
        <w:pStyle w:val="BodyText"/>
        <w:spacing w:before="10"/>
        <w:rPr>
          <w:sz w:val="30"/>
        </w:rPr>
      </w:pPr>
    </w:p>
    <w:p>
      <w:pPr>
        <w:pStyle w:val="BodyText"/>
        <w:tabs>
          <w:tab w:val="left" w:pos="10874"/>
        </w:tabs>
        <w:spacing w:line="218" w:lineRule="auto"/>
        <w:ind w:left="117" w:right="668" w:firstLine="934"/>
      </w:pPr>
      <w:r>
        <w:rPr>
          <w:rFonts w:ascii="Century Gothic" w:eastAsia="Century Gothic"/>
        </w:rPr>
        <w:t>114</w:t>
      </w:r>
      <w:r>
        <w:t>、</w:t>
      </w:r>
      <w:r>
        <w:rPr>
          <w:spacing w:val="4"/>
        </w:rPr>
        <w:t xml:space="preserve"> </w:t>
      </w:r>
      <w:r>
        <w:t>某保险合同条款约定</w:t>
      </w:r>
      <w:r>
        <w:rPr>
          <w:spacing w:val="8"/>
        </w:rPr>
        <w:t xml:space="preserve"> </w:t>
      </w:r>
      <w:r>
        <w:t>对保险事故所致合理医疗费用</w:t>
      </w:r>
      <w:r>
        <w:rPr>
          <w:spacing w:val="9"/>
        </w:rPr>
        <w:t xml:space="preserve"> </w:t>
      </w:r>
      <w:r>
        <w:t>若</w:t>
        <w:tab/>
      </w:r>
      <w:r>
        <w:rPr>
          <w:rFonts w:ascii="Century Gothic" w:eastAsia="Century Gothic"/>
          <w:position w:val="-10"/>
        </w:rPr>
        <w:t>100</w:t>
      </w:r>
      <w:r>
        <w:rPr>
          <w:rFonts w:ascii="Century Gothic" w:eastAsia="Century Gothic"/>
          <w:spacing w:val="1"/>
          <w:position w:val="-10"/>
        </w:rPr>
        <w:t xml:space="preserve"> </w:t>
      </w:r>
      <w:r>
        <w:rPr>
          <w:position w:val="-10"/>
        </w:rPr>
        <w:t>元以上部</w:t>
      </w:r>
      <w:r>
        <w:rPr>
          <w:spacing w:val="3"/>
          <w:position w:val="-10"/>
        </w:rPr>
        <w:t>分</w:t>
      </w:r>
      <w:r>
        <w:rPr>
          <w:rFonts w:ascii="宋体" w:eastAsia="宋体" w:hint="eastAsia"/>
          <w:spacing w:val="-3"/>
          <w:position w:val="-4"/>
          <w:sz w:val="42"/>
        </w:rPr>
        <w:t>，</w:t>
      </w:r>
      <w:r>
        <w:rPr>
          <w:position w:val="-10"/>
        </w:rPr>
        <w:t>按</w:t>
      </w:r>
      <w:r>
        <w:rPr>
          <w:spacing w:val="-62"/>
          <w:position w:val="-10"/>
        </w:rPr>
        <w:t xml:space="preserve"> </w:t>
      </w:r>
      <w:r>
        <w:rPr>
          <w:rFonts w:ascii="Century Gothic" w:eastAsia="Century Gothic"/>
          <w:position w:val="-10"/>
        </w:rPr>
        <w:t>80%</w:t>
      </w:r>
      <w:r>
        <w:rPr>
          <w:position w:val="-10"/>
        </w:rPr>
        <w:t>赔</w:t>
      </w:r>
      <w:r>
        <w:rPr>
          <w:spacing w:val="-15"/>
          <w:position w:val="-10"/>
        </w:rPr>
        <w:t>付</w:t>
      </w:r>
      <w:r>
        <w:t>客户花费</w:t>
      </w:r>
      <w:r>
        <w:rPr>
          <w:spacing w:val="-86"/>
        </w:rPr>
        <w:t xml:space="preserve"> </w:t>
      </w:r>
      <w:r>
        <w:rPr>
          <w:rFonts w:ascii="Century Gothic" w:eastAsia="Century Gothic"/>
        </w:rPr>
        <w:t>1000</w:t>
      </w:r>
      <w:r>
        <w:rPr>
          <w:rFonts w:ascii="Century Gothic" w:eastAsia="Century Gothic"/>
          <w:spacing w:val="-22"/>
        </w:rPr>
        <w:t xml:space="preserve"> </w:t>
      </w:r>
      <w:r>
        <w:t>元医疗</w:t>
      </w:r>
      <w:r>
        <w:rPr>
          <w:spacing w:val="3"/>
        </w:rPr>
        <w:t>费</w:t>
      </w:r>
      <w:r>
        <w:rPr>
          <w:rFonts w:ascii="宋体" w:eastAsia="宋体" w:hint="eastAsia"/>
          <w:spacing w:val="-3"/>
          <w:position w:val="6"/>
          <w:sz w:val="42"/>
        </w:rPr>
        <w:t>，</w:t>
      </w:r>
      <w:r>
        <w:t>则实际赔付</w:t>
      </w:r>
      <w:r>
        <w:rPr>
          <w:rFonts w:ascii="宋体" w:eastAsia="宋体" w:hint="eastAsia"/>
          <w:position w:val="6"/>
          <w:sz w:val="42"/>
        </w:rPr>
        <w:t>(</w:t>
      </w:r>
      <w:r>
        <w:rPr>
          <w:rFonts w:ascii="Century Gothic" w:eastAsia="Century Gothic"/>
        </w:rPr>
        <w:t>B)</w:t>
      </w:r>
      <w:r>
        <w:t>。</w:t>
      </w:r>
    </w:p>
    <w:p>
      <w:pPr>
        <w:pStyle w:val="BodyText"/>
        <w:spacing w:before="1"/>
      </w:pPr>
    </w:p>
    <w:p>
      <w:pPr>
        <w:pStyle w:val="BodyText"/>
        <w:spacing w:before="1"/>
        <w:ind w:left="1029"/>
      </w:pPr>
      <w:r>
        <w:rPr>
          <w:rFonts w:ascii="Century Gothic" w:eastAsia="Century Gothic"/>
        </w:rPr>
        <w:t>800</w:t>
      </w:r>
      <w:r>
        <w:rPr>
          <w:rFonts w:ascii="Century Gothic" w:eastAsia="Century Gothic"/>
          <w:spacing w:val="-16"/>
        </w:rPr>
        <w:t xml:space="preserve"> </w:t>
      </w:r>
      <w:r>
        <w:t>元</w:t>
      </w:r>
    </w:p>
    <w:p>
      <w:pPr>
        <w:pStyle w:val="BodyText"/>
        <w:rPr>
          <w:sz w:val="31"/>
        </w:rPr>
      </w:pPr>
    </w:p>
    <w:p>
      <w:pPr>
        <w:pStyle w:val="BodyText"/>
        <w:ind w:left="1029"/>
      </w:pPr>
      <w:r>
        <w:rPr>
          <w:rFonts w:ascii="Century Gothic" w:eastAsia="Century Gothic"/>
        </w:rPr>
        <w:t>720</w:t>
      </w:r>
      <w:r>
        <w:rPr>
          <w:rFonts w:ascii="Century Gothic" w:eastAsia="Century Gothic"/>
          <w:spacing w:val="-16"/>
        </w:rPr>
        <w:t xml:space="preserve"> </w:t>
      </w:r>
      <w:r>
        <w:t>元</w:t>
      </w:r>
    </w:p>
    <w:p>
      <w:pPr>
        <w:pStyle w:val="BodyText"/>
        <w:rPr>
          <w:sz w:val="31"/>
        </w:rPr>
      </w:pPr>
    </w:p>
    <w:p>
      <w:pPr>
        <w:pStyle w:val="BodyText"/>
        <w:ind w:left="1029"/>
      </w:pPr>
      <w:r>
        <w:rPr>
          <w:rFonts w:ascii="Century Gothic" w:eastAsia="Century Gothic"/>
        </w:rPr>
        <w:t>700</w:t>
      </w:r>
      <w:r>
        <w:rPr>
          <w:rFonts w:ascii="Century Gothic" w:eastAsia="Century Gothic"/>
          <w:spacing w:val="-16"/>
        </w:rPr>
        <w:t xml:space="preserve"> </w:t>
      </w:r>
      <w:r>
        <w:t>元</w:t>
      </w:r>
    </w:p>
    <w:p>
      <w:pPr>
        <w:pStyle w:val="BodyText"/>
        <w:spacing w:before="11"/>
        <w:rPr>
          <w:sz w:val="30"/>
        </w:rPr>
      </w:pPr>
    </w:p>
    <w:p>
      <w:pPr>
        <w:pStyle w:val="BodyText"/>
        <w:ind w:left="1029"/>
      </w:pPr>
      <w:r>
        <w:rPr>
          <w:rFonts w:ascii="Century Gothic" w:eastAsia="Century Gothic"/>
        </w:rPr>
        <w:t>620</w:t>
      </w:r>
      <w:r>
        <w:rPr>
          <w:rFonts w:ascii="Century Gothic" w:eastAsia="Century Gothic"/>
          <w:spacing w:val="-16"/>
        </w:rPr>
        <w:t xml:space="preserve"> </w:t>
      </w:r>
      <w:r>
        <w:t>元</w:t>
      </w:r>
    </w:p>
    <w:p>
      <w:pPr>
        <w:pStyle w:val="BodyText"/>
        <w:spacing w:before="229"/>
        <w:ind w:left="1029"/>
        <w:rPr>
          <w:rFonts w:ascii="宋体" w:eastAsia="宋体" w:hint="eastAsia"/>
          <w:sz w:val="44"/>
        </w:rPr>
      </w:pPr>
      <w:r>
        <w:rPr>
          <w:rFonts w:ascii="Century Gothic" w:eastAsia="Century Gothic"/>
        </w:rPr>
        <w:t>115</w:t>
      </w:r>
      <w:r>
        <w:t>、职业病的特点不包括</w:t>
      </w:r>
      <w:r>
        <w:rPr>
          <w:rFonts w:ascii="Century Gothic" w:eastAsia="Century Gothic"/>
        </w:rPr>
        <w:t>(A )</w:t>
      </w:r>
      <w:r>
        <w:rPr>
          <w:rFonts w:ascii="宋体" w:eastAsia="宋体" w:hint="eastAsia"/>
          <w:position w:val="8"/>
          <w:sz w:val="44"/>
        </w:rPr>
        <w:t>。</w:t>
      </w:r>
    </w:p>
    <w:p>
      <w:pPr>
        <w:pStyle w:val="BodyText"/>
        <w:spacing w:before="420"/>
        <w:ind w:left="1029"/>
      </w:pPr>
      <w:r>
        <w:t>病因模糊</w:t>
      </w:r>
    </w:p>
    <w:p>
      <w:pPr>
        <w:pStyle w:val="BodyText"/>
        <w:spacing w:before="2"/>
        <w:rPr>
          <w:sz w:val="33"/>
        </w:rPr>
      </w:pPr>
    </w:p>
    <w:p>
      <w:pPr>
        <w:pStyle w:val="BodyText"/>
        <w:spacing w:line="381" w:lineRule="auto"/>
        <w:ind w:left="1029" w:right="12386"/>
      </w:pPr>
      <w:r>
        <w:t>病因多可定量检测很少出现个别病例</w:t>
      </w:r>
    </w:p>
    <w:p>
      <w:pPr>
        <w:spacing w:after="0" w:line="381"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https://d.book118.com/605312000223011040</w:t>
        </w:r>
      </w:hyperlink>
    </w:p>
    <w:p>
      <w:pPr>
        <w:spacing w:after="0" w:line="381" w:lineRule="auto"/>
      </w:pPr>
    </w:p>
    <w:sectPr>
      <w:type w:val="continuous"/>
      <w:pgSz w:w="22370" w:h="31660"/>
      <w:pgMar w:top="2480" w:right="3000" w:bottom="280" w:left="3140" w:header="708" w:footer="708"/>
      <w:pgNumType w:start="14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 w:name="Lucida Console">
    <w:altName w:val="Lucida Console"/>
    <w:charset w:val="00"/>
    <w:family w:val="modern"/>
    <w:pitch w:val="fixed"/>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0B084"/>
    <w:multiLevelType w:val="hybridMultilevel"/>
    <w:tmpl w:val="00000000"/>
    <w:lvl w:ilvl="0">
      <w:start w:val="4"/>
      <w:numFmt w:val="upperLetter"/>
      <w:lvlText w:val="(%1)"/>
      <w:lvlJc w:val="left"/>
      <w:pPr>
        <w:ind w:left="752" w:hanging="582"/>
        <w:jc w:val="left"/>
      </w:pPr>
      <w:rPr>
        <w:rFonts w:ascii="宋体" w:eastAsia="宋体" w:hAnsi="宋体" w:cs="宋体" w:hint="default"/>
        <w:w w:val="95"/>
        <w:position w:val="6"/>
        <w:sz w:val="40"/>
        <w:szCs w:val="40"/>
      </w:rPr>
    </w:lvl>
    <w:lvl w:ilvl="1">
      <w:start w:val="4"/>
      <w:numFmt w:val="upperLetter"/>
      <w:lvlText w:val="(%2)"/>
      <w:lvlJc w:val="left"/>
      <w:pPr>
        <w:ind w:left="918" w:hanging="582"/>
        <w:jc w:val="left"/>
      </w:pPr>
      <w:rPr>
        <w:rFonts w:ascii="宋体" w:eastAsia="宋体" w:hAnsi="宋体" w:cs="宋体" w:hint="default"/>
        <w:w w:val="95"/>
        <w:position w:val="6"/>
        <w:sz w:val="40"/>
        <w:szCs w:val="40"/>
      </w:rPr>
    </w:lvl>
    <w:lvl w:ilvl="2">
      <w:start w:val="1"/>
      <w:numFmt w:val="upperLetter"/>
      <w:lvlText w:val="(%3)"/>
      <w:lvlJc w:val="left"/>
      <w:pPr>
        <w:ind w:left="1061" w:hanging="469"/>
        <w:jc w:val="left"/>
      </w:pPr>
      <w:rPr>
        <w:rFonts w:ascii="Century Gothic" w:eastAsia="Century Gothic" w:hAnsi="Century Gothic" w:cs="Century Gothic" w:hint="default"/>
        <w:w w:val="90"/>
        <w:sz w:val="33"/>
        <w:szCs w:val="33"/>
      </w:rPr>
    </w:lvl>
    <w:lvl w:ilvl="3">
      <w:start w:val="0"/>
      <w:numFmt w:val="bullet"/>
      <w:lvlText w:val="•"/>
      <w:lvlJc w:val="left"/>
      <w:pPr>
        <w:ind w:left="1812" w:hanging="469"/>
      </w:pPr>
      <w:rPr>
        <w:rFonts w:hint="default"/>
      </w:rPr>
    </w:lvl>
    <w:lvl w:ilvl="4">
      <w:start w:val="0"/>
      <w:numFmt w:val="bullet"/>
      <w:lvlText w:val="•"/>
      <w:lvlJc w:val="left"/>
      <w:pPr>
        <w:ind w:left="2564" w:hanging="469"/>
      </w:pPr>
      <w:rPr>
        <w:rFonts w:hint="default"/>
      </w:rPr>
    </w:lvl>
    <w:lvl w:ilvl="5">
      <w:start w:val="0"/>
      <w:numFmt w:val="bullet"/>
      <w:lvlText w:val="•"/>
      <w:lvlJc w:val="left"/>
      <w:pPr>
        <w:ind w:left="3316" w:hanging="469"/>
      </w:pPr>
      <w:rPr>
        <w:rFonts w:hint="default"/>
      </w:rPr>
    </w:lvl>
    <w:lvl w:ilvl="6">
      <w:start w:val="0"/>
      <w:numFmt w:val="bullet"/>
      <w:lvlText w:val="•"/>
      <w:lvlJc w:val="left"/>
      <w:pPr>
        <w:ind w:left="4068" w:hanging="469"/>
      </w:pPr>
      <w:rPr>
        <w:rFonts w:hint="default"/>
      </w:rPr>
    </w:lvl>
    <w:lvl w:ilvl="7">
      <w:start w:val="0"/>
      <w:numFmt w:val="bullet"/>
      <w:lvlText w:val="•"/>
      <w:lvlJc w:val="left"/>
      <w:pPr>
        <w:ind w:left="4820" w:hanging="469"/>
      </w:pPr>
      <w:rPr>
        <w:rFonts w:hint="default"/>
      </w:rPr>
    </w:lvl>
    <w:lvl w:ilvl="8">
      <w:start w:val="0"/>
      <w:numFmt w:val="bullet"/>
      <w:lvlText w:val="•"/>
      <w:lvlJc w:val="left"/>
      <w:pPr>
        <w:ind w:left="5573" w:hanging="469"/>
      </w:pPr>
      <w:rPr>
        <w:rFonts w:hint="default"/>
      </w:rPr>
    </w:lvl>
  </w:abstractNum>
  <w:abstractNum w:abstractNumId="1">
    <w:nsid w:val="2E5538ED"/>
    <w:multiLevelType w:val="hybridMultilevel"/>
    <w:tmpl w:val="00000000"/>
    <w:lvl w:ilvl="0">
      <w:start w:val="2"/>
      <w:numFmt w:val="decimal"/>
      <w:lvlText w:val="%1"/>
      <w:lvlJc w:val="left"/>
      <w:pPr>
        <w:ind w:left="1369" w:hanging="273"/>
        <w:jc w:val="left"/>
      </w:pPr>
      <w:rPr>
        <w:rFonts w:ascii="Century Gothic" w:eastAsia="Century Gothic" w:hAnsi="Century Gothic" w:cs="Century Gothic" w:hint="default"/>
        <w:w w:val="100"/>
        <w:sz w:val="35"/>
        <w:szCs w:val="35"/>
      </w:rPr>
    </w:lvl>
    <w:lvl w:ilvl="1">
      <w:start w:val="0"/>
      <w:numFmt w:val="bullet"/>
      <w:lvlText w:val="•"/>
      <w:lvlJc w:val="left"/>
      <w:pPr>
        <w:ind w:left="2554" w:hanging="273"/>
      </w:pPr>
      <w:rPr>
        <w:rFonts w:hint="default"/>
      </w:rPr>
    </w:lvl>
    <w:lvl w:ilvl="2">
      <w:start w:val="0"/>
      <w:numFmt w:val="bullet"/>
      <w:lvlText w:val="•"/>
      <w:lvlJc w:val="left"/>
      <w:pPr>
        <w:ind w:left="3749" w:hanging="273"/>
      </w:pPr>
      <w:rPr>
        <w:rFonts w:hint="default"/>
      </w:rPr>
    </w:lvl>
    <w:lvl w:ilvl="3">
      <w:start w:val="0"/>
      <w:numFmt w:val="bullet"/>
      <w:lvlText w:val="•"/>
      <w:lvlJc w:val="left"/>
      <w:pPr>
        <w:ind w:left="4944" w:hanging="273"/>
      </w:pPr>
      <w:rPr>
        <w:rFonts w:hint="default"/>
      </w:rPr>
    </w:lvl>
    <w:lvl w:ilvl="4">
      <w:start w:val="0"/>
      <w:numFmt w:val="bullet"/>
      <w:lvlText w:val="•"/>
      <w:lvlJc w:val="left"/>
      <w:pPr>
        <w:ind w:left="6139" w:hanging="273"/>
      </w:pPr>
      <w:rPr>
        <w:rFonts w:hint="default"/>
      </w:rPr>
    </w:lvl>
    <w:lvl w:ilvl="5">
      <w:start w:val="0"/>
      <w:numFmt w:val="bullet"/>
      <w:lvlText w:val="•"/>
      <w:lvlJc w:val="left"/>
      <w:pPr>
        <w:ind w:left="7334" w:hanging="273"/>
      </w:pPr>
      <w:rPr>
        <w:rFonts w:hint="default"/>
      </w:rPr>
    </w:lvl>
    <w:lvl w:ilvl="6">
      <w:start w:val="0"/>
      <w:numFmt w:val="bullet"/>
      <w:lvlText w:val="•"/>
      <w:lvlJc w:val="left"/>
      <w:pPr>
        <w:ind w:left="8529" w:hanging="273"/>
      </w:pPr>
      <w:rPr>
        <w:rFonts w:hint="default"/>
      </w:rPr>
    </w:lvl>
    <w:lvl w:ilvl="7">
      <w:start w:val="0"/>
      <w:numFmt w:val="bullet"/>
      <w:lvlText w:val="•"/>
      <w:lvlJc w:val="left"/>
      <w:pPr>
        <w:ind w:left="9724" w:hanging="273"/>
      </w:pPr>
      <w:rPr>
        <w:rFonts w:hint="default"/>
      </w:rPr>
    </w:lvl>
    <w:lvl w:ilvl="8">
      <w:start w:val="0"/>
      <w:numFmt w:val="bullet"/>
      <w:lvlText w:val="•"/>
      <w:lvlJc w:val="left"/>
      <w:pPr>
        <w:ind w:left="10919" w:hanging="273"/>
      </w:pPr>
      <w:rPr>
        <w:rFonts w:hint="default"/>
      </w:rPr>
    </w:lvl>
  </w:abstractNum>
  <w:abstractNum w:abstractNumId="2">
    <w:nsid w:val="3921DC2C"/>
    <w:multiLevelType w:val="hybridMultilevel"/>
    <w:tmpl w:val="00000000"/>
    <w:lvl w:ilvl="0">
      <w:start w:val="1"/>
      <w:numFmt w:val="decimal"/>
      <w:lvlText w:val="%1"/>
      <w:lvlJc w:val="left"/>
      <w:pPr>
        <w:ind w:left="1355" w:hanging="273"/>
        <w:jc w:val="left"/>
      </w:pPr>
      <w:rPr>
        <w:rFonts w:ascii="Century Gothic" w:eastAsia="Century Gothic" w:hAnsi="Century Gothic" w:cs="Century Gothic" w:hint="default"/>
        <w:w w:val="100"/>
        <w:sz w:val="35"/>
        <w:szCs w:val="35"/>
      </w:rPr>
    </w:lvl>
    <w:lvl w:ilvl="1">
      <w:start w:val="0"/>
      <w:numFmt w:val="bullet"/>
      <w:lvlText w:val="•"/>
      <w:lvlJc w:val="left"/>
      <w:pPr>
        <w:ind w:left="2202" w:hanging="273"/>
      </w:pPr>
      <w:rPr>
        <w:rFonts w:hint="default"/>
      </w:rPr>
    </w:lvl>
    <w:lvl w:ilvl="2">
      <w:start w:val="0"/>
      <w:numFmt w:val="bullet"/>
      <w:lvlText w:val="•"/>
      <w:lvlJc w:val="left"/>
      <w:pPr>
        <w:ind w:left="3045" w:hanging="273"/>
      </w:pPr>
      <w:rPr>
        <w:rFonts w:hint="default"/>
      </w:rPr>
    </w:lvl>
    <w:lvl w:ilvl="3">
      <w:start w:val="0"/>
      <w:numFmt w:val="bullet"/>
      <w:lvlText w:val="•"/>
      <w:lvlJc w:val="left"/>
      <w:pPr>
        <w:ind w:left="3887" w:hanging="273"/>
      </w:pPr>
      <w:rPr>
        <w:rFonts w:hint="default"/>
      </w:rPr>
    </w:lvl>
    <w:lvl w:ilvl="4">
      <w:start w:val="0"/>
      <w:numFmt w:val="bullet"/>
      <w:lvlText w:val="•"/>
      <w:lvlJc w:val="left"/>
      <w:pPr>
        <w:ind w:left="4730" w:hanging="273"/>
      </w:pPr>
      <w:rPr>
        <w:rFonts w:hint="default"/>
      </w:rPr>
    </w:lvl>
    <w:lvl w:ilvl="5">
      <w:start w:val="0"/>
      <w:numFmt w:val="bullet"/>
      <w:lvlText w:val="•"/>
      <w:lvlJc w:val="left"/>
      <w:pPr>
        <w:ind w:left="5572" w:hanging="273"/>
      </w:pPr>
      <w:rPr>
        <w:rFonts w:hint="default"/>
      </w:rPr>
    </w:lvl>
    <w:lvl w:ilvl="6">
      <w:start w:val="0"/>
      <w:numFmt w:val="bullet"/>
      <w:lvlText w:val="•"/>
      <w:lvlJc w:val="left"/>
      <w:pPr>
        <w:ind w:left="6415" w:hanging="273"/>
      </w:pPr>
      <w:rPr>
        <w:rFonts w:hint="default"/>
      </w:rPr>
    </w:lvl>
    <w:lvl w:ilvl="7">
      <w:start w:val="0"/>
      <w:numFmt w:val="bullet"/>
      <w:lvlText w:val="•"/>
      <w:lvlJc w:val="left"/>
      <w:pPr>
        <w:ind w:left="7257" w:hanging="273"/>
      </w:pPr>
      <w:rPr>
        <w:rFonts w:hint="default"/>
      </w:rPr>
    </w:lvl>
    <w:lvl w:ilvl="8">
      <w:start w:val="0"/>
      <w:numFmt w:val="bullet"/>
      <w:lvlText w:val="•"/>
      <w:lvlJc w:val="left"/>
      <w:pPr>
        <w:ind w:left="8100" w:hanging="273"/>
      </w:pPr>
      <w:rPr>
        <w:rFonts w:hint="default"/>
      </w:rPr>
    </w:lvl>
  </w:abstractNum>
  <w:abstractNum w:abstractNumId="3">
    <w:nsid w:val="555DF024"/>
    <w:multiLevelType w:val="hybridMultilevel"/>
    <w:tmpl w:val="00000000"/>
    <w:lvl w:ilvl="0">
      <w:start w:val="3"/>
      <w:numFmt w:val="upperLetter"/>
      <w:lvlText w:val="(%1)"/>
      <w:lvlJc w:val="left"/>
      <w:pPr>
        <w:ind w:left="673" w:hanging="489"/>
        <w:jc w:val="left"/>
      </w:pPr>
      <w:rPr>
        <w:rFonts w:ascii="Century Gothic" w:eastAsia="Century Gothic" w:hAnsi="Century Gothic" w:cs="Century Gothic" w:hint="default"/>
        <w:w w:val="89"/>
        <w:sz w:val="33"/>
        <w:szCs w:val="33"/>
      </w:rPr>
    </w:lvl>
    <w:lvl w:ilvl="1">
      <w:start w:val="0"/>
      <w:numFmt w:val="bullet"/>
      <w:lvlText w:val="•"/>
      <w:lvlJc w:val="left"/>
      <w:pPr>
        <w:ind w:left="1060" w:hanging="489"/>
      </w:pPr>
      <w:rPr>
        <w:rFonts w:hint="default"/>
      </w:rPr>
    </w:lvl>
    <w:lvl w:ilvl="2">
      <w:start w:val="0"/>
      <w:numFmt w:val="bullet"/>
      <w:lvlText w:val="•"/>
      <w:lvlJc w:val="left"/>
      <w:pPr>
        <w:ind w:left="1573" w:hanging="489"/>
      </w:pPr>
      <w:rPr>
        <w:rFonts w:hint="default"/>
      </w:rPr>
    </w:lvl>
    <w:lvl w:ilvl="3">
      <w:start w:val="0"/>
      <w:numFmt w:val="bullet"/>
      <w:lvlText w:val="•"/>
      <w:lvlJc w:val="left"/>
      <w:pPr>
        <w:ind w:left="2085" w:hanging="489"/>
      </w:pPr>
      <w:rPr>
        <w:rFonts w:hint="default"/>
      </w:rPr>
    </w:lvl>
    <w:lvl w:ilvl="4">
      <w:start w:val="0"/>
      <w:numFmt w:val="bullet"/>
      <w:lvlText w:val="•"/>
      <w:lvlJc w:val="left"/>
      <w:pPr>
        <w:ind w:left="2598" w:hanging="489"/>
      </w:pPr>
      <w:rPr>
        <w:rFonts w:hint="default"/>
      </w:rPr>
    </w:lvl>
    <w:lvl w:ilvl="5">
      <w:start w:val="0"/>
      <w:numFmt w:val="bullet"/>
      <w:lvlText w:val="•"/>
      <w:lvlJc w:val="left"/>
      <w:pPr>
        <w:ind w:left="3111" w:hanging="489"/>
      </w:pPr>
      <w:rPr>
        <w:rFonts w:hint="default"/>
      </w:rPr>
    </w:lvl>
    <w:lvl w:ilvl="6">
      <w:start w:val="0"/>
      <w:numFmt w:val="bullet"/>
      <w:lvlText w:val="•"/>
      <w:lvlJc w:val="left"/>
      <w:pPr>
        <w:ind w:left="3624" w:hanging="489"/>
      </w:pPr>
      <w:rPr>
        <w:rFonts w:hint="default"/>
      </w:rPr>
    </w:lvl>
    <w:lvl w:ilvl="7">
      <w:start w:val="0"/>
      <w:numFmt w:val="bullet"/>
      <w:lvlText w:val="•"/>
      <w:lvlJc w:val="left"/>
      <w:pPr>
        <w:ind w:left="4137" w:hanging="489"/>
      </w:pPr>
      <w:rPr>
        <w:rFonts w:hint="default"/>
      </w:rPr>
    </w:lvl>
    <w:lvl w:ilvl="8">
      <w:start w:val="0"/>
      <w:numFmt w:val="bullet"/>
      <w:lvlText w:val="•"/>
      <w:lvlJc w:val="left"/>
      <w:pPr>
        <w:ind w:left="4650" w:hanging="489"/>
      </w:pPr>
      <w:rPr>
        <w:rFonts w:hint="default"/>
      </w:rPr>
    </w:lvl>
  </w:abstractNum>
  <w:abstractNum w:abstractNumId="4">
    <w:nsid w:val="7465B290"/>
    <w:multiLevelType w:val="hybridMultilevel"/>
    <w:tmpl w:val="00000000"/>
    <w:lvl w:ilvl="0">
      <w:start w:val="3"/>
      <w:numFmt w:val="upperLetter"/>
      <w:lvlText w:val="（%1）"/>
      <w:lvlJc w:val="left"/>
      <w:pPr>
        <w:ind w:left="1272" w:hanging="1026"/>
        <w:jc w:val="left"/>
      </w:pPr>
      <w:rPr>
        <w:rFonts w:ascii="宋体" w:eastAsia="宋体" w:hAnsi="宋体" w:cs="宋体" w:hint="default"/>
        <w:spacing w:val="-1"/>
        <w:w w:val="100"/>
        <w:position w:val="6"/>
        <w:sz w:val="40"/>
        <w:szCs w:val="40"/>
      </w:rPr>
    </w:lvl>
    <w:lvl w:ilvl="1">
      <w:start w:val="1"/>
      <w:numFmt w:val="decimal"/>
      <w:lvlText w:val="%2"/>
      <w:lvlJc w:val="left"/>
      <w:pPr>
        <w:ind w:left="1355" w:hanging="273"/>
        <w:jc w:val="left"/>
      </w:pPr>
      <w:rPr>
        <w:rFonts w:ascii="Arial" w:eastAsia="Arial" w:hAnsi="Arial" w:cs="Arial" w:hint="default"/>
        <w:w w:val="100"/>
        <w:sz w:val="35"/>
        <w:szCs w:val="35"/>
      </w:rPr>
    </w:lvl>
    <w:lvl w:ilvl="2">
      <w:start w:val="0"/>
      <w:numFmt w:val="bullet"/>
      <w:lvlText w:val="•"/>
      <w:lvlJc w:val="left"/>
      <w:pPr>
        <w:ind w:left="845" w:hanging="273"/>
      </w:pPr>
      <w:rPr>
        <w:rFonts w:hint="default"/>
      </w:rPr>
    </w:lvl>
    <w:lvl w:ilvl="3">
      <w:start w:val="0"/>
      <w:numFmt w:val="bullet"/>
      <w:lvlText w:val="•"/>
      <w:lvlJc w:val="left"/>
      <w:pPr>
        <w:ind w:left="331" w:hanging="273"/>
      </w:pPr>
      <w:rPr>
        <w:rFonts w:hint="default"/>
      </w:rPr>
    </w:lvl>
    <w:lvl w:ilvl="4">
      <w:start w:val="0"/>
      <w:numFmt w:val="bullet"/>
      <w:lvlText w:val="•"/>
      <w:lvlJc w:val="left"/>
      <w:pPr>
        <w:ind w:left="-184" w:hanging="273"/>
      </w:pPr>
      <w:rPr>
        <w:rFonts w:hint="default"/>
      </w:rPr>
    </w:lvl>
    <w:lvl w:ilvl="5">
      <w:start w:val="0"/>
      <w:numFmt w:val="bullet"/>
      <w:lvlText w:val="•"/>
      <w:lvlJc w:val="left"/>
      <w:pPr>
        <w:ind w:left="-698" w:hanging="273"/>
      </w:pPr>
      <w:rPr>
        <w:rFonts w:hint="default"/>
      </w:rPr>
    </w:lvl>
    <w:lvl w:ilvl="6">
      <w:start w:val="0"/>
      <w:numFmt w:val="bullet"/>
      <w:lvlText w:val="•"/>
      <w:lvlJc w:val="left"/>
      <w:pPr>
        <w:ind w:left="-1212" w:hanging="273"/>
      </w:pPr>
      <w:rPr>
        <w:rFonts w:hint="default"/>
      </w:rPr>
    </w:lvl>
    <w:lvl w:ilvl="7">
      <w:start w:val="0"/>
      <w:numFmt w:val="bullet"/>
      <w:lvlText w:val="•"/>
      <w:lvlJc w:val="left"/>
      <w:pPr>
        <w:ind w:left="-1727" w:hanging="273"/>
      </w:pPr>
      <w:rPr>
        <w:rFonts w:hint="default"/>
      </w:rPr>
    </w:lvl>
    <w:lvl w:ilvl="8">
      <w:start w:val="0"/>
      <w:numFmt w:val="bullet"/>
      <w:lvlText w:val="•"/>
      <w:lvlJc w:val="left"/>
      <w:pPr>
        <w:ind w:left="-2241" w:hanging="273"/>
      </w:pPr>
      <w:rPr>
        <w:rFonts w:hint="default"/>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幼圆" w:eastAsia="幼圆" w:hAnsi="幼圆" w:cs="幼圆"/>
    </w:rPr>
  </w:style>
  <w:style w:type="paragraph" w:styleId="Heading1">
    <w:name w:val="heading 1"/>
    <w:basedOn w:val="Normal"/>
    <w:uiPriority w:val="1"/>
    <w:qFormat/>
    <w:pPr>
      <w:ind w:left="918" w:hanging="582"/>
      <w:outlineLvl w:val="0"/>
    </w:pPr>
    <w:rPr>
      <w:rFonts w:ascii="宋体" w:eastAsia="宋体" w:hAnsi="宋体" w:cs="宋体"/>
      <w:sz w:val="44"/>
      <w:szCs w:val="4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幼圆" w:eastAsia="幼圆" w:hAnsi="幼圆" w:cs="幼圆"/>
      <w:sz w:val="35"/>
      <w:szCs w:val="35"/>
    </w:rPr>
  </w:style>
  <w:style w:type="paragraph" w:styleId="ListParagraph">
    <w:name w:val="List Paragraph"/>
    <w:basedOn w:val="Normal"/>
    <w:uiPriority w:val="1"/>
    <w:qFormat/>
    <w:pPr>
      <w:ind w:left="1355" w:hanging="273"/>
    </w:pPr>
    <w:rPr>
      <w:rFonts w:ascii="幼圆" w:eastAsia="幼圆" w:hAnsi="幼圆" w:cs="幼圆"/>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05312000223011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2023-12-09T04:17:46Z</dcterms:created>
  <dcterms:modified xsi:type="dcterms:W3CDTF">2023-12-09T04:17:46Z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2023-12-09T00:00:00Z</vt:filetime>
  </property>
</Properties>
</file>