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261" w:lineRule="exact"/>
      </w:pPr>
      <w:r>
        <w:pict>
          <v:rect id="_x0000_s1025" style="width:195.6pt;height:80.2pt;margin-top:0;margin-left:764.4pt;mso-position-horizontal-relative:page;mso-position-vertical-relative:page;position:absolute;z-index:251660288" o:allowincell="f" filled="t" fillcolor="black" stroked="f"/>
        </w:pict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8576056</wp:posOffset>
            </wp:positionH>
            <wp:positionV relativeFrom="page">
              <wp:posOffset>4635372</wp:posOffset>
            </wp:positionV>
            <wp:extent cx="1536191" cy="846073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36191" cy="846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6" style="width:604.25pt;height:11.9pt;margin-top:322.76pt;margin-left:170.04pt;mso-position-horizontal-relative:page;mso-position-vertical-relative:page;position:absolute;z-index:251661312" coordorigin="0,0" coordsize="12085,237" o:allowincell="f" filled="f" stroked="f">
            <v:shape id="_x0000_s1027" style="width:12085;height:45;position:absolute" coordorigin="0,0" coordsize="12085,45" path="m12084,22l,22e" filled="f" strokecolor="white" strokeweight="2.25pt">
              <v:stroke joinstyle="miter"/>
            </v:shape>
            <v:shape id="_x0000_s1028" style="width:11040;height:45;left:508;position:absolute;top:192" coordorigin="0,0" coordsize="11040,45" path="m11040,22l,22e" filled="f" strokecolor="#ed7d31" strokeweight="2.25pt">
              <v:stroke joinstyle="miter"/>
            </v:shape>
          </v:group>
        </w:pict>
      </w:r>
      <w:r>
        <w:rPr>
          <w:position w:val="-25"/>
        </w:rPr>
        <w:drawing>
          <wp:inline distT="0" distB="0" distL="0" distR="0">
            <wp:extent cx="2410967" cy="80074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0967" cy="800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1790" w:lineRule="exact"/>
        <w:ind w:left="10754"/>
        <w:outlineLvl w:val="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6051930</wp:posOffset>
            </wp:positionH>
            <wp:positionV relativeFrom="paragraph">
              <wp:posOffset>290103</wp:posOffset>
            </wp:positionV>
            <wp:extent cx="4747513" cy="4177284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7513" cy="4177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6"/>
        </w:rPr>
        <w:drawing>
          <wp:inline distT="0" distB="0" distL="0" distR="0">
            <wp:extent cx="1540383" cy="1136396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40383" cy="1136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60" w:line="173" w:lineRule="auto"/>
        <w:ind w:left="3860" w:right="3104" w:hanging="462"/>
        <w:outlineLvl w:val="0"/>
        <w:rPr>
          <w:rFonts w:ascii="Microsoft YaHei" w:eastAsia="Microsoft YaHei" w:hAnsi="Microsoft YaHei" w:cs="Microsoft YaHei"/>
          <w:sz w:val="80"/>
          <w:szCs w:val="80"/>
        </w:rPr>
      </w:pPr>
      <w:r>
        <w:rPr>
          <w:rFonts w:ascii="FangSong" w:eastAsia="FangSong" w:hAnsi="FangSong" w:cs="FangSong"/>
          <w:color w:val="FFFFFF"/>
          <w:spacing w:val="-7"/>
          <w:sz w:val="80"/>
          <w:szCs w:val="80"/>
        </w:rPr>
        <w:t>“</w:t>
      </w:r>
      <w:r>
        <w:rPr>
          <w:rFonts w:ascii="Microsoft YaHei" w:eastAsia="Microsoft YaHei" w:hAnsi="Microsoft YaHei" w:cs="Microsoft YaHei"/>
          <w:color w:val="FFFFFF"/>
          <w:spacing w:val="-7"/>
          <w:sz w:val="80"/>
          <w:szCs w:val="80"/>
        </w:rPr>
        <w:t>全栈自研</w:t>
      </w:r>
      <w:r>
        <w:rPr>
          <w:rFonts w:ascii="Microsoft YaHei" w:eastAsia="Microsoft YaHei" w:hAnsi="Microsoft YaHei" w:cs="Microsoft YaHei"/>
          <w:color w:val="FFFFFF"/>
          <w:spacing w:val="-160"/>
          <w:sz w:val="80"/>
          <w:szCs w:val="80"/>
        </w:rPr>
        <w:t xml:space="preserve"> </w:t>
      </w:r>
      <w:r>
        <w:rPr>
          <w:rFonts w:ascii="STFangsong" w:eastAsia="STFangsong" w:hAnsi="STFangsong" w:cs="STFangsong"/>
          <w:color w:val="FFFFFF"/>
          <w:spacing w:val="-7"/>
          <w:sz w:val="80"/>
          <w:szCs w:val="80"/>
        </w:rPr>
        <w:t>”</w:t>
      </w:r>
      <w:r>
        <w:rPr>
          <w:rFonts w:ascii="Microsoft YaHei" w:eastAsia="Microsoft YaHei" w:hAnsi="Microsoft YaHei" w:cs="Microsoft YaHei"/>
          <w:color w:val="FFFFFF"/>
          <w:spacing w:val="-7"/>
          <w:sz w:val="80"/>
          <w:szCs w:val="80"/>
        </w:rPr>
        <w:t>还是</w:t>
      </w:r>
      <w:r>
        <w:rPr>
          <w:rFonts w:ascii="FangSong" w:eastAsia="FangSong" w:hAnsi="FangSong" w:cs="FangSong"/>
          <w:color w:val="FFFFFF"/>
          <w:spacing w:val="-7"/>
          <w:sz w:val="80"/>
          <w:szCs w:val="80"/>
        </w:rPr>
        <w:t>“</w:t>
      </w:r>
      <w:r>
        <w:rPr>
          <w:rFonts w:ascii="Microsoft YaHei" w:eastAsia="Microsoft YaHei" w:hAnsi="Microsoft YaHei" w:cs="Microsoft YaHei"/>
          <w:color w:val="FFFFFF"/>
          <w:spacing w:val="-7"/>
          <w:sz w:val="80"/>
          <w:szCs w:val="80"/>
        </w:rPr>
        <w:t>全栈可控</w:t>
      </w:r>
      <w:r>
        <w:rPr>
          <w:rFonts w:ascii="Microsoft YaHei" w:eastAsia="Microsoft YaHei" w:hAnsi="Microsoft YaHei" w:cs="Microsoft YaHei"/>
          <w:color w:val="FFFFFF"/>
          <w:spacing w:val="-169"/>
          <w:sz w:val="80"/>
          <w:szCs w:val="80"/>
        </w:rPr>
        <w:t xml:space="preserve"> </w:t>
      </w:r>
      <w:r>
        <w:rPr>
          <w:rFonts w:ascii="STFangsong" w:eastAsia="STFangsong" w:hAnsi="STFangsong" w:cs="STFangsong"/>
          <w:color w:val="FFFFFF"/>
          <w:spacing w:val="-7"/>
          <w:sz w:val="80"/>
          <w:szCs w:val="80"/>
        </w:rPr>
        <w:t xml:space="preserve">” </w:t>
      </w:r>
      <w:r>
        <w:rPr>
          <w:rFonts w:ascii="Microsoft YaHei" w:eastAsia="Microsoft YaHei" w:hAnsi="Microsoft YaHei" w:cs="Microsoft YaHei"/>
          <w:color w:val="FFFFFF"/>
          <w:spacing w:val="-7"/>
          <w:sz w:val="80"/>
          <w:szCs w:val="80"/>
        </w:rPr>
        <w:t>？</w:t>
      </w:r>
      <w:r>
        <w:rPr>
          <w:rFonts w:ascii="Microsoft YaHei" w:eastAsia="Microsoft YaHei" w:hAnsi="Microsoft YaHei" w:cs="Microsoft YaHei"/>
          <w:color w:val="FFFFFF"/>
          <w:sz w:val="80"/>
          <w:szCs w:val="80"/>
        </w:rPr>
        <w:t xml:space="preserve">   </w:t>
      </w:r>
      <w:r>
        <w:rPr>
          <w:rFonts w:ascii="Microsoft YaHei" w:eastAsia="Microsoft YaHei" w:hAnsi="Microsoft YaHei" w:cs="Microsoft YaHei"/>
          <w:color w:val="FFFFFF"/>
          <w:spacing w:val="1"/>
          <w:sz w:val="80"/>
          <w:szCs w:val="80"/>
        </w:rPr>
        <w:t>——车企自动驾驶自研趋势分析</w:t>
      </w:r>
    </w:p>
    <w:p>
      <w:pPr>
        <w:spacing w:before="13" w:line="2165" w:lineRule="exact"/>
        <w:ind w:firstLine="9906"/>
      </w:pPr>
      <w:r>
        <w:rPr>
          <w:position w:val="-43"/>
        </w:rPr>
        <w:drawing>
          <wp:inline distT="0" distB="0" distL="0" distR="0">
            <wp:extent cx="1110742" cy="1374393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0742" cy="1374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  <w:sectPr>
          <w:headerReference w:type="default" r:id="rId9"/>
          <w:footerReference w:type="default" r:id="rId10"/>
          <w:pgSz w:w="19200" w:h="10800"/>
          <w:pgMar w:top="1" w:right="0" w:bottom="1" w:left="0" w:header="0" w:footer="0" w:gutter="0"/>
          <w:cols w:space="708"/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16" w:line="198" w:lineRule="auto"/>
        <w:ind w:left="15941"/>
        <w:rPr>
          <w:rFonts w:ascii="Microsoft YaHei" w:eastAsia="Microsoft YaHei" w:hAnsi="Microsoft YaHei" w:cs="Microsoft YaHei"/>
          <w:sz w:val="27"/>
          <w:szCs w:val="27"/>
        </w:rPr>
      </w:pPr>
      <w:r>
        <w:rPr>
          <w:rFonts w:ascii="Microsoft YaHei" w:eastAsia="Microsoft YaHei" w:hAnsi="Microsoft YaHei" w:cs="Microsoft YaHei"/>
          <w:color w:val="FFFFFF"/>
          <w:spacing w:val="6"/>
          <w:sz w:val="27"/>
          <w:szCs w:val="27"/>
        </w:rPr>
        <w:t>作者：刘嘉俊 周晓成</w:t>
      </w:r>
    </w:p>
    <w:p>
      <w:pPr>
        <w:spacing w:line="198" w:lineRule="auto"/>
        <w:rPr>
          <w:rFonts w:ascii="Microsoft YaHei" w:eastAsia="Microsoft YaHei" w:hAnsi="Microsoft YaHei" w:cs="Microsoft YaHei"/>
          <w:sz w:val="27"/>
          <w:szCs w:val="27"/>
        </w:rPr>
        <w:sectPr>
          <w:headerReference w:type="default" r:id="rId11"/>
          <w:footerReference w:type="default" r:id="rId12"/>
          <w:type w:val="nextPage"/>
          <w:pgSz w:w="19200" w:h="10800"/>
          <w:pgMar w:top="1" w:right="0" w:bottom="1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before="358" w:line="194" w:lineRule="auto"/>
        <w:ind w:left="7629"/>
        <w:outlineLvl w:val="0"/>
        <w:rPr>
          <w:sz w:val="72"/>
          <w:szCs w:val="72"/>
        </w:rPr>
      </w:pPr>
      <w:r>
        <w:rPr>
          <w:b/>
          <w:bCs/>
          <w:color w:val="2E75B6"/>
          <w:spacing w:val="-5"/>
          <w:sz w:val="72"/>
          <w:szCs w:val="72"/>
        </w:rPr>
        <w:t>摘</w:t>
      </w:r>
      <w:r>
        <w:rPr>
          <w:b/>
          <w:bCs/>
          <w:color w:val="2E75B6"/>
          <w:spacing w:val="5"/>
          <w:sz w:val="72"/>
          <w:szCs w:val="72"/>
        </w:rPr>
        <w:t xml:space="preserve">   </w:t>
      </w:r>
      <w:r>
        <w:rPr>
          <w:b/>
          <w:bCs/>
          <w:color w:val="2E75B6"/>
          <w:spacing w:val="-5"/>
          <w:sz w:val="72"/>
          <w:szCs w:val="72"/>
        </w:rPr>
        <w:t>要</w:t>
      </w:r>
    </w:p>
    <w:p>
      <w:pPr>
        <w:pStyle w:val="BodyText"/>
        <w:spacing w:before="387" w:line="336" w:lineRule="auto"/>
        <w:ind w:left="5" w:firstLine="719"/>
        <w:jc w:val="both"/>
      </w:pPr>
      <w:r>
        <w:rPr>
          <w:spacing w:val="4"/>
        </w:rPr>
        <w:t>越来越多的车企重视技术上的独立，并加大了对于自动驾驶“全栈自研”的宣传力度</w:t>
      </w:r>
      <w:r>
        <w:rPr>
          <w:spacing w:val="3"/>
        </w:rPr>
        <w:t>，从“全栈自研”</w:t>
      </w:r>
      <w:r>
        <w:t xml:space="preserve"> </w:t>
      </w:r>
      <w:r>
        <w:t>字面理解看来，原先自动驾驶需要产业链上下游多方协作，而某个车企做到了一家企业</w:t>
      </w:r>
      <w:r>
        <w:rPr>
          <w:spacing w:val="-1"/>
        </w:rPr>
        <w:t>包揽自动驾驶各个模</w:t>
      </w:r>
    </w:p>
    <w:p>
      <w:pPr>
        <w:pStyle w:val="BodyText"/>
        <w:spacing w:before="1" w:line="193" w:lineRule="auto"/>
        <w:ind w:left="2"/>
      </w:pPr>
      <w:r>
        <w:rPr>
          <w:spacing w:val="-5"/>
        </w:rPr>
        <w:t>块； 但事实并非如此，宣称“全栈自研”的车企并不能完全切断与供应链的合作。</w:t>
      </w:r>
    </w:p>
    <w:p>
      <w:pPr>
        <w:pStyle w:val="BodyText"/>
        <w:spacing w:before="365" w:line="864" w:lineRule="exact"/>
        <w:ind w:right="101"/>
        <w:jc w:val="right"/>
      </w:pPr>
      <w:r>
        <w:rPr>
          <w:spacing w:val="-3"/>
          <w:position w:val="37"/>
        </w:rPr>
        <w:t>那么“全栈自研”究竟指什么？  当前的车企能否称之为“全栈自研”？“全栈自研”趋势下，车企需要</w:t>
      </w:r>
    </w:p>
    <w:p>
      <w:pPr>
        <w:pStyle w:val="BodyText"/>
        <w:spacing w:line="193" w:lineRule="auto"/>
      </w:pPr>
      <w:r>
        <w:rPr>
          <w:spacing w:val="-7"/>
        </w:rPr>
        <w:t>外部供应商提供什么</w:t>
      </w:r>
      <w:r>
        <w:rPr>
          <w:rFonts w:ascii="Calibri" w:eastAsia="Calibri" w:hAnsi="Calibri" w:cs="Calibri"/>
          <w:spacing w:val="-7"/>
        </w:rPr>
        <w:t xml:space="preserve">? </w:t>
      </w:r>
      <w:r>
        <w:rPr>
          <w:spacing w:val="-7"/>
        </w:rPr>
        <w:t>带着上述问题，  本报告对“全</w:t>
      </w:r>
      <w:r>
        <w:rPr>
          <w:spacing w:val="-8"/>
        </w:rPr>
        <w:t>栈”进行拆分并逐项分析。</w:t>
      </w:r>
    </w:p>
    <w:p>
      <w:pPr>
        <w:spacing w:line="193" w:lineRule="auto"/>
        <w:sectPr>
          <w:headerReference w:type="default" r:id="rId13"/>
          <w:footerReference w:type="default" r:id="rId14"/>
          <w:pgSz w:w="19200" w:h="10800"/>
          <w:pgMar w:top="400" w:right="1162" w:bottom="291" w:left="939" w:header="0" w:footer="72" w:gutter="0"/>
          <w:pgNumType w:start="3"/>
          <w:cols w:space="708"/>
        </w:sectPr>
      </w:pPr>
    </w:p>
    <w:p>
      <w:pPr>
        <w:spacing w:line="297" w:lineRule="auto"/>
        <w:rPr>
          <w:rFonts w:ascii="Arial"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width:78.05pt;height:52pt;margin-top:239.53pt;margin-left:82.94pt;mso-position-horizontal-relative:page;mso-position-vertical-relative:page;position:absolute;z-index:25166336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194" w:lineRule="auto"/>
                    <w:ind w:left="20"/>
                    <w:outlineLvl w:val="0"/>
                    <w:rPr>
                      <w:sz w:val="72"/>
                      <w:szCs w:val="72"/>
                    </w:rPr>
                  </w:pPr>
                  <w:r>
                    <w:rPr>
                      <w:b/>
                      <w:bCs/>
                      <w:color w:val="2F5597"/>
                      <w:spacing w:val="45"/>
                      <w:sz w:val="72"/>
                      <w:szCs w:val="72"/>
                    </w:rPr>
                    <w:t>目录</w:t>
                  </w:r>
                </w:p>
              </w:txbxContent>
            </v:textbox>
          </v:shape>
        </w:pict>
      </w:r>
      <w:r>
        <w:pict>
          <v:shape id="_x0000_s1030" type="#_x0000_t202" style="width:288.5pt;height:26.95pt;margin-top:248.69pt;margin-left:197.2pt;mso-position-horizontal-relative:page;mso-position-vertical-relative:page;position:absolute;z-index:25166233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8" w:line="194" w:lineRule="auto"/>
                    <w:jc w:val="right"/>
                  </w:pPr>
                  <w:r>
                    <w:rPr>
                      <w:b/>
                      <w:bCs/>
                      <w:color w:val="0070C0"/>
                      <w:spacing w:val="-12"/>
                    </w:rPr>
                    <w:t>Part2</w:t>
                  </w:r>
                  <w:r>
                    <w:rPr>
                      <w:b/>
                      <w:bCs/>
                      <w:color w:val="0070C0"/>
                      <w:spacing w:val="-11"/>
                    </w:rPr>
                    <w:t>：车企   “自研”各模块的涵</w:t>
                  </w:r>
                  <w:r>
                    <w:rPr>
                      <w:b/>
                      <w:bCs/>
                      <w:color w:val="0070C0"/>
                      <w:spacing w:val="-6"/>
                    </w:rPr>
                    <w:t>义</w:t>
                  </w:r>
                </w:p>
              </w:txbxContent>
            </v:textbox>
          </v:shape>
        </w:pict>
      </w:r>
    </w:p>
    <w:p>
      <w:pPr>
        <w:pStyle w:val="BodyText"/>
        <w:spacing w:before="154" w:line="193" w:lineRule="auto"/>
        <w:ind w:left="2285"/>
        <w:rPr>
          <w:sz w:val="24"/>
          <w:szCs w:val="24"/>
        </w:rPr>
      </w:pPr>
      <w:r>
        <w:rPr>
          <w:b/>
          <w:bCs/>
          <w:color w:val="0070C0"/>
        </w:rPr>
        <w:t>Part</w:t>
      </w:r>
      <w:r>
        <w:rPr>
          <w:b/>
          <w:bCs/>
          <w:color w:val="0070C0"/>
          <w:spacing w:val="5"/>
        </w:rPr>
        <w:t xml:space="preserve">1：自动驾驶“全栈”的构成        </w:t>
      </w:r>
      <w:r>
        <w:rPr>
          <w:b/>
          <w:bCs/>
          <w:color w:val="0070C0"/>
          <w:spacing w:val="4"/>
        </w:rPr>
        <w:t xml:space="preserve">                </w:t>
      </w:r>
      <w:r>
        <w:rPr>
          <w:color w:val="0070C0"/>
          <w:spacing w:val="4"/>
          <w:position w:val="-2"/>
          <w:sz w:val="24"/>
          <w:szCs w:val="24"/>
        </w:rPr>
        <w:t>何为“全栈”</w:t>
      </w:r>
    </w:p>
    <w:p>
      <w:pPr>
        <w:spacing w:before="94" w:line="28" w:lineRule="exact"/>
        <w:ind w:firstLine="2108"/>
      </w:pPr>
      <w:r>
        <w:pict>
          <v:shape id="_x0000_i1031" style="width:735.15pt;height:1.4pt;mso-position-horizontal-relative:char;mso-position-vertical-relative:line" coordorigin="0,0" coordsize="14703,27" path="m,5l14702,22e" filled="f" strokecolor="#0070c0" strokeweight="0.5pt">
            <v:stroke joinstyle="miter" dashstyle="dash"/>
            <w10:wrap type="none"/>
          </v:shape>
        </w:pict>
      </w:r>
    </w:p>
    <w:p>
      <w:pPr>
        <w:pStyle w:val="BodyText"/>
        <w:spacing w:before="205" w:line="168" w:lineRule="auto"/>
        <w:ind w:left="10154"/>
        <w:rPr>
          <w:sz w:val="24"/>
          <w:szCs w:val="24"/>
        </w:rPr>
      </w:pPr>
      <w:r>
        <w:rPr>
          <w:color w:val="0070C0"/>
          <w:spacing w:val="-1"/>
          <w:sz w:val="24"/>
          <w:szCs w:val="24"/>
        </w:rPr>
        <w:t>车企自研各个模块的主要原因</w:t>
      </w:r>
    </w:p>
    <w:p>
      <w:pPr>
        <w:pStyle w:val="BodyText"/>
        <w:spacing w:before="1" w:line="165" w:lineRule="auto"/>
        <w:ind w:left="10162"/>
        <w:rPr>
          <w:sz w:val="24"/>
          <w:szCs w:val="24"/>
        </w:rPr>
      </w:pPr>
      <w:r>
        <w:rPr>
          <w:color w:val="0070C0"/>
          <w:spacing w:val="-6"/>
          <w:sz w:val="24"/>
          <w:szCs w:val="24"/>
        </w:rPr>
        <w:t>2.1 应用层算法：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pacing w:val="-2"/>
          <w:sz w:val="22"/>
          <w:szCs w:val="22"/>
        </w:rPr>
        <w:t>•</w:t>
      </w:r>
      <w:r>
        <w:rPr>
          <w:rFonts w:ascii="Arial" w:eastAsia="Arial" w:hAnsi="Arial" w:cs="Arial"/>
          <w:color w:val="0070C0"/>
          <w:spacing w:val="5"/>
          <w:sz w:val="22"/>
          <w:szCs w:val="22"/>
        </w:rPr>
        <w:t xml:space="preserve">      </w:t>
      </w:r>
      <w:r>
        <w:rPr>
          <w:color w:val="0070C0"/>
          <w:spacing w:val="-2"/>
          <w:sz w:val="22"/>
          <w:szCs w:val="22"/>
        </w:rPr>
        <w:t>自动驾驶各功能模块发展现状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车企自研算法的主要原因</w:t>
      </w:r>
    </w:p>
    <w:p>
      <w:pPr>
        <w:pStyle w:val="BodyText"/>
        <w:spacing w:line="170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不同车企对自动驾驶算法的布局</w:t>
      </w:r>
    </w:p>
    <w:p>
      <w:pPr>
        <w:pStyle w:val="BodyText"/>
        <w:spacing w:before="2" w:line="165" w:lineRule="auto"/>
        <w:ind w:left="10162"/>
        <w:rPr>
          <w:sz w:val="24"/>
          <w:szCs w:val="24"/>
        </w:rPr>
      </w:pPr>
      <w:r>
        <w:rPr>
          <w:color w:val="0070C0"/>
          <w:spacing w:val="-10"/>
          <w:sz w:val="24"/>
          <w:szCs w:val="24"/>
        </w:rPr>
        <w:t>2.2</w:t>
      </w:r>
      <w:r>
        <w:rPr>
          <w:color w:val="0070C0"/>
          <w:spacing w:val="24"/>
          <w:sz w:val="24"/>
          <w:szCs w:val="24"/>
        </w:rPr>
        <w:t xml:space="preserve"> </w:t>
      </w:r>
      <w:r>
        <w:rPr>
          <w:color w:val="0070C0"/>
          <w:spacing w:val="-10"/>
          <w:sz w:val="24"/>
          <w:szCs w:val="24"/>
        </w:rPr>
        <w:t>中间件：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关于车企是否自研自动驾驶中间件的观点争议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自研原因——部分供应商产品存在诸多问题</w:t>
      </w:r>
    </w:p>
    <w:p>
      <w:pPr>
        <w:pStyle w:val="BodyText"/>
        <w:spacing w:before="1" w:line="170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车企自研中间件的难点及未来可能的布局方式</w:t>
      </w:r>
    </w:p>
    <w:p>
      <w:pPr>
        <w:pStyle w:val="BodyText"/>
        <w:spacing w:before="2" w:line="165" w:lineRule="auto"/>
        <w:ind w:left="10162"/>
        <w:rPr>
          <w:sz w:val="24"/>
          <w:szCs w:val="24"/>
        </w:rPr>
      </w:pPr>
      <w:r>
        <w:rPr>
          <w:color w:val="0070C0"/>
          <w:spacing w:val="-7"/>
          <w:sz w:val="24"/>
          <w:szCs w:val="24"/>
        </w:rPr>
        <w:t>2.3</w:t>
      </w:r>
      <w:r>
        <w:rPr>
          <w:color w:val="0070C0"/>
          <w:spacing w:val="10"/>
          <w:sz w:val="24"/>
          <w:szCs w:val="24"/>
        </w:rPr>
        <w:t xml:space="preserve"> </w:t>
      </w:r>
      <w:r>
        <w:rPr>
          <w:color w:val="0070C0"/>
          <w:spacing w:val="-7"/>
          <w:sz w:val="24"/>
          <w:szCs w:val="24"/>
        </w:rPr>
        <w:t>OS内核：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车企自研内核的主要原因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车企自研自动驾驶OS内核的主要难点</w:t>
      </w:r>
    </w:p>
    <w:p>
      <w:pPr>
        <w:pStyle w:val="BodyText"/>
        <w:spacing w:before="1" w:line="170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车企对于不同自动驾驶OS内核的选择</w:t>
      </w:r>
    </w:p>
    <w:p>
      <w:pPr>
        <w:pStyle w:val="BodyText"/>
        <w:spacing w:before="1" w:line="165" w:lineRule="auto"/>
        <w:ind w:left="10162"/>
        <w:rPr>
          <w:sz w:val="24"/>
          <w:szCs w:val="24"/>
        </w:rPr>
      </w:pPr>
      <w:r>
        <w:rPr>
          <w:color w:val="0070C0"/>
          <w:spacing w:val="-7"/>
          <w:sz w:val="24"/>
          <w:szCs w:val="24"/>
        </w:rPr>
        <w:t>2.4</w:t>
      </w:r>
      <w:r>
        <w:rPr>
          <w:color w:val="0070C0"/>
          <w:spacing w:val="16"/>
          <w:sz w:val="24"/>
          <w:szCs w:val="24"/>
        </w:rPr>
        <w:t xml:space="preserve"> </w:t>
      </w:r>
      <w:r>
        <w:rPr>
          <w:color w:val="0070C0"/>
          <w:spacing w:val="-7"/>
          <w:sz w:val="24"/>
          <w:szCs w:val="24"/>
        </w:rPr>
        <w:t>SoC芯片：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车企自研智驾芯片的主要原因</w:t>
      </w:r>
    </w:p>
    <w:p>
      <w:pPr>
        <w:pStyle w:val="BodyText"/>
        <w:spacing w:before="2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车企自研智驾芯片所需的能力</w:t>
      </w:r>
    </w:p>
    <w:p>
      <w:pPr>
        <w:pStyle w:val="BodyText"/>
        <w:spacing w:line="170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不同车企自研芯片的分工模式</w:t>
      </w:r>
    </w:p>
    <w:p>
      <w:pPr>
        <w:pStyle w:val="BodyText"/>
        <w:spacing w:before="2" w:line="165" w:lineRule="auto"/>
        <w:ind w:left="10162"/>
        <w:rPr>
          <w:sz w:val="24"/>
          <w:szCs w:val="24"/>
        </w:rPr>
      </w:pPr>
      <w:r>
        <w:rPr>
          <w:color w:val="0070C0"/>
          <w:spacing w:val="-6"/>
          <w:sz w:val="24"/>
          <w:szCs w:val="24"/>
        </w:rPr>
        <w:t>2.5 域控制器：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车企自研自动驾驶域控制器的主要原因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  <w:sectPr>
          <w:headerReference w:type="default" r:id="rId15"/>
          <w:footerReference w:type="default" r:id="rId16"/>
          <w:pgSz w:w="19200" w:h="10800"/>
          <w:pgMar w:top="400" w:right="710" w:bottom="400" w:left="1678" w:header="0" w:footer="0" w:gutter="0"/>
          <w:pgNumType w:start="4"/>
          <w:cols w:space="708"/>
        </w:sect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车企自研智驾芯片所需的能力与投入</w:t>
      </w:r>
    </w:p>
    <w:p>
      <w:pPr>
        <w:pStyle w:val="BodyText"/>
        <w:spacing w:before="1" w:line="170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不同车企布局自动驾驶域控制器的方式</w:t>
      </w:r>
    </w:p>
    <w:p>
      <w:pPr>
        <w:pStyle w:val="BodyText"/>
        <w:spacing w:before="2" w:line="165" w:lineRule="auto"/>
        <w:ind w:left="10162"/>
        <w:rPr>
          <w:sz w:val="24"/>
          <w:szCs w:val="24"/>
        </w:rPr>
      </w:pPr>
      <w:r>
        <w:rPr>
          <w:color w:val="0070C0"/>
          <w:spacing w:val="-6"/>
          <w:sz w:val="24"/>
          <w:szCs w:val="24"/>
        </w:rPr>
        <w:t>2.6 工具链：</w:t>
      </w:r>
    </w:p>
    <w:p>
      <w:pPr>
        <w:pStyle w:val="BodyText"/>
        <w:spacing w:before="1" w:line="167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自研原因——部分供应商产品存在诸多问题</w:t>
      </w:r>
    </w:p>
    <w:p>
      <w:pPr>
        <w:pStyle w:val="BodyText"/>
        <w:spacing w:before="1" w:line="193" w:lineRule="auto"/>
        <w:ind w:left="10880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车企对数据闭环工具链的布局</w:t>
      </w:r>
    </w:p>
    <w:p>
      <w:pPr>
        <w:spacing w:line="344" w:lineRule="auto"/>
        <w:rPr>
          <w:rFonts w:ascii="Arial"/>
          <w:sz w:val="21"/>
        </w:rPr>
      </w:pPr>
    </w:p>
    <w:p>
      <w:pPr>
        <w:spacing w:line="28" w:lineRule="exact"/>
        <w:ind w:firstLine="2108"/>
      </w:pPr>
      <w:r>
        <w:pict>
          <v:shape id="_x0000_i1032" style="width:735.15pt;height:1.45pt;mso-position-horizontal-relative:char;mso-position-vertical-relative:line" coordorigin="0,0" coordsize="14703,29" path="m,5l14702,23e" filled="f" strokecolor="#0070c0" strokeweight="0.5pt">
            <v:stroke joinstyle="miter" dashstyle="dash"/>
            <w10:wrap type="none"/>
          </v:shape>
        </w:pict>
      </w:r>
    </w:p>
    <w:p>
      <w:pPr>
        <w:pStyle w:val="BodyText"/>
        <w:spacing w:before="277" w:line="168" w:lineRule="auto"/>
        <w:ind w:left="10165"/>
        <w:rPr>
          <w:sz w:val="24"/>
          <w:szCs w:val="24"/>
        </w:rPr>
      </w:pPr>
      <w:r>
        <w:rPr>
          <w:color w:val="0070C0"/>
          <w:spacing w:val="-1"/>
          <w:sz w:val="24"/>
          <w:szCs w:val="24"/>
        </w:rPr>
        <w:t>3.1“全栈自研”难以体现车企在自动驾驶中的实际布局</w:t>
      </w:r>
    </w:p>
    <w:p>
      <w:pPr>
        <w:pStyle w:val="BodyText"/>
        <w:spacing w:before="1" w:line="167" w:lineRule="auto"/>
        <w:ind w:left="10165"/>
        <w:rPr>
          <w:sz w:val="24"/>
          <w:szCs w:val="24"/>
        </w:rPr>
      </w:pPr>
      <w:r>
        <w:pict>
          <v:shape id="_x0000_s1033" type="#_x0000_t202" style="width:354.15pt;height:27.05pt;margin-top:1.14pt;margin-left:113.26pt;position:absolute;z-index:251664384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94" w:lineRule="auto"/>
                    <w:ind w:left="20"/>
                  </w:pPr>
                  <w:r>
                    <w:rPr>
                      <w:b/>
                      <w:bCs/>
                      <w:color w:val="0070C0"/>
                      <w:spacing w:val="-2"/>
                    </w:rPr>
                    <w:t>Part3：布局“全栈”不等同于“全栈自</w:t>
                  </w:r>
                  <w:r>
                    <w:rPr>
                      <w:b/>
                      <w:bCs/>
                      <w:color w:val="0070C0"/>
                      <w:spacing w:val="-3"/>
                    </w:rPr>
                    <w:t>研”</w:t>
                  </w:r>
                </w:p>
              </w:txbxContent>
            </v:textbox>
          </v:shape>
        </w:pict>
      </w:r>
      <w:r>
        <w:rPr>
          <w:color w:val="0070C0"/>
          <w:spacing w:val="-9"/>
          <w:sz w:val="24"/>
          <w:szCs w:val="24"/>
        </w:rPr>
        <w:t>3.2   “全栈”，只是过渡形态</w:t>
      </w:r>
    </w:p>
    <w:p>
      <w:pPr>
        <w:pStyle w:val="BodyText"/>
        <w:spacing w:before="1" w:line="168" w:lineRule="auto"/>
        <w:ind w:left="10165"/>
        <w:rPr>
          <w:sz w:val="24"/>
          <w:szCs w:val="24"/>
        </w:rPr>
      </w:pPr>
      <w:r>
        <w:rPr>
          <w:color w:val="0070C0"/>
          <w:spacing w:val="-9"/>
          <w:sz w:val="24"/>
          <w:szCs w:val="24"/>
        </w:rPr>
        <w:t>3.3   “全栈自研”中的经济账</w:t>
      </w:r>
    </w:p>
    <w:p>
      <w:pPr>
        <w:pStyle w:val="BodyText"/>
        <w:spacing w:before="1" w:line="193" w:lineRule="auto"/>
        <w:ind w:left="10165"/>
        <w:rPr>
          <w:sz w:val="24"/>
          <w:szCs w:val="24"/>
        </w:rPr>
      </w:pPr>
      <w:r>
        <w:rPr>
          <w:color w:val="0070C0"/>
          <w:spacing w:val="6"/>
          <w:sz w:val="24"/>
          <w:szCs w:val="24"/>
        </w:rPr>
        <w:t>3.4 没有真正的“全栈自研”</w:t>
      </w:r>
    </w:p>
    <w:p>
      <w:pPr>
        <w:spacing w:line="193" w:lineRule="auto"/>
        <w:rPr>
          <w:sz w:val="24"/>
          <w:szCs w:val="24"/>
        </w:rPr>
        <w:sectPr>
          <w:headerReference w:type="default" r:id="rId17"/>
          <w:footerReference w:type="default" r:id="rId18"/>
          <w:type w:val="nextPage"/>
          <w:pgSz w:w="19200" w:h="10800"/>
          <w:pgMar w:top="400" w:right="710" w:bottom="400" w:left="1678" w:header="0" w:footer="0" w:gutter="0"/>
          <w:pgNumType w:start="5"/>
          <w:cols w:space="708"/>
          <w:titlePg w:val="0"/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167" w:line="175" w:lineRule="auto"/>
        <w:ind w:left="2288"/>
        <w:rPr>
          <w:sz w:val="39"/>
          <w:szCs w:val="39"/>
        </w:rPr>
      </w:pPr>
      <w:r>
        <w:rPr>
          <w:b/>
          <w:bCs/>
          <w:color w:val="0070C0"/>
          <w:sz w:val="39"/>
          <w:szCs w:val="39"/>
        </w:rPr>
        <w:t>Part</w:t>
      </w:r>
      <w:r>
        <w:rPr>
          <w:b/>
          <w:bCs/>
          <w:color w:val="0070C0"/>
          <w:spacing w:val="17"/>
          <w:sz w:val="39"/>
          <w:szCs w:val="39"/>
        </w:rPr>
        <w:t>1：自动驾驶“全栈”的构成——何为“全栈”</w:t>
      </w:r>
    </w:p>
    <w:p>
      <w:pPr>
        <w:pStyle w:val="BodyText"/>
        <w:spacing w:before="1" w:line="194" w:lineRule="auto"/>
        <w:outlineLvl w:val="0"/>
        <w:rPr>
          <w:sz w:val="72"/>
          <w:szCs w:val="72"/>
        </w:rPr>
      </w:pPr>
      <w:r>
        <w:rPr>
          <w:b/>
          <w:bCs/>
          <w:color w:val="2F5597"/>
          <w:spacing w:val="45"/>
          <w:sz w:val="72"/>
          <w:szCs w:val="72"/>
        </w:rPr>
        <w:t>目录</w:t>
      </w:r>
    </w:p>
    <w:p>
      <w:pPr>
        <w:spacing w:line="194" w:lineRule="auto"/>
        <w:rPr>
          <w:sz w:val="72"/>
          <w:szCs w:val="72"/>
        </w:rPr>
        <w:sectPr>
          <w:headerReference w:type="default" r:id="rId19"/>
          <w:footerReference w:type="default" r:id="rId20"/>
          <w:pgSz w:w="19200" w:h="10800"/>
          <w:pgMar w:top="400" w:right="2880" w:bottom="400" w:left="1678" w:header="0" w:footer="0" w:gutter="0"/>
          <w:pgNumType w:start="6"/>
          <w:cols w:space="708"/>
        </w:sectPr>
      </w:pPr>
    </w:p>
    <w:p>
      <w:pPr>
        <w:pStyle w:val="BodyText"/>
        <w:spacing w:before="59" w:line="195" w:lineRule="auto"/>
        <w:ind w:left="935"/>
        <w:outlineLvl w:val="0"/>
        <w:rPr>
          <w:sz w:val="44"/>
          <w:szCs w:val="44"/>
        </w:rPr>
      </w:pPr>
      <w:r>
        <mc:AlternateContent>
          <mc:Choice Requires="wps">
            <w:drawing>
              <wp:anchor distT="0" distB="0" distL="0" distR="0" simplePos="0" relativeHeight="251667456" behindDoc="1" locked="0" layoutInCell="0" allowOverlap="1">
                <wp:simplePos x="0" y="0"/>
                <wp:positionH relativeFrom="page">
                  <wp:posOffset>597408</wp:posOffset>
                </wp:positionH>
                <wp:positionV relativeFrom="page">
                  <wp:posOffset>1895855</wp:posOffset>
                </wp:positionV>
                <wp:extent cx="7492365" cy="698500"/>
                <wp:effectExtent l="0" t="0" r="0" b="0"/>
                <wp:wrapNone/>
                <wp:docPr id="12" name="Rect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597408" y="1895855"/>
                          <a:ext cx="7492365" cy="6985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12" o:spid="_x0000_s1034" style="width:589.95pt;height:55pt;margin-top:149.28pt;margin-left:47.04pt;mso-position-horizontal-relative:page;mso-position-vertical-relative:page;mso-wrap-distance-bottom:0;mso-wrap-distance-left:0;mso-wrap-distance-right:0;mso-wrap-distance-top:0;position:absolute;v-text-anchor:top;z-index:-251650048" o:allowincell="f" fillcolor="#f2f2f2" stroked="f"/>
            </w:pict>
          </mc:Fallback>
        </mc:AlternateContent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10344911</wp:posOffset>
            </wp:positionH>
            <wp:positionV relativeFrom="page">
              <wp:posOffset>0</wp:posOffset>
            </wp:positionV>
            <wp:extent cx="1847088" cy="725424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7088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5" style="width:37.25pt;height:30.75pt;margin-top:15.36pt;margin-left:0;mso-position-horizontal-relative:page;mso-position-vertical-relative:page;position:absolute;z-index:-251651072" coordorigin="0,0" coordsize="745,615" o:allowincell="f" path="m,l436,l744,307l436,614l,614l,xe" filled="t" fillcolor="#b4c7e7" stroked="f">
            <v:fill opacity="40093f"/>
          </v:shape>
        </w:pict>
      </w:r>
      <w:r>
        <w:pict>
          <v:shape id="_x0000_s1036" type="#_x0000_t202" style="width:281.25pt;height:43.45pt;margin-top:99.5pt;margin-left:646.44pt;mso-position-horizontal-relative:page;mso-position-vertical-relative:page;position:absolute;z-index:25166950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8" w:line="176" w:lineRule="auto"/>
                    <w:ind w:left="271" w:right="20" w:hanging="251"/>
                    <w:rPr>
                      <w:sz w:val="22"/>
                      <w:szCs w:val="22"/>
                    </w:rPr>
                  </w:pPr>
                  <w:r>
                    <w:rPr>
                      <w:color w:val="0070C0"/>
                      <w:sz w:val="22"/>
                      <w:szCs w:val="22"/>
                    </w:rPr>
                    <w:drawing>
                      <wp:inline distT="0" distB="0" distL="0" distR="0">
                        <wp:extent cx="99547" cy="102912"/>
                        <wp:effectExtent l="0" t="0" r="0" b="0"/>
                        <wp:docPr id="16" name="IM 1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IM 16"/>
                                <pic:cNvPicPr/>
                              </pic:nvPicPr>
                              <pic:blipFill>
                                <a:blip xmlns:r="http://schemas.openxmlformats.org/officeDocument/2006/relationships"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547" cy="102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70C0"/>
                      <w:spacing w:val="45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pacing w:val="-2"/>
                      <w:sz w:val="22"/>
                      <w:szCs w:val="22"/>
                    </w:rPr>
                    <w:t>开展高精地图业务需获得导航电子地图甲级测绘资质，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  </w:t>
                  </w:r>
                  <w:r>
                    <w:rPr>
                      <w:color w:val="0070C0"/>
                      <w:sz w:val="22"/>
                      <w:szCs w:val="22"/>
                    </w:rPr>
                    <w:t>获取难度较大，且当前部分企业开展“无高精地图”</w:t>
                  </w:r>
                  <w:r>
                    <w:rPr>
                      <w:color w:val="0070C0"/>
                      <w:spacing w:val="-14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方 </w:t>
                  </w:r>
                  <w:r>
                    <w:rPr>
                      <w:color w:val="0070C0"/>
                      <w:spacing w:val="-2"/>
                      <w:sz w:val="22"/>
                      <w:szCs w:val="22"/>
                    </w:rPr>
                    <w:t>案的尝试，因此高精地图不纳入自研讨论范畴。</w:t>
                  </w:r>
                </w:p>
              </w:txbxContent>
            </v:textbox>
          </v:shape>
        </w:pict>
      </w:r>
      <w:r>
        <w:pict>
          <v:shape id="_x0000_s1037" style="width:27.1pt;height:19.65pt;margin-top:104.67pt;margin-left:617.04pt;mso-position-horizontal-relative:page;mso-position-vertical-relative:page;position:absolute;z-index:251677696" coordorigin="0,0" coordsize="542,392" o:allowincell="f" path="m2,98l345,98l345,1l540,196l345,390l345,293l2,293l2,98xe" filled="f" strokecolor="#5b9bd5" strokeweight="0.25pt">
            <v:stroke joinstyle="miter"/>
          </v:shape>
        </w:pict>
      </w:r>
      <w:r>
        <w:pict>
          <v:shape id="_x0000_s1038" type="#_x0000_t202" style="width:145.4pt;height:49.05pt;margin-top:152pt;margin-left:54.68pt;mso-position-horizontal-relative:page;mso-position-vertical-relative:page;position:absolute;z-index:25167360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162" w:lineRule="auto"/>
                    <w:ind w:left="405"/>
                    <w:rPr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pacing w:val="-5"/>
                      <w:sz w:val="32"/>
                      <w:szCs w:val="32"/>
                    </w:rPr>
                    <w:t>基础库（框架）</w:t>
                  </w:r>
                </w:p>
                <w:p>
                  <w:pPr>
                    <w:pStyle w:val="BodyText"/>
                    <w:spacing w:before="3" w:line="180" w:lineRule="auto"/>
                    <w:ind w:left="20" w:right="20" w:firstLine="1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支持算法应用实现的</w:t>
                  </w:r>
                  <w:r>
                    <w:rPr>
                      <w:rFonts w:ascii="Calibri" w:eastAsia="Calibri" w:hAnsi="Calibri" w:cs="Calibri"/>
                      <w:sz w:val="22"/>
                      <w:szCs w:val="22"/>
                    </w:rPr>
                    <w:t>AI</w:t>
                  </w:r>
                  <w:r>
                    <w:rPr>
                      <w:sz w:val="22"/>
                      <w:szCs w:val="22"/>
                    </w:rPr>
                    <w:t>算法框</w:t>
                  </w:r>
                  <w:r>
                    <w:rPr>
                      <w:spacing w:val="8"/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架，快速构建通用的基础功能</w:t>
                  </w:r>
                </w:p>
              </w:txbxContent>
            </v:textbox>
          </v:shape>
        </w:pict>
      </w:r>
      <w:r>
        <w:pict>
          <v:shape id="_x0000_s1039" type="#_x0000_t202" style="width:286.5pt;height:30.5pt;margin-top:163.87pt;margin-left:646.44pt;mso-position-horizontal-relative:page;mso-position-vertical-relative:page;position:absolute;z-index:25167155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81" w:lineRule="auto"/>
                    <w:ind w:left="271" w:right="20" w:hanging="251"/>
                    <w:rPr>
                      <w:sz w:val="22"/>
                      <w:szCs w:val="22"/>
                    </w:rPr>
                  </w:pPr>
                  <w:r>
                    <w:rPr>
                      <w:color w:val="0070C0"/>
                      <w:sz w:val="22"/>
                      <w:szCs w:val="22"/>
                    </w:rPr>
                    <w:drawing>
                      <wp:inline distT="0" distB="0" distL="0" distR="0">
                        <wp:extent cx="99547" cy="102912"/>
                        <wp:effectExtent l="0" t="0" r="0" b="0"/>
                        <wp:docPr id="18" name="IM 1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IM 18"/>
                                <pic:cNvPicPr/>
                              </pic:nvPicPr>
                              <pic:blipFill>
                                <a:blip xmlns:r="http://schemas.openxmlformats.org/officeDocument/2006/relationships"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547" cy="102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70C0"/>
                      <w:spacing w:val="41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z w:val="22"/>
                      <w:szCs w:val="22"/>
                    </w:rPr>
                    <w:t>通用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AI</w:t>
                  </w:r>
                  <w:r>
                    <w:rPr>
                      <w:color w:val="0070C0"/>
                      <w:sz w:val="22"/>
                      <w:szCs w:val="22"/>
                    </w:rPr>
                    <w:t>算法框架是集合主流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AI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算法模型的软件库，供开发 </w:t>
                  </w:r>
                  <w:r>
                    <w:rPr>
                      <w:color w:val="0070C0"/>
                      <w:spacing w:val="-2"/>
                      <w:sz w:val="22"/>
                      <w:szCs w:val="22"/>
                    </w:rPr>
                    <w:t>者按需取用，开源性强，无需自研。</w:t>
                  </w:r>
                </w:p>
              </w:txbxContent>
            </v:textbox>
          </v:shape>
        </w:pict>
      </w:r>
      <w:r>
        <w:pict>
          <v:shape id="_x0000_s1040" style="width:27.1pt;height:19.9pt;margin-top:168.27pt;margin-left:617.04pt;mso-position-horizontal-relative:page;mso-position-vertical-relative:page;position:absolute;z-index:251674624" coordorigin="0,0" coordsize="542,397" o:allowincell="f" path="m2,100l343,100l343,1l540,198l343,395l343,296l2,296l2,100xe" filled="f" strokecolor="#5b9bd5" strokeweight="0.25pt">
            <v:stroke joinstyle="miter"/>
          </v:shape>
        </w:pict>
      </w:r>
      <w:r>
        <w:pict>
          <v:shape id="_x0000_s1041" type="#_x0000_t202" style="width:284.9pt;height:96.6pt;margin-top:285.17pt;margin-left:650.88pt;mso-position-horizontal-relative:page;mso-position-vertical-relative:page;position:absolute;z-index:25166848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168" w:lineRule="auto"/>
                    <w:ind w:left="273" w:right="30" w:hanging="254"/>
                    <w:rPr>
                      <w:sz w:val="22"/>
                      <w:szCs w:val="22"/>
                    </w:rPr>
                  </w:pPr>
                  <w:r>
                    <w:rPr>
                      <w:color w:val="0070C0"/>
                      <w:sz w:val="22"/>
                      <w:szCs w:val="22"/>
                    </w:rPr>
                    <w:drawing>
                      <wp:inline distT="0" distB="0" distL="0" distR="0">
                        <wp:extent cx="99763" cy="103136"/>
                        <wp:effectExtent l="0" t="0" r="0" b="0"/>
                        <wp:docPr id="20" name="IM 2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IM 20"/>
                                <pic:cNvPicPr/>
                              </pic:nvPicPr>
                              <pic:blipFill>
                                <a:blip xmlns:r="http://schemas.openxmlformats.org/officeDocument/2006/relationships"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763" cy="103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70C0"/>
                      <w:spacing w:val="55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pacing w:val="-6"/>
                      <w:sz w:val="22"/>
                      <w:szCs w:val="22"/>
                    </w:rPr>
                    <w:t>自动驾驶算法大多部署于专用的智驾芯片，</w:t>
                  </w:r>
                  <w:r>
                    <w:rPr>
                      <w:color w:val="0070C0"/>
                      <w:spacing w:val="21"/>
                      <w:w w:val="101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color w:val="0070C0"/>
                      <w:spacing w:val="-6"/>
                      <w:sz w:val="22"/>
                      <w:szCs w:val="22"/>
                    </w:rPr>
                    <w:t>Hyper</w:t>
                  </w:r>
                  <w:r>
                    <w:rPr>
                      <w:rFonts w:ascii="Calibri" w:eastAsia="Calibri" w:hAnsi="Calibri" w:cs="Calibri"/>
                      <w:color w:val="0070C0"/>
                      <w:spacing w:val="-7"/>
                      <w:sz w:val="22"/>
                      <w:szCs w:val="22"/>
                    </w:rPr>
                    <w:t>visor</w:t>
                  </w:r>
                  <w:r>
                    <w:rPr>
                      <w:color w:val="0070C0"/>
                      <w:spacing w:val="-7"/>
                      <w:sz w:val="22"/>
                      <w:szCs w:val="22"/>
                    </w:rPr>
                    <w:t>非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z w:val="22"/>
                      <w:szCs w:val="22"/>
                    </w:rPr>
                    <w:t>必需品；当前仅有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QNX Hypervisor</w:t>
                  </w:r>
                  <w:r>
                    <w:rPr>
                      <w:color w:val="0070C0"/>
                      <w:sz w:val="22"/>
                      <w:szCs w:val="22"/>
                    </w:rPr>
                    <w:t>同时满足应用于量产车</w:t>
                  </w:r>
                  <w:r>
                    <w:rPr>
                      <w:color w:val="0070C0"/>
                      <w:spacing w:val="1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z w:val="22"/>
                      <w:szCs w:val="22"/>
                    </w:rPr>
                    <w:t>型且功能安全等级达到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ASIL-D</w:t>
                  </w:r>
                  <w:r>
                    <w:rPr>
                      <w:color w:val="0070C0"/>
                      <w:sz w:val="22"/>
                      <w:szCs w:val="22"/>
                    </w:rPr>
                    <w:t>级，因此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Hyperviso</w:t>
                  </w:r>
                  <w:r>
                    <w:rPr>
                      <w:rFonts w:ascii="Calibri" w:eastAsia="Calibri" w:hAnsi="Calibri" w:cs="Calibri"/>
                      <w:color w:val="0070C0"/>
                      <w:spacing w:val="-1"/>
                      <w:sz w:val="22"/>
                      <w:szCs w:val="22"/>
                    </w:rPr>
                    <w:t>r</w:t>
                  </w:r>
                  <w:r>
                    <w:rPr>
                      <w:color w:val="0070C0"/>
                      <w:spacing w:val="-1"/>
                      <w:sz w:val="22"/>
                      <w:szCs w:val="22"/>
                    </w:rPr>
                    <w:t xml:space="preserve">不纳入  </w:t>
                  </w:r>
                  <w:r>
                    <w:rPr>
                      <w:color w:val="0070C0"/>
                      <w:spacing w:val="-5"/>
                      <w:sz w:val="22"/>
                      <w:szCs w:val="22"/>
                    </w:rPr>
                    <w:t>自研讨论范畴；</w:t>
                  </w:r>
                </w:p>
                <w:p>
                  <w:pPr>
                    <w:pStyle w:val="BodyText"/>
                    <w:spacing w:before="4" w:line="176" w:lineRule="auto"/>
                    <w:ind w:left="271" w:right="20" w:hanging="251"/>
                    <w:rPr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drawing>
                      <wp:inline distT="0" distB="0" distL="0" distR="0">
                        <wp:extent cx="99763" cy="103136"/>
                        <wp:effectExtent l="0" t="0" r="0" b="0"/>
                        <wp:docPr id="22" name="IM 2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IM 22"/>
                                <pic:cNvPicPr/>
                              </pic:nvPicPr>
                              <pic:blipFill>
                                <a:blip xmlns:r="http://schemas.openxmlformats.org/officeDocument/2006/relationships"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763" cy="1031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Calibri" w:eastAsia="Calibri" w:hAnsi="Calibri" w:cs="Calibri"/>
                      <w:color w:val="0070C0"/>
                      <w:spacing w:val="6"/>
                      <w:sz w:val="22"/>
                      <w:szCs w:val="22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BSP</w:t>
                  </w:r>
                  <w:r>
                    <w:rPr>
                      <w:color w:val="0070C0"/>
                      <w:sz w:val="22"/>
                      <w:szCs w:val="22"/>
                    </w:rPr>
                    <w:t>同时具有硬件相关性和操作系统相关</w:t>
                  </w:r>
                  <w:r>
                    <w:rPr>
                      <w:color w:val="0070C0"/>
                      <w:spacing w:val="-1"/>
                      <w:sz w:val="22"/>
                      <w:szCs w:val="22"/>
                    </w:rPr>
                    <w:t>性，对人员要求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z w:val="22"/>
                      <w:szCs w:val="22"/>
                    </w:rPr>
                    <w:t>高，第三方软件服务商具有较好的竞争优势，极少有车</w:t>
                  </w:r>
                  <w:r>
                    <w:rPr>
                      <w:color w:val="0070C0"/>
                      <w:spacing w:val="4"/>
                      <w:sz w:val="22"/>
                      <w:szCs w:val="22"/>
                    </w:rPr>
                    <w:t xml:space="preserve">   </w:t>
                  </w:r>
                  <w:r>
                    <w:rPr>
                      <w:color w:val="0070C0"/>
                      <w:sz w:val="22"/>
                      <w:szCs w:val="22"/>
                    </w:rPr>
                    <w:t>企开展自研，因此</w:t>
                  </w:r>
                  <w:r>
                    <w:rPr>
                      <w:rFonts w:ascii="Calibri" w:eastAsia="Calibri" w:hAnsi="Calibri" w:cs="Calibri"/>
                      <w:color w:val="0070C0"/>
                      <w:sz w:val="22"/>
                      <w:szCs w:val="22"/>
                    </w:rPr>
                    <w:t>BSP</w:t>
                  </w:r>
                  <w:r>
                    <w:rPr>
                      <w:color w:val="0070C0"/>
                      <w:sz w:val="22"/>
                      <w:szCs w:val="22"/>
                    </w:rPr>
                    <w:t>不纳入自研讨论范畴。</w:t>
                  </w:r>
                </w:p>
              </w:txbxContent>
            </v:textbox>
          </v:shape>
        </w:pict>
      </w:r>
      <w:r>
        <w:pict>
          <v:shape id="_x0000_s1042" style="width:9.9pt;height:19.65pt;margin-top:292.59pt;margin-left:634.23pt;mso-position-horizontal-relative:page;mso-position-vertical-relative:page;position:absolute;z-index:251676672" coordorigin="0,0" coordsize="197,392" o:allowincell="f" path="m1,1l196,196l1,390e" filled="f" strokecolor="#5b9bd5" strokeweight="0.25pt">
            <v:stroke joinstyle="miter"/>
          </v:shape>
        </w:pict>
      </w:r>
      <w:r>
        <w:pict>
          <v:shape id="_x0000_s1043" type="#_x0000_t202" style="width:279.25pt;height:30.25pt;margin-top:425.11pt;margin-left:646.44pt;mso-position-horizontal-relative:page;mso-position-vertical-relative:page;position:absolute;z-index:25167257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8" w:line="180" w:lineRule="auto"/>
                    <w:ind w:left="271" w:right="20" w:hanging="251"/>
                    <w:rPr>
                      <w:sz w:val="22"/>
                      <w:szCs w:val="22"/>
                    </w:rPr>
                  </w:pPr>
                  <w:r>
                    <w:rPr>
                      <w:color w:val="0070C0"/>
                      <w:sz w:val="22"/>
                      <w:szCs w:val="22"/>
                    </w:rPr>
                    <w:drawing>
                      <wp:inline distT="0" distB="0" distL="0" distR="0">
                        <wp:extent cx="99547" cy="102912"/>
                        <wp:effectExtent l="0" t="0" r="0" b="0"/>
                        <wp:docPr id="24" name="IM 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 24"/>
                                <pic:cNvPicPr/>
                              </pic:nvPicPr>
                              <pic:blipFill>
                                <a:blip xmlns:r="http://schemas.openxmlformats.org/officeDocument/2006/relationships"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547" cy="10291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color w:val="0070C0"/>
                      <w:spacing w:val="41"/>
                      <w:w w:val="101"/>
                      <w:sz w:val="22"/>
                      <w:szCs w:val="22"/>
                    </w:rPr>
                    <w:t xml:space="preserve"> </w:t>
                  </w:r>
                  <w:r>
                    <w:rPr>
                      <w:color w:val="0070C0"/>
                      <w:sz w:val="22"/>
                      <w:szCs w:val="22"/>
                    </w:rPr>
                    <w:t xml:space="preserve">传感器等其他硬件产业链日趋成熟，均有专业供应商提 </w:t>
                  </w:r>
                  <w:r>
                    <w:rPr>
                      <w:color w:val="0070C0"/>
                      <w:spacing w:val="-3"/>
                      <w:sz w:val="22"/>
                      <w:szCs w:val="22"/>
                    </w:rPr>
                    <w:t>供，不纳入自研讨论范畴。</w:t>
                  </w:r>
                </w:p>
              </w:txbxContent>
            </v:textbox>
          </v:shape>
        </w:pict>
      </w:r>
      <w:r>
        <w:pict>
          <v:shape id="_x0000_s1044" style="width:9.9pt;height:19.65pt;margin-top:427.95pt;margin-left:634.23pt;mso-position-horizontal-relative:page;mso-position-vertical-relative:page;position:absolute;z-index:251675648" coordorigin="0,0" coordsize="197,392" o:allowincell="f" path="m1,1l196,196l1,390e" filled="f" strokecolor="#5b9bd5" strokeweight="0.25pt">
            <v:stroke joinstyle="miter"/>
          </v:shape>
        </w:pict>
      </w:r>
      <w:r>
        <w:rPr>
          <w:b/>
          <w:bCs/>
          <w:color w:val="0070C0"/>
          <w:spacing w:val="12"/>
          <w:sz w:val="44"/>
          <w:szCs w:val="44"/>
        </w:rPr>
        <w:t>自动驾驶系统构成——何为“全栈”</w:t>
      </w:r>
    </w:p>
    <w:p>
      <w:pPr>
        <w:pStyle w:val="BodyText"/>
        <w:spacing w:before="176" w:line="194" w:lineRule="auto"/>
        <w:ind w:left="651"/>
        <w:rPr>
          <w:sz w:val="32"/>
          <w:szCs w:val="32"/>
        </w:rPr>
      </w:pPr>
      <w:r>
        <w:rPr>
          <w:position w:val="2"/>
          <w:sz w:val="32"/>
          <w:szCs w:val="32"/>
        </w:rPr>
        <w:drawing>
          <wp:inline distT="0" distB="0" distL="0" distR="0">
            <wp:extent cx="135395" cy="120079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5395" cy="12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"/>
          <w:sz w:val="32"/>
          <w:szCs w:val="32"/>
        </w:rPr>
        <w:t xml:space="preserve">   </w:t>
      </w:r>
      <w:r>
        <w:rPr>
          <w:spacing w:val="-4"/>
          <w:sz w:val="32"/>
          <w:szCs w:val="32"/>
        </w:rPr>
        <w:t>“全栈”即为全链条，从自动驾驶系统构成来看，至少包含算法、系统软件、系统硬件、传感</w:t>
      </w:r>
      <w:r>
        <w:rPr>
          <w:spacing w:val="-5"/>
          <w:sz w:val="32"/>
          <w:szCs w:val="32"/>
        </w:rPr>
        <w:t>器、数据闭环工具链等。</w:t>
      </w:r>
    </w:p>
    <w:p>
      <w:pPr>
        <w:pStyle w:val="BodyText"/>
        <w:spacing w:before="106" w:line="984" w:lineRule="exact"/>
        <w:ind w:firstLine="940"/>
      </w:pPr>
      <w:r>
        <w:rPr>
          <w:position w:val="-19"/>
        </w:rPr>
        <w:pict>
          <v:group id="_x0000_i1045" style="width:589.95pt;height:49.25pt;mso-position-horizontal-relative:char;mso-position-vertical-relative:line" coordorigin="0,0" coordsize="11799,985" filled="f" stroked="f">
            <v:rect id="_x0000_s1046" style="width:11799;height:985;position:absolute" filled="t" fillcolor="#f2f2f2" stroked="f"/>
            <v:shape id="_x0000_s1047" type="#_x0000_t202" style="width:2907;height:906;left:269;position:absolute;top:55" filled="f" stroked="f">
              <o:lock v:ext="edit" aspectratio="f"/>
              <v:textbox inset="0,0,0,0">
                <w:txbxContent>
                  <w:p>
                    <w:pPr>
                      <w:spacing w:before="19" w:line="161" w:lineRule="auto"/>
                      <w:ind w:left="603"/>
                      <w:rPr>
                        <w:rFonts w:ascii="Microsoft YaHei" w:eastAsia="Microsoft YaHei" w:hAnsi="Microsoft YaHei" w:cs="Microsoft YaHei"/>
                        <w:sz w:val="32"/>
                        <w:szCs w:val="3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z w:val="32"/>
                        <w:szCs w:val="32"/>
                      </w:rPr>
                      <w:t>应用层算法</w:t>
                    </w:r>
                  </w:p>
                  <w:p>
                    <w:pPr>
                      <w:spacing w:before="1" w:line="181" w:lineRule="auto"/>
                      <w:ind w:left="680" w:right="20" w:hanging="661"/>
                      <w:rPr>
                        <w:rFonts w:ascii="Microsoft YaHei" w:eastAsia="Microsoft YaHei" w:hAnsi="Microsoft YaHei" w:cs="Microsoft YaHei"/>
                        <w:sz w:val="22"/>
                        <w:szCs w:val="2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sz w:val="22"/>
                        <w:szCs w:val="22"/>
                      </w:rPr>
                      <w:t>直接用于实现自动驾驶功能和</w:t>
                    </w:r>
                    <w:r>
                      <w:rPr>
                        <w:rFonts w:ascii="Microsoft YaHei" w:eastAsia="Microsoft YaHei" w:hAnsi="Microsoft YaHei" w:cs="Microsoft YaHei"/>
                        <w:spacing w:val="5"/>
                        <w:sz w:val="22"/>
                        <w:szCs w:val="22"/>
                      </w:rPr>
                      <w:t xml:space="preserve"> </w:t>
                    </w:r>
                    <w:r>
                      <w:rPr>
                        <w:rFonts w:ascii="Microsoft YaHei" w:eastAsia="Microsoft YaHei" w:hAnsi="Microsoft YaHei" w:cs="Microsoft YaHei"/>
                        <w:sz w:val="22"/>
                        <w:szCs w:val="22"/>
                      </w:rPr>
                      <w:t>界面的软件策略</w:t>
                    </w:r>
                  </w:p>
                </w:txbxContent>
              </v:textbox>
            </v:shape>
            <v:shape id="_x0000_s1048" type="#_x0000_t202" style="width:1870;height:617;left:9498;position:absolute;top:162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1814" w:type="dxa"/>
                      <w:tblInd w:w="27" w:type="dxa"/>
                      <w:tblBorders>
                        <w:top w:val="dashed" w:sz="6" w:space="0" w:color="0070C0"/>
                        <w:left w:val="single" w:sz="6" w:space="0" w:color="0070C0"/>
                        <w:bottom w:val="dashed" w:sz="6" w:space="0" w:color="0070C0"/>
                        <w:right w:val="single" w:sz="6" w:space="0" w:color="0070C0"/>
                      </w:tblBorders>
                      <w:shd w:val="clear" w:color="auto" w:fill="FFFFFF"/>
                      <w:tblLayout w:type="fixed"/>
                    </w:tblPr>
                    <w:tblGrid>
                      <w:gridCol w:w="1814"/>
                    </w:tblGrid>
                    <w:tr>
                      <w:tblPrEx>
                        <w:tblW w:w="1814" w:type="dxa"/>
                        <w:tblInd w:w="27" w:type="dxa"/>
                        <w:tblBorders>
                          <w:top w:val="dashed" w:sz="6" w:space="0" w:color="0070C0"/>
                          <w:left w:val="single" w:sz="6" w:space="0" w:color="0070C0"/>
                          <w:bottom w:val="dashed" w:sz="6" w:space="0" w:color="0070C0"/>
                          <w:right w:val="single" w:sz="6" w:space="0" w:color="0070C0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46"/>
                      </w:trPr>
                      <w:tc>
                        <w:tcPr>
                          <w:tcW w:w="1814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3" w:line="195" w:lineRule="auto"/>
                            <w:ind w:left="424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-1"/>
                              <w:sz w:val="24"/>
                              <w:szCs w:val="24"/>
                            </w:rPr>
                            <w:t>高精地图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49" type="#_x0000_t202" style="width:1860;height:607;left:7463;position:absolute;top:167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1814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14"/>
                    </w:tblGrid>
                    <w:tr>
                      <w:tblPrEx>
                        <w:tblW w:w="1814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6"/>
                      </w:trPr>
                      <w:tc>
                        <w:tcPr>
                          <w:tcW w:w="1814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8" w:line="195" w:lineRule="auto"/>
                            <w:ind w:left="667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控制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50" type="#_x0000_t202" style="width:1860;height:607;left:3359;position:absolute;top:167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1814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14"/>
                    </w:tblGrid>
                    <w:tr>
                      <w:tblPrEx>
                        <w:tblW w:w="1814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6"/>
                      </w:trPr>
                      <w:tc>
                        <w:tcPr>
                          <w:tcW w:w="1814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9" w:line="195" w:lineRule="auto"/>
                            <w:ind w:left="671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2"/>
                              <w:sz w:val="24"/>
                              <w:szCs w:val="24"/>
                            </w:rPr>
                            <w:t>感知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51" type="#_x0000_t202" style="width:1855;height:607;left:5413;position:absolute;top:167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1809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09"/>
                    </w:tblGrid>
                    <w:tr>
                      <w:tblPrEx>
                        <w:tblW w:w="1809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6"/>
                      </w:trPr>
                      <w:tc>
                        <w:tcPr>
                          <w:tcW w:w="1809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9" w:line="194" w:lineRule="auto"/>
                            <w:ind w:left="666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规划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467" w:lineRule="auto"/>
        <w:rPr>
          <w:rFonts w:ascii="Arial"/>
          <w:sz w:val="21"/>
        </w:rPr>
      </w:pPr>
    </w:p>
    <w:p>
      <w:pPr>
        <w:pStyle w:val="BodyText"/>
        <w:spacing w:line="572" w:lineRule="exact"/>
        <w:ind w:firstLine="4314"/>
      </w:pPr>
      <w:r>
        <w:rPr>
          <w:position w:val="-11"/>
        </w:rPr>
        <w:pict>
          <v:group id="_x0000_i1052" style="width:398.7pt;height:28.6pt;mso-position-horizontal-relative:char;mso-position-vertical-relative:line" coordorigin="0,0" coordsize="7974,572" filled="f" stroked="f">
            <v:shape id="_x0000_s1053" style="width:7959;height:557;left:5;position:absolute;top:5" coordorigin="0,0" coordsize="7959,557" path="m,556l1444,556l1444,l,l,556xem1632,556l3072,556l3072,l1632,l1632,556xem3259,556l4699,556l4699,l3259,l3259,556xem6518,556l7958,556l7958,l6518,l6518,556xem4886,556l6326,556l6326,l4886,l4886,556xe" filled="t" fillcolor="white" stroked="f"/>
            <v:shape id="_x0000_s1054" type="#_x0000_t202" style="width:8014;height:612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7958" w:type="dxa"/>
                      <w:tblInd w:w="27" w:type="dxa"/>
                      <w:tblBorders>
                        <w:top w:val="dashed" w:sz="6" w:space="0" w:color="0070C0"/>
                        <w:left w:val="single" w:sz="6" w:space="0" w:color="0070C0"/>
                        <w:bottom w:val="dashed" w:sz="6" w:space="0" w:color="0070C0"/>
                        <w:right w:val="single" w:sz="6" w:space="0" w:color="0070C0"/>
                      </w:tblBorders>
                      <w:tblLayout w:type="fixed"/>
                    </w:tblPr>
                    <w:tblGrid>
                      <w:gridCol w:w="7958"/>
                    </w:tblGrid>
                    <w:tr>
                      <w:tblPrEx>
                        <w:tblW w:w="7958" w:type="dxa"/>
                        <w:tblInd w:w="27" w:type="dxa"/>
                        <w:tblBorders>
                          <w:top w:val="dashed" w:sz="6" w:space="0" w:color="0070C0"/>
                          <w:left w:val="single" w:sz="6" w:space="0" w:color="0070C0"/>
                          <w:bottom w:val="dashed" w:sz="6" w:space="0" w:color="0070C0"/>
                          <w:right w:val="single" w:sz="6" w:space="0" w:color="0070C0"/>
                        </w:tblBorders>
                        <w:tblLayout w:type="fixed"/>
                      </w:tblPrEx>
                      <w:trPr>
                        <w:trHeight w:val="541"/>
                      </w:trPr>
                      <w:tc>
                        <w:tcPr>
                          <w:tcW w:w="7958" w:type="dxa"/>
                          <w:vAlign w:val="top"/>
                        </w:tcPr>
                        <w:p>
                          <w:pPr>
                            <w:spacing w:before="159" w:line="194" w:lineRule="auto"/>
                            <w:ind w:left="116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z w:val="24"/>
                              <w:szCs w:val="24"/>
                            </w:rPr>
                            <w:t>AI算法框架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9"/>
                              <w:sz w:val="24"/>
                              <w:szCs w:val="24"/>
                            </w:rPr>
                            <w:t xml:space="preserve">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z w:val="24"/>
                              <w:szCs w:val="24"/>
                            </w:rPr>
                            <w:t>感知模块         计算模块          云控模块         其他模块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424" w:lineRule="auto"/>
        <w:rPr>
          <w:rFonts w:ascii="Arial"/>
          <w:sz w:val="21"/>
        </w:rPr>
      </w:pPr>
    </w:p>
    <w:p>
      <w:pPr>
        <w:pStyle w:val="BodyText"/>
        <w:spacing w:line="2222" w:lineRule="exact"/>
        <w:ind w:firstLine="931"/>
      </w:pPr>
      <w:r>
        <w:rPr>
          <w:position w:val="-44"/>
        </w:rPr>
        <w:pict>
          <v:group id="_x0000_i1055" style="width:590.45pt;height:111.15pt;mso-position-horizontal-relative:char;mso-position-vertical-relative:line" coordorigin="0,0" coordsize="11809,2223" filled="f" stroked="f">
            <v:rect id="_x0000_s1056" style="width:11809;height:2223;position:absolute" filled="t" fillcolor="#f2f2f2" stroked="f"/>
            <v:shape id="_x0000_s1057" type="#_x0000_t202" style="width:8014;height:1941;left:3363;position:absolute;top:152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7958" w:type="dxa"/>
                      <w:tblInd w:w="27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7958"/>
                    </w:tblGrid>
                    <w:tr>
                      <w:tblPrEx>
                        <w:tblW w:w="7958" w:type="dxa"/>
                        <w:tblInd w:w="27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7958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5" w:line="189" w:lineRule="auto"/>
                            <w:ind w:left="1352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sz w:val="24"/>
                              <w:szCs w:val="24"/>
                            </w:rPr>
                            <w:t>中间件（通信、模块升级、任务调度、执行管理）</w:t>
                          </w:r>
                        </w:p>
                      </w:tc>
                    </w:tr>
                  </w:tbl>
                  <w:p>
                    <w:pPr>
                      <w:spacing w:line="100" w:lineRule="exact"/>
                    </w:pPr>
                  </w:p>
                  <w:tbl>
                    <w:tblPr>
                      <w:tblStyle w:val="TableNormal0"/>
                      <w:tblW w:w="7958" w:type="dxa"/>
                      <w:tblInd w:w="27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7958"/>
                    </w:tblGrid>
                    <w:tr>
                      <w:tblPrEx>
                        <w:tblW w:w="7958" w:type="dxa"/>
                        <w:tblInd w:w="27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6"/>
                      </w:trPr>
                      <w:tc>
                        <w:tcPr>
                          <w:tcW w:w="7958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70" w:line="189" w:lineRule="auto"/>
                            <w:ind w:left="1073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狭义操作系统：内核（Linux/QNX/Vxworks等RTOS）</w:t>
                          </w:r>
                        </w:p>
                      </w:tc>
                    </w:tr>
                  </w:tbl>
                  <w:p>
                    <w:pPr>
                      <w:spacing w:line="95" w:lineRule="exact"/>
                    </w:pPr>
                  </w:p>
                  <w:tbl>
                    <w:tblPr>
                      <w:tblStyle w:val="TableNormal0"/>
                      <w:tblW w:w="7958" w:type="dxa"/>
                      <w:tblInd w:w="27" w:type="dxa"/>
                      <w:tblBorders>
                        <w:top w:val="dashed" w:sz="6" w:space="0" w:color="0070C0"/>
                        <w:left w:val="single" w:sz="6" w:space="0" w:color="0070C0"/>
                        <w:bottom w:val="dashed" w:sz="6" w:space="0" w:color="0070C0"/>
                        <w:right w:val="single" w:sz="6" w:space="0" w:color="0070C0"/>
                      </w:tblBorders>
                      <w:shd w:val="clear" w:color="auto" w:fill="FFFFFF"/>
                      <w:tblLayout w:type="fixed"/>
                    </w:tblPr>
                    <w:tblGrid>
                      <w:gridCol w:w="7958"/>
                    </w:tblGrid>
                    <w:tr>
                      <w:tblPrEx>
                        <w:tblW w:w="7958" w:type="dxa"/>
                        <w:tblInd w:w="27" w:type="dxa"/>
                        <w:tblBorders>
                          <w:top w:val="dashed" w:sz="6" w:space="0" w:color="0070C0"/>
                          <w:left w:val="single" w:sz="6" w:space="0" w:color="0070C0"/>
                          <w:bottom w:val="dashed" w:sz="6" w:space="0" w:color="0070C0"/>
                          <w:right w:val="single" w:sz="6" w:space="0" w:color="0070C0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46"/>
                      </w:trPr>
                      <w:tc>
                        <w:tcPr>
                          <w:tcW w:w="7958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4" w:line="178" w:lineRule="auto"/>
                            <w:ind w:left="921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-15"/>
                              <w:sz w:val="24"/>
                              <w:szCs w:val="24"/>
                            </w:rPr>
                            <w:t>硬件抽象层：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23"/>
                              <w:sz w:val="24"/>
                              <w:szCs w:val="24"/>
                            </w:rPr>
                            <w:t xml:space="preserve">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-15"/>
                              <w:sz w:val="24"/>
                              <w:szCs w:val="24"/>
                            </w:rPr>
                            <w:t>Hypervisor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24"/>
                              <w:w w:val="101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-15"/>
                              <w:sz w:val="24"/>
                              <w:szCs w:val="24"/>
                            </w:rPr>
                            <w:t>（虚拟化）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18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-15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-16"/>
                              <w:sz w:val="24"/>
                              <w:szCs w:val="24"/>
                            </w:rPr>
                            <w:t>BSP  （板级支持包）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58" type="#_x0000_t202" style="width:1321;height:382;left:1026;position:absolute;top:842" filled="f" stroked="f">
              <o:lock v:ext="edit" aspectratio="f"/>
              <v:textbox inset="0,0,0,0">
                <w:txbxContent>
                  <w:p>
                    <w:pPr>
                      <w:spacing w:before="19" w:line="195" w:lineRule="auto"/>
                      <w:ind w:left="20"/>
                      <w:rPr>
                        <w:rFonts w:ascii="Microsoft YaHei" w:eastAsia="Microsoft YaHei" w:hAnsi="Microsoft YaHei" w:cs="Microsoft YaHei"/>
                        <w:sz w:val="32"/>
                        <w:szCs w:val="3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z w:val="32"/>
                        <w:szCs w:val="32"/>
                      </w:rPr>
                      <w:t>系统软件</w:t>
                    </w:r>
                  </w:p>
                </w:txbxContent>
              </v:textbox>
            </v:shape>
            <v:shape id="_x0000_s1059" style="width:349;height:389;left:11409;position:absolute;top:1600" coordorigin="0,0" coordsize="349,389" path="m2,97l345,97l345,m345,388l345,291l2,291l2,97e" filled="f" strokecolor="#5b9bd5" strokeweight="0.25pt">
              <v:stroke joinstyle="miter"/>
            </v:shape>
            <w10:wrap type="none"/>
          </v:group>
        </w:pict>
      </w:r>
    </w:p>
    <w:p>
      <w:pPr>
        <w:pStyle w:val="BodyText"/>
        <w:spacing w:before="182" w:line="1512" w:lineRule="exact"/>
        <w:ind w:firstLine="931"/>
      </w:pPr>
      <w:r>
        <w:rPr>
          <w:position w:val="-30"/>
        </w:rPr>
        <w:pict>
          <v:group id="_x0000_i1060" style="width:589.95pt;height:75.6pt;mso-position-horizontal-relative:char;mso-position-vertical-relative:line" coordorigin="0,0" coordsize="11799,1511" filled="f" stroked="f">
            <v:rect id="_x0000_s1061" style="width:11799;height:1511;position:absolute" filled="t" fillcolor="#f2f2f2" stroked="f"/>
            <v:shape id="_x0000_s1062" type="#_x0000_t202" style="width:8004;height:1283;left:3368;position:absolute;top:11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4113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4113"/>
                    </w:tblGrid>
                    <w:tr>
                      <w:tblPrEx>
                        <w:tblW w:w="4113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4113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8" w:line="189" w:lineRule="auto"/>
                            <w:ind w:left="151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24"/>
                              <w:szCs w:val="24"/>
                            </w:rPr>
                            <w:t>计算单元（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  <w:t>CPU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  <w:t>GPU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  <w:t>ASIC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24"/>
                              <w:szCs w:val="24"/>
                            </w:rPr>
                            <w:t>/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  <w:t>FPGA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24"/>
                              <w:szCs w:val="24"/>
                            </w:rPr>
                            <w:t>)</w:t>
                          </w:r>
                        </w:p>
                      </w:tc>
                    </w:tr>
                  </w:tbl>
                  <w:p>
                    <w:pPr>
                      <w:spacing w:line="119" w:lineRule="exact"/>
                    </w:pPr>
                  </w:p>
                  <w:tbl>
                    <w:tblPr>
                      <w:tblStyle w:val="TableNormal0"/>
                      <w:tblW w:w="7958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7958"/>
                    </w:tblGrid>
                    <w:tr>
                      <w:tblPrEx>
                        <w:tblW w:w="7958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7958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46" w:line="164" w:lineRule="auto"/>
                            <w:ind w:left="3495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域控制器</w:t>
                          </w:r>
                        </w:p>
                        <w:p>
                          <w:pPr>
                            <w:spacing w:line="212" w:lineRule="exact"/>
                            <w:ind w:left="3371"/>
                            <w:rPr>
                              <w:rFonts w:ascii="Microsoft YaHei" w:eastAsia="Microsoft YaHei" w:hAnsi="Microsoft YaHei" w:cs="Microsoft YaHe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A6A6A6"/>
                              <w:spacing w:val="1"/>
                              <w:position w:val="-1"/>
                              <w:sz w:val="20"/>
                              <w:szCs w:val="20"/>
                            </w:rPr>
                            <w:t>承载系统硬件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63" type="#_x0000_t202" style="width:3785;height:602;left:7587;position:absolute;top:11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3739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3739"/>
                    </w:tblGrid>
                    <w:tr>
                      <w:tblPrEx>
                        <w:tblW w:w="3739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3739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9" w:line="194" w:lineRule="auto"/>
                            <w:ind w:left="1105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控制单元MCU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64" type="#_x0000_t202" style="width:1321;height:382;left:1025;position:absolute;top:649" filled="f" stroked="f">
              <o:lock v:ext="edit" aspectratio="f"/>
              <v:textbox inset="0,0,0,0">
                <w:txbxContent>
                  <w:p>
                    <w:pPr>
                      <w:spacing w:before="19" w:line="195" w:lineRule="auto"/>
                      <w:ind w:left="20"/>
                      <w:rPr>
                        <w:rFonts w:ascii="Microsoft YaHei" w:eastAsia="Microsoft YaHei" w:hAnsi="Microsoft YaHei" w:cs="Microsoft YaHei"/>
                        <w:sz w:val="32"/>
                        <w:szCs w:val="3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z w:val="32"/>
                        <w:szCs w:val="32"/>
                      </w:rPr>
                      <w:t>系统硬件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68" w:line="831" w:lineRule="exact"/>
        <w:ind w:firstLine="940"/>
        <w:sectPr>
          <w:headerReference w:type="default" r:id="rId28"/>
          <w:footerReference w:type="default" r:id="rId29"/>
          <w:pgSz w:w="19200" w:h="10800"/>
          <w:pgMar w:top="400" w:right="0" w:bottom="288" w:left="0" w:header="0" w:footer="73" w:gutter="0"/>
          <w:pgNumType w:start="7"/>
          <w:cols w:space="708"/>
        </w:sectPr>
      </w:pPr>
      <w:r>
        <w:rPr>
          <w:position w:val="-16"/>
        </w:rPr>
        <w:pict>
          <v:group id="_x0000_i1065" style="width:589.95pt;height:41.55pt;mso-position-horizontal-relative:char;mso-position-vertical-relative:line" coordorigin="0,0" coordsize="11799,830" filled="f" stroked="f">
            <v:rect id="_x0000_s1066" style="width:11799;height:830;position:absolute" filled="t" fillcolor="#f2f2f2" stroked="f"/>
            <v:shape id="_x0000_s1067" type="#_x0000_t202" style="width:8009;height:612;left:3358;position:absolute;top:114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0"/>
                      <w:tblW w:w="7953" w:type="dxa"/>
                      <w:tblInd w:w="27" w:type="dxa"/>
                      <w:tblBorders>
                        <w:top w:val="dashed" w:sz="6" w:space="0" w:color="0070C0"/>
                        <w:left w:val="single" w:sz="6" w:space="0" w:color="0070C0"/>
                        <w:bottom w:val="dashed" w:sz="6" w:space="0" w:color="0070C0"/>
                        <w:right w:val="single" w:sz="6" w:space="0" w:color="0070C0"/>
                      </w:tblBorders>
                      <w:shd w:val="clear" w:color="auto" w:fill="FFFFFF"/>
                      <w:tblLayout w:type="fixed"/>
                    </w:tblPr>
                    <w:tblGrid>
                      <w:gridCol w:w="7953"/>
                    </w:tblGrid>
                    <w:tr>
                      <w:tblPrEx>
                        <w:tblW w:w="7953" w:type="dxa"/>
                        <w:tblInd w:w="27" w:type="dxa"/>
                        <w:tblBorders>
                          <w:top w:val="dashed" w:sz="6" w:space="0" w:color="0070C0"/>
                          <w:left w:val="single" w:sz="6" w:space="0" w:color="0070C0"/>
                          <w:bottom w:val="dashed" w:sz="6" w:space="0" w:color="0070C0"/>
                          <w:right w:val="single" w:sz="6" w:space="0" w:color="0070C0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41"/>
                      </w:trPr>
                      <w:tc>
                        <w:tcPr>
                          <w:tcW w:w="7953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2" w:line="194" w:lineRule="auto"/>
                            <w:ind w:left="236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1"/>
                              <w:sz w:val="24"/>
                              <w:szCs w:val="24"/>
                            </w:rPr>
                            <w:t>摄像头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12"/>
                              <w:sz w:val="24"/>
                              <w:szCs w:val="24"/>
                            </w:rPr>
                            <w:t xml:space="preserve">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1"/>
                              <w:sz w:val="24"/>
                              <w:szCs w:val="24"/>
                            </w:rPr>
                            <w:t xml:space="preserve">毫米波雷达    激光雷达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z w:val="24"/>
                              <w:szCs w:val="24"/>
                            </w:rPr>
                            <w:t>GPS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1"/>
                              <w:sz w:val="24"/>
                              <w:szCs w:val="24"/>
                            </w:rPr>
                            <w:t>&amp;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z w:val="24"/>
                              <w:szCs w:val="24"/>
                            </w:rPr>
                            <w:t>IMU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pacing w:val="1"/>
                              <w:sz w:val="24"/>
                              <w:szCs w:val="24"/>
                            </w:rPr>
                            <w:t xml:space="preserve">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color w:val="D9D9D9"/>
                              <w:sz w:val="24"/>
                              <w:szCs w:val="24"/>
                            </w:rPr>
                            <w:t>V2X           其他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68" type="#_x0000_t202" style="width:1000;height:382;left:1173;position:absolute;top:246" filled="f" stroked="f">
              <o:lock v:ext="edit" aspectratio="f"/>
              <v:textbox inset="0,0,0,0">
                <w:txbxContent>
                  <w:p>
                    <w:pPr>
                      <w:spacing w:before="20" w:line="194" w:lineRule="auto"/>
                      <w:ind w:left="20"/>
                      <w:rPr>
                        <w:rFonts w:ascii="Microsoft YaHei" w:eastAsia="Microsoft YaHei" w:hAnsi="Microsoft YaHei" w:cs="Microsoft YaHei"/>
                        <w:sz w:val="32"/>
                        <w:szCs w:val="3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z w:val="32"/>
                        <w:szCs w:val="32"/>
                      </w:rPr>
                      <w:t>传感器</w:t>
                    </w:r>
                  </w:p>
                </w:txbxContent>
              </v:textbox>
            </v:shape>
            <v:shape id="_x0000_s1069" style="width:349;height:389;left:11399;position:absolute;top:223" coordorigin="0,0" coordsize="349,389" path="m2,97l345,97l345,m345,388l345,291l2,291l2,97e" filled="f" strokecolor="#5b9bd5" strokeweight="0.25pt">
              <v:stroke joinstyle="miter"/>
            </v:shape>
            <w10:wrap type="none"/>
          </v:group>
        </w:pict>
      </w:r>
    </w:p>
    <w:p>
      <w:pPr>
        <w:pStyle w:val="BodyText"/>
        <w:spacing w:before="221" w:line="835" w:lineRule="exact"/>
        <w:ind w:firstLine="931"/>
      </w:pPr>
      <w:r>
        <w:rPr>
          <w:position w:val="-16"/>
        </w:rPr>
        <w:pict>
          <v:group id="_x0000_i1070" style="width:589.95pt;height:41.8pt;mso-position-horizontal-relative:char;mso-position-vertical-relative:line" coordorigin="0,0" coordsize="11799,835" filled="f" stroked="f">
            <v:rect id="_x0000_s1071" style="width:11799;height:835;position:absolute" filled="t" fillcolor="#f2f2f2" stroked="f"/>
            <v:shape id="_x0000_s1072" type="#_x0000_t202" style="width:1860;height:602;left:7472;position:absolute;top:119" filled="f" stroked="f">
              <o:lock v:ext="edit" aspectratio="f"/>
              <v:textbox inset="0,0,0,0">
                <w:txbxContent>
                  <w:p>
                    <w:pPr>
                      <w:spacing w:line="19" w:lineRule="exact"/>
                    </w:pPr>
                  </w:p>
                  <w:tbl>
                    <w:tblPr>
                      <w:tblStyle w:val="TableNormal1"/>
                      <w:tblW w:w="1814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14"/>
                    </w:tblGrid>
                    <w:tr>
                      <w:tblPrEx>
                        <w:tblW w:w="1814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1814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9" w:line="194" w:lineRule="auto"/>
                            <w:ind w:left="427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仿真测试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73" type="#_x0000_t202" style="width:2288;height:632;left:689;position:absolute;top:182" filled="f" stroked="f">
              <o:lock v:ext="edit" aspectratio="f"/>
              <v:textbox inset="0,0,0,0">
                <w:txbxContent>
                  <w:p>
                    <w:pPr>
                      <w:spacing w:before="19" w:line="161" w:lineRule="auto"/>
                      <w:ind w:left="20"/>
                      <w:rPr>
                        <w:rFonts w:ascii="Microsoft YaHei" w:eastAsia="Microsoft YaHei" w:hAnsi="Microsoft YaHei" w:cs="Microsoft YaHei"/>
                        <w:sz w:val="32"/>
                        <w:szCs w:val="32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b/>
                        <w:bCs/>
                        <w:spacing w:val="1"/>
                        <w:sz w:val="32"/>
                        <w:szCs w:val="32"/>
                      </w:rPr>
                      <w:t>数据闭环工具链</w:t>
                    </w:r>
                  </w:p>
                  <w:p>
                    <w:pPr>
                      <w:spacing w:line="190" w:lineRule="auto"/>
                      <w:ind w:left="434"/>
                      <w:rPr>
                        <w:rFonts w:ascii="Microsoft YaHei" w:eastAsia="Microsoft YaHei" w:hAnsi="Microsoft YaHei" w:cs="Microsoft YaHei"/>
                        <w:sz w:val="21"/>
                        <w:szCs w:val="21"/>
                      </w:rPr>
                    </w:pPr>
                    <w:r>
                      <w:rPr>
                        <w:rFonts w:ascii="Microsoft YaHei" w:eastAsia="Microsoft YaHei" w:hAnsi="Microsoft YaHei" w:cs="Microsoft YaHei"/>
                        <w:color w:val="7F7F7F"/>
                        <w:spacing w:val="-8"/>
                        <w:sz w:val="21"/>
                        <w:szCs w:val="21"/>
                      </w:rPr>
                      <w:t>（贯穿全板块）</w:t>
                    </w:r>
                  </w:p>
                </w:txbxContent>
              </v:textbox>
            </v:shape>
            <v:shape id="_x0000_s1074" type="#_x0000_t202" style="width:1860;height:602;left:3368;position:absolute;top:119" filled="f" stroked="f">
              <o:lock v:ext="edit" aspectratio="f"/>
              <v:textbox inset="0,0,0,0">
                <w:txbxContent>
                  <w:p>
                    <w:pPr>
                      <w:spacing w:line="19" w:lineRule="exact"/>
                    </w:pPr>
                  </w:p>
                  <w:tbl>
                    <w:tblPr>
                      <w:tblStyle w:val="TableNormal1"/>
                      <w:tblW w:w="1814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14"/>
                    </w:tblGrid>
                    <w:tr>
                      <w:tblPrEx>
                        <w:tblW w:w="1814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1814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9" w:line="193" w:lineRule="auto"/>
                            <w:ind w:left="428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数据采集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75" type="#_x0000_t202" style="width:1860;height:602;left:9512;position:absolute;top:119" filled="f" stroked="f">
              <o:lock v:ext="edit" aspectratio="f"/>
              <v:textbox inset="0,0,0,0">
                <w:txbxContent>
                  <w:p>
                    <w:pPr>
                      <w:spacing w:line="19" w:lineRule="exact"/>
                    </w:pPr>
                  </w:p>
                  <w:tbl>
                    <w:tblPr>
                      <w:tblStyle w:val="TableNormal1"/>
                      <w:tblW w:w="1814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14"/>
                    </w:tblGrid>
                    <w:tr>
                      <w:tblPrEx>
                        <w:tblW w:w="1814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1814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69" w:line="194" w:lineRule="auto"/>
                            <w:ind w:left="429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实车测试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v:shape id="_x0000_s1076" type="#_x0000_t202" style="width:1855;height:602;left:5423;position:absolute;top:119" filled="f" stroked="f">
              <o:lock v:ext="edit" aspectratio="f"/>
              <v:textbox inset="0,0,0,0">
                <w:txbxContent>
                  <w:p>
                    <w:pPr>
                      <w:spacing w:line="19" w:lineRule="exact"/>
                    </w:pPr>
                  </w:p>
                  <w:tbl>
                    <w:tblPr>
                      <w:tblStyle w:val="TableNormal1"/>
                      <w:tblW w:w="1809" w:type="dxa"/>
                      <w:tblInd w:w="22" w:type="dxa"/>
                      <w:tblBorders>
                        <w:top w:val="single" w:sz="2" w:space="0" w:color="0D0D0D"/>
                        <w:left w:val="single" w:sz="2" w:space="0" w:color="0D0D0D"/>
                        <w:bottom w:val="single" w:sz="2" w:space="0" w:color="0D0D0D"/>
                        <w:right w:val="single" w:sz="2" w:space="0" w:color="0D0D0D"/>
                      </w:tblBorders>
                      <w:shd w:val="clear" w:color="auto" w:fill="FFFFFF"/>
                      <w:tblLayout w:type="fixed"/>
                    </w:tblPr>
                    <w:tblGrid>
                      <w:gridCol w:w="1809"/>
                    </w:tblGrid>
                    <w:tr>
                      <w:tblPrEx>
                        <w:tblW w:w="1809" w:type="dxa"/>
                        <w:tblInd w:w="22" w:type="dxa"/>
                        <w:tblBorders>
                          <w:top w:val="single" w:sz="2" w:space="0" w:color="0D0D0D"/>
                          <w:left w:val="single" w:sz="2" w:space="0" w:color="0D0D0D"/>
                          <w:bottom w:val="single" w:sz="2" w:space="0" w:color="0D0D0D"/>
                          <w:right w:val="single" w:sz="2" w:space="0" w:color="0D0D0D"/>
                        </w:tblBorders>
                        <w:shd w:val="clear" w:color="auto" w:fill="FFFFFF"/>
                        <w:tblLayout w:type="fixed"/>
                      </w:tblPrEx>
                      <w:trPr>
                        <w:trHeight w:val="551"/>
                      </w:trPr>
                      <w:tc>
                        <w:tcPr>
                          <w:tcW w:w="1809" w:type="dxa"/>
                          <w:shd w:val="clear" w:color="auto" w:fill="FFFFFF"/>
                          <w:vAlign w:val="top"/>
                        </w:tcPr>
                        <w:p>
                          <w:pPr>
                            <w:spacing w:before="170" w:line="194" w:lineRule="auto"/>
                            <w:ind w:left="187"/>
                            <w:rPr>
                              <w:rFonts w:ascii="Microsoft YaHei" w:eastAsia="Microsoft YaHei" w:hAnsi="Microsoft YaHei" w:cs="Microsoft Ya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24"/>
                              <w:szCs w:val="24"/>
                            </w:rPr>
                            <w:t>感知模型训练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835" w:lineRule="exact"/>
        <w:sectPr>
          <w:headerReference w:type="default" r:id="rId30"/>
          <w:footerReference w:type="default" r:id="rId31"/>
          <w:type w:val="nextPage"/>
          <w:pgSz w:w="19200" w:h="10800"/>
          <w:pgMar w:top="400" w:right="0" w:bottom="288" w:left="0" w:header="0" w:footer="73" w:gutter="0"/>
          <w:pgNumType w:start="8"/>
          <w:cols w:space="708"/>
          <w:titlePg w:val="0"/>
        </w:sectPr>
      </w:pPr>
    </w:p>
    <w:p>
      <w:pPr>
        <w:spacing w:line="260" w:lineRule="auto"/>
        <w:rPr>
          <w:rFonts w:ascii="Arial"/>
          <w:sz w:val="21"/>
        </w:rPr>
      </w:pPr>
      <w:r>
        <w:pict>
          <v:shape id="_x0000_s1077" type="#_x0000_t202" style="width:78.05pt;height:52pt;margin-top:239.53pt;margin-left:82.94pt;mso-position-horizontal-relative:page;mso-position-vertical-relative:page;position:absolute;z-index:25167872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1" w:line="194" w:lineRule="auto"/>
                    <w:ind w:left="20"/>
                    <w:outlineLvl w:val="0"/>
                    <w:rPr>
                      <w:sz w:val="72"/>
                      <w:szCs w:val="72"/>
                    </w:rPr>
                  </w:pPr>
                  <w:r>
                    <w:rPr>
                      <w:b/>
                      <w:bCs/>
                      <w:color w:val="2F5597"/>
                      <w:spacing w:val="45"/>
                      <w:sz w:val="72"/>
                      <w:szCs w:val="72"/>
                    </w:rPr>
                    <w:t>目录</w:t>
                  </w:r>
                </w:p>
              </w:txbxContent>
            </v:textbox>
          </v:shape>
        </w:pict>
      </w:r>
    </w:p>
    <w:p>
      <w:pPr>
        <w:spacing w:line="261" w:lineRule="auto"/>
        <w:rPr>
          <w:rFonts w:ascii="Arial"/>
          <w:sz w:val="21"/>
        </w:rPr>
      </w:pPr>
    </w:p>
    <w:p>
      <w:pPr>
        <w:pStyle w:val="BodyText"/>
        <w:spacing w:before="167" w:line="197" w:lineRule="auto"/>
        <w:ind w:left="2288"/>
        <w:rPr>
          <w:sz w:val="39"/>
          <w:szCs w:val="39"/>
        </w:rPr>
      </w:pPr>
      <w:r>
        <w:rPr>
          <w:b/>
          <w:bCs/>
          <w:color w:val="0070C0"/>
          <w:spacing w:val="-6"/>
          <w:sz w:val="39"/>
          <w:szCs w:val="39"/>
        </w:rPr>
        <w:t>Part2：车企   “自研”各模块的涵义</w:t>
      </w:r>
    </w:p>
    <w:p>
      <w:pPr>
        <w:pStyle w:val="BodyText"/>
        <w:spacing w:before="130" w:line="168" w:lineRule="auto"/>
        <w:ind w:left="2635"/>
        <w:rPr>
          <w:sz w:val="24"/>
          <w:szCs w:val="24"/>
        </w:rPr>
      </w:pPr>
      <w:r>
        <w:rPr>
          <w:color w:val="0070C0"/>
          <w:spacing w:val="-1"/>
          <w:sz w:val="24"/>
          <w:szCs w:val="24"/>
        </w:rPr>
        <w:t>车企自研各个模块的主要原因</w:t>
      </w:r>
    </w:p>
    <w:p>
      <w:pPr>
        <w:pStyle w:val="BodyText"/>
        <w:spacing w:before="1" w:line="165" w:lineRule="auto"/>
        <w:ind w:left="2643"/>
        <w:rPr>
          <w:sz w:val="24"/>
          <w:szCs w:val="24"/>
        </w:rPr>
      </w:pPr>
      <w:r>
        <w:rPr>
          <w:color w:val="0070C0"/>
          <w:spacing w:val="-6"/>
          <w:sz w:val="24"/>
          <w:szCs w:val="24"/>
        </w:rPr>
        <w:t>2.1 应用层算法：</w:t>
      </w:r>
    </w:p>
    <w:p>
      <w:pPr>
        <w:pStyle w:val="BodyText"/>
        <w:spacing w:before="1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pacing w:val="-2"/>
          <w:sz w:val="22"/>
          <w:szCs w:val="22"/>
        </w:rPr>
        <w:t>•</w:t>
      </w:r>
      <w:r>
        <w:rPr>
          <w:rFonts w:ascii="Arial" w:eastAsia="Arial" w:hAnsi="Arial" w:cs="Arial"/>
          <w:color w:val="0070C0"/>
          <w:spacing w:val="5"/>
          <w:sz w:val="22"/>
          <w:szCs w:val="22"/>
        </w:rPr>
        <w:t xml:space="preserve">      </w:t>
      </w:r>
      <w:r>
        <w:rPr>
          <w:color w:val="0070C0"/>
          <w:spacing w:val="-2"/>
          <w:sz w:val="22"/>
          <w:szCs w:val="22"/>
        </w:rPr>
        <w:t>自动驾驶各功能模块发展现状</w:t>
      </w:r>
    </w:p>
    <w:p>
      <w:pPr>
        <w:pStyle w:val="BodyText"/>
        <w:spacing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车企自研算法的主要原因</w:t>
      </w:r>
    </w:p>
    <w:p>
      <w:pPr>
        <w:pStyle w:val="BodyText"/>
        <w:spacing w:before="1" w:line="170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不同车企对自动驾驶算法的布局</w:t>
      </w:r>
    </w:p>
    <w:p>
      <w:pPr>
        <w:pStyle w:val="BodyText"/>
        <w:spacing w:before="1" w:line="165" w:lineRule="auto"/>
        <w:ind w:left="2643"/>
        <w:rPr>
          <w:sz w:val="24"/>
          <w:szCs w:val="24"/>
        </w:rPr>
      </w:pPr>
      <w:r>
        <w:rPr>
          <w:color w:val="0070C0"/>
          <w:spacing w:val="-10"/>
          <w:sz w:val="24"/>
          <w:szCs w:val="24"/>
        </w:rPr>
        <w:t>2.2</w:t>
      </w:r>
      <w:r>
        <w:rPr>
          <w:color w:val="0070C0"/>
          <w:spacing w:val="24"/>
          <w:sz w:val="24"/>
          <w:szCs w:val="24"/>
        </w:rPr>
        <w:t xml:space="preserve"> </w:t>
      </w:r>
      <w:r>
        <w:rPr>
          <w:color w:val="0070C0"/>
          <w:spacing w:val="-10"/>
          <w:sz w:val="24"/>
          <w:szCs w:val="24"/>
        </w:rPr>
        <w:t>中间件：</w:t>
      </w:r>
    </w:p>
    <w:p>
      <w:pPr>
        <w:pStyle w:val="BodyText"/>
        <w:spacing w:before="2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关于车企是否自研自动驾驶中间件的观点争议</w:t>
      </w:r>
    </w:p>
    <w:p>
      <w:pPr>
        <w:pStyle w:val="BodyText"/>
        <w:spacing w:before="1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自研原因——部分供应商产品存在诸多问题</w:t>
      </w:r>
    </w:p>
    <w:p>
      <w:pPr>
        <w:pStyle w:val="BodyText"/>
        <w:spacing w:before="1" w:line="170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车企自研中间件的难点及未来可能的布局方式</w:t>
      </w:r>
    </w:p>
    <w:p>
      <w:pPr>
        <w:pStyle w:val="BodyText"/>
        <w:spacing w:before="1" w:line="165" w:lineRule="auto"/>
        <w:ind w:left="2643"/>
        <w:rPr>
          <w:sz w:val="24"/>
          <w:szCs w:val="24"/>
        </w:rPr>
      </w:pPr>
      <w:r>
        <w:rPr>
          <w:color w:val="0070C0"/>
          <w:spacing w:val="-7"/>
          <w:sz w:val="24"/>
          <w:szCs w:val="24"/>
        </w:rPr>
        <w:t>2.3</w:t>
      </w:r>
      <w:r>
        <w:rPr>
          <w:color w:val="0070C0"/>
          <w:spacing w:val="10"/>
          <w:sz w:val="24"/>
          <w:szCs w:val="24"/>
        </w:rPr>
        <w:t xml:space="preserve"> </w:t>
      </w:r>
      <w:r>
        <w:rPr>
          <w:color w:val="0070C0"/>
          <w:spacing w:val="-7"/>
          <w:sz w:val="24"/>
          <w:szCs w:val="24"/>
        </w:rPr>
        <w:t>OS内核：</w:t>
      </w:r>
    </w:p>
    <w:p>
      <w:pPr>
        <w:pStyle w:val="BodyText"/>
        <w:spacing w:before="2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车企自研内核的主要原因</w:t>
      </w:r>
    </w:p>
    <w:p>
      <w:pPr>
        <w:pStyle w:val="BodyText"/>
        <w:spacing w:before="1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车企自研自动驾驶OS内核的主要难点</w:t>
      </w:r>
    </w:p>
    <w:p>
      <w:pPr>
        <w:pStyle w:val="BodyText"/>
        <w:spacing w:before="1" w:line="170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车企对于不同自动驾驶OS内核的选择</w:t>
      </w:r>
    </w:p>
    <w:p>
      <w:pPr>
        <w:pStyle w:val="BodyText"/>
        <w:spacing w:before="1" w:line="165" w:lineRule="auto"/>
        <w:ind w:left="2643"/>
        <w:rPr>
          <w:sz w:val="24"/>
          <w:szCs w:val="24"/>
        </w:rPr>
      </w:pPr>
      <w:r>
        <w:rPr>
          <w:color w:val="0070C0"/>
          <w:spacing w:val="-7"/>
          <w:sz w:val="24"/>
          <w:szCs w:val="24"/>
        </w:rPr>
        <w:t>2.4</w:t>
      </w:r>
      <w:r>
        <w:rPr>
          <w:color w:val="0070C0"/>
          <w:spacing w:val="16"/>
          <w:sz w:val="24"/>
          <w:szCs w:val="24"/>
        </w:rPr>
        <w:t xml:space="preserve"> </w:t>
      </w:r>
      <w:r>
        <w:rPr>
          <w:color w:val="0070C0"/>
          <w:spacing w:val="-7"/>
          <w:sz w:val="24"/>
          <w:szCs w:val="24"/>
        </w:rPr>
        <w:t>SoC芯片：</w:t>
      </w:r>
    </w:p>
    <w:p>
      <w:pPr>
        <w:pStyle w:val="BodyText"/>
        <w:spacing w:before="1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车企自研智驾芯片的主要原因</w:t>
      </w:r>
    </w:p>
    <w:p>
      <w:pPr>
        <w:pStyle w:val="BodyText"/>
        <w:spacing w:before="1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车企自研智驾芯片所需的能力</w:t>
      </w:r>
    </w:p>
    <w:p>
      <w:pPr>
        <w:pStyle w:val="BodyText"/>
        <w:spacing w:before="1" w:line="170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不同车企自研芯片的分工模式</w:t>
      </w:r>
    </w:p>
    <w:p>
      <w:pPr>
        <w:pStyle w:val="BodyText"/>
        <w:spacing w:before="1" w:line="165" w:lineRule="auto"/>
        <w:ind w:left="2643"/>
        <w:rPr>
          <w:sz w:val="24"/>
          <w:szCs w:val="24"/>
        </w:rPr>
      </w:pPr>
      <w:r>
        <w:rPr>
          <w:color w:val="0070C0"/>
          <w:spacing w:val="-6"/>
          <w:sz w:val="24"/>
          <w:szCs w:val="24"/>
        </w:rPr>
        <w:t>2.5 域控制器：</w:t>
      </w:r>
    </w:p>
    <w:p>
      <w:pPr>
        <w:pStyle w:val="BodyText"/>
        <w:spacing w:before="2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车企自研自动驾驶域控制器的主要原因</w:t>
      </w:r>
    </w:p>
    <w:p>
      <w:pPr>
        <w:pStyle w:val="BodyText"/>
        <w:spacing w:before="1" w:line="167" w:lineRule="auto"/>
        <w:ind w:left="3361"/>
        <w:rPr>
          <w:sz w:val="22"/>
          <w:szCs w:val="22"/>
        </w:rPr>
        <w:sectPr>
          <w:headerReference w:type="default" r:id="rId32"/>
          <w:footerReference w:type="default" r:id="rId33"/>
          <w:pgSz w:w="19200" w:h="10800"/>
          <w:pgMar w:top="400" w:right="2880" w:bottom="400" w:left="1678" w:header="0" w:footer="0" w:gutter="0"/>
          <w:pgNumType w:start="9"/>
          <w:cols w:space="708"/>
        </w:sect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车企自研智驾芯片所需的能力与投入</w:t>
      </w:r>
    </w:p>
    <w:p>
      <w:pPr>
        <w:pStyle w:val="BodyText"/>
        <w:spacing w:before="1" w:line="170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不同车企布局自动驾驶域控制器的方式</w:t>
      </w:r>
    </w:p>
    <w:p>
      <w:pPr>
        <w:pStyle w:val="BodyText"/>
        <w:spacing w:before="1" w:line="165" w:lineRule="auto"/>
        <w:ind w:left="2643"/>
        <w:rPr>
          <w:sz w:val="24"/>
          <w:szCs w:val="24"/>
        </w:rPr>
      </w:pPr>
      <w:r>
        <w:rPr>
          <w:color w:val="0070C0"/>
          <w:spacing w:val="-6"/>
          <w:sz w:val="24"/>
          <w:szCs w:val="24"/>
        </w:rPr>
        <w:t>2.6 工具链：</w:t>
      </w:r>
    </w:p>
    <w:p>
      <w:pPr>
        <w:pStyle w:val="BodyText"/>
        <w:spacing w:before="2" w:line="167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自研原因——部分供应商产品存在诸多问题</w:t>
      </w:r>
    </w:p>
    <w:p>
      <w:pPr>
        <w:pStyle w:val="BodyText"/>
        <w:spacing w:line="193" w:lineRule="auto"/>
        <w:ind w:left="3361"/>
        <w:rPr>
          <w:sz w:val="22"/>
          <w:szCs w:val="22"/>
        </w:rPr>
      </w:pPr>
      <w:r>
        <w:rPr>
          <w:rFonts w:ascii="Arial" w:eastAsia="Arial" w:hAnsi="Arial" w:cs="Arial"/>
          <w:color w:val="0070C0"/>
          <w:sz w:val="22"/>
          <w:szCs w:val="22"/>
        </w:rPr>
        <w:t xml:space="preserve">•      </w:t>
      </w:r>
      <w:r>
        <w:rPr>
          <w:color w:val="0070C0"/>
          <w:sz w:val="22"/>
          <w:szCs w:val="22"/>
        </w:rPr>
        <w:t>车企对数据闭环工具链的布局</w:t>
      </w:r>
    </w:p>
    <w:p>
      <w:pPr>
        <w:spacing w:line="193" w:lineRule="auto"/>
        <w:rPr>
          <w:sz w:val="22"/>
          <w:szCs w:val="22"/>
        </w:rPr>
      </w:pPr>
      <w:r>
        <w:rPr>
          <w:sz w:val="22"/>
          <w:szCs w:val="22"/>
        </w:rPr>
        <w:br/>
      </w:r>
      <w:r>
        <w:rPr>
          <w:sz w:val="22"/>
          <w:szCs w:val="2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https://d.book118.com/606054104133010042</w:t>
        </w:r>
      </w:hyperlink>
    </w:p>
    <w:p>
      <w:pPr>
        <w:spacing w:line="193" w:lineRule="auto"/>
        <w:rPr>
          <w:sz w:val="22"/>
          <w:szCs w:val="22"/>
        </w:rPr>
      </w:pPr>
    </w:p>
    <w:sectPr>
      <w:headerReference w:type="default" r:id="rId35"/>
      <w:footerReference w:type="default" r:id="rId36"/>
      <w:type w:val="nextPage"/>
      <w:pgSz w:w="19200" w:h="10800"/>
      <w:pgMar w:top="400" w:right="2880" w:bottom="400" w:left="1678" w:header="0" w:footer="0" w:gutter="0"/>
      <w:pgNumType w:start="10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0" w:lineRule="auto"/>
      <w:ind w:left="8254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color w:val="595959"/>
        <w:sz w:val="24"/>
        <w:szCs w:val="24"/>
      </w:rPr>
      <w:t>2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9192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color w:val="595959"/>
        <w:sz w:val="24"/>
        <w:szCs w:val="24"/>
      </w:rPr>
      <w:t>5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8" w:lineRule="auto"/>
      <w:ind w:left="9192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color w:val="595959"/>
        <w:sz w:val="24"/>
        <w:szCs w:val="24"/>
      </w:rPr>
      <w:t>5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49" style="width:960pt;height:540pt;margin-top:0;margin-left:0;mso-position-horizontal-relative:page;mso-position-vertical-relative:page;position:absolute;z-index:251658240" o:allowincell="f" filled="t" fillcolor="black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pict>
        <v:rect id="_x0000_s2050" style="width:960pt;height:540pt;margin-top:0;margin-left:0;mso-position-horizontal-relative:page;mso-position-vertical-relative:page;position:absolute;z-index:251659264" o:allowincell="f" filled="t" fillcolor="black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Microsoft YaHei" w:eastAsia="Microsoft YaHei" w:hAnsi="Microsoft YaHei" w:cs="Microsoft YaHei"/>
      <w:sz w:val="36"/>
      <w:szCs w:val="36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header" Target="header5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image" Target="media/image6.jpeg" /><Relationship Id="rId22" Type="http://schemas.openxmlformats.org/officeDocument/2006/relationships/image" Target="media/image7.png" /><Relationship Id="rId23" Type="http://schemas.openxmlformats.org/officeDocument/2006/relationships/image" Target="media/image8.png" /><Relationship Id="rId24" Type="http://schemas.openxmlformats.org/officeDocument/2006/relationships/image" Target="media/image9.png" /><Relationship Id="rId25" Type="http://schemas.openxmlformats.org/officeDocument/2006/relationships/image" Target="media/image10.png" /><Relationship Id="rId26" Type="http://schemas.openxmlformats.org/officeDocument/2006/relationships/image" Target="media/image11.png" /><Relationship Id="rId27" Type="http://schemas.openxmlformats.org/officeDocument/2006/relationships/image" Target="media/image12.png" /><Relationship Id="rId28" Type="http://schemas.openxmlformats.org/officeDocument/2006/relationships/header" Target="header7.xml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header" Target="header8.xml" /><Relationship Id="rId31" Type="http://schemas.openxmlformats.org/officeDocument/2006/relationships/footer" Target="footer8.xml" /><Relationship Id="rId32" Type="http://schemas.openxmlformats.org/officeDocument/2006/relationships/header" Target="header9.xml" /><Relationship Id="rId33" Type="http://schemas.openxmlformats.org/officeDocument/2006/relationships/footer" Target="footer9.xml" /><Relationship Id="rId34" Type="http://schemas.openxmlformats.org/officeDocument/2006/relationships/hyperlink" Target="https://d.book118.com/606054104133010042" TargetMode="External" /><Relationship Id="rId35" Type="http://schemas.openxmlformats.org/officeDocument/2006/relationships/header" Target="header10.xml" /><Relationship Id="rId36" Type="http://schemas.openxmlformats.org/officeDocument/2006/relationships/footer" Target="footer10.xml" /><Relationship Id="rId37" Type="http://schemas.openxmlformats.org/officeDocument/2006/relationships/theme" Target="theme/theme1.xml" /><Relationship Id="rId38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演示文稿</dc:title>
  <dc:creator>刘嘉俊</dc:creator>
  <cp:revision>0</cp:revision>
  <dcterms:created xsi:type="dcterms:W3CDTF">2024-01-30T18:52:40Z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2024-01-30T19:01:01Z</vt:filetime>
  </property>
  <property fmtid="{D5CDD505-2E9C-101B-9397-08002B2CF9AE}" pid="3" name="CRO">
    <vt:lpwstr>wqlLaW5nc29mdCBQREYgdG8gV1BTIDkw</vt:lpwstr>
  </property>
</Properties>
</file>