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xml" ContentType="application/vnd.openxmlformats-officedocument.wordprocessingml.footer+xml"/>
  <Override PartName="/word/footer20.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xml" ContentType="application/vnd.openxmlformats-officedocument.wordprocessingml.header+xml"/>
  <Override PartName="/word/header20.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其它核材料及相关特殊材料项目合作计划书</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5403" w:history="1">
        <w:r>
          <w:rPr>
            <w:rFonts w:ascii="仿宋" w:eastAsia="仿宋" w:hAnsi="仿宋" w:cs="仿宋" w:hint="eastAsia"/>
            <w:lang w:eastAsia="zh-CN"/>
          </w:rPr>
          <w:t>概论</w:t>
        </w:r>
        <w:r>
          <w:tab/>
        </w:r>
        <w:r>
          <w:fldChar w:fldCharType="begin"/>
        </w:r>
        <w:r>
          <w:instrText xml:space="preserve"> PAGEREF _Toc15403 \h </w:instrText>
        </w:r>
        <w:r>
          <w:fldChar w:fldCharType="separate"/>
        </w:r>
        <w:r>
          <w:t>3</w:t>
        </w:r>
        <w:r>
          <w:fldChar w:fldCharType="end"/>
        </w:r>
      </w:hyperlink>
    </w:p>
    <w:p>
      <w:pPr>
        <w:pStyle w:val="TOC1"/>
        <w:tabs>
          <w:tab w:val="right" w:leader="dot" w:pos="8306"/>
        </w:tabs>
      </w:pPr>
      <w:hyperlink w:anchor="_Toc27704" w:history="1">
        <w:r>
          <w:rPr>
            <w:rFonts w:ascii="仿宋" w:eastAsia="仿宋" w:hAnsi="仿宋" w:cs="仿宋" w:hint="eastAsia"/>
            <w:lang w:eastAsia="zh-CN"/>
          </w:rPr>
          <w:t>一、其它核材料及相关特殊材料项目概论</w:t>
        </w:r>
        <w:r>
          <w:tab/>
        </w:r>
        <w:r>
          <w:fldChar w:fldCharType="begin"/>
        </w:r>
        <w:r>
          <w:instrText xml:space="preserve"> PAGEREF _Toc27704 \h </w:instrText>
        </w:r>
        <w:r>
          <w:fldChar w:fldCharType="separate"/>
        </w:r>
        <w:r>
          <w:t>3</w:t>
        </w:r>
        <w:r>
          <w:fldChar w:fldCharType="end"/>
        </w:r>
      </w:hyperlink>
    </w:p>
    <w:p>
      <w:pPr>
        <w:pStyle w:val="TOC2"/>
        <w:tabs>
          <w:tab w:val="right" w:leader="dot" w:pos="8306"/>
        </w:tabs>
      </w:pPr>
      <w:hyperlink w:anchor="_Toc1120" w:history="1">
        <w:r>
          <w:rPr>
            <w:rFonts w:ascii="仿宋" w:eastAsia="仿宋" w:hAnsi="仿宋" w:cs="仿宋" w:hint="eastAsia"/>
            <w:lang w:eastAsia="zh-CN"/>
          </w:rPr>
          <w:t>(一)、创新计划及其它核材料及相关特殊材料项目性质</w:t>
        </w:r>
        <w:r>
          <w:tab/>
        </w:r>
        <w:r>
          <w:fldChar w:fldCharType="begin"/>
        </w:r>
        <w:r>
          <w:instrText xml:space="preserve"> PAGEREF _Toc1120 \h </w:instrText>
        </w:r>
        <w:r>
          <w:fldChar w:fldCharType="separate"/>
        </w:r>
        <w:r>
          <w:t>3</w:t>
        </w:r>
        <w:r>
          <w:fldChar w:fldCharType="end"/>
        </w:r>
      </w:hyperlink>
    </w:p>
    <w:p>
      <w:pPr>
        <w:pStyle w:val="TOC2"/>
        <w:tabs>
          <w:tab w:val="right" w:leader="dot" w:pos="8306"/>
        </w:tabs>
      </w:pPr>
      <w:hyperlink w:anchor="_Toc15466" w:history="1">
        <w:r>
          <w:rPr>
            <w:rFonts w:ascii="仿宋" w:eastAsia="仿宋" w:hAnsi="仿宋" w:cs="仿宋" w:hint="eastAsia"/>
            <w:lang w:eastAsia="zh-CN"/>
          </w:rPr>
          <w:t>(二)、主管单位与其它核材料及相关特殊材料项目执行方</w:t>
        </w:r>
        <w:r>
          <w:tab/>
        </w:r>
        <w:r>
          <w:fldChar w:fldCharType="begin"/>
        </w:r>
        <w:r>
          <w:instrText xml:space="preserve"> PAGEREF _Toc15466 \h </w:instrText>
        </w:r>
        <w:r>
          <w:fldChar w:fldCharType="separate"/>
        </w:r>
        <w:r>
          <w:t>4</w:t>
        </w:r>
        <w:r>
          <w:fldChar w:fldCharType="end"/>
        </w:r>
      </w:hyperlink>
    </w:p>
    <w:p>
      <w:pPr>
        <w:pStyle w:val="TOC2"/>
        <w:tabs>
          <w:tab w:val="right" w:leader="dot" w:pos="8306"/>
        </w:tabs>
      </w:pPr>
      <w:hyperlink w:anchor="_Toc26234" w:history="1">
        <w:r>
          <w:rPr>
            <w:rFonts w:ascii="仿宋" w:eastAsia="仿宋" w:hAnsi="仿宋" w:cs="仿宋" w:hint="eastAsia"/>
            <w:lang w:eastAsia="zh-CN"/>
          </w:rPr>
          <w:t>(三)、战略协作伙伴</w:t>
        </w:r>
        <w:r>
          <w:tab/>
        </w:r>
        <w:r>
          <w:fldChar w:fldCharType="begin"/>
        </w:r>
        <w:r>
          <w:instrText xml:space="preserve"> PAGEREF _Toc26234 \h </w:instrText>
        </w:r>
        <w:r>
          <w:fldChar w:fldCharType="separate"/>
        </w:r>
        <w:r>
          <w:t>5</w:t>
        </w:r>
        <w:r>
          <w:fldChar w:fldCharType="end"/>
        </w:r>
      </w:hyperlink>
    </w:p>
    <w:p>
      <w:pPr>
        <w:pStyle w:val="TOC2"/>
        <w:tabs>
          <w:tab w:val="right" w:leader="dot" w:pos="8306"/>
        </w:tabs>
      </w:pPr>
      <w:hyperlink w:anchor="_Toc14003" w:history="1">
        <w:r>
          <w:rPr>
            <w:rFonts w:ascii="仿宋" w:eastAsia="仿宋" w:hAnsi="仿宋" w:cs="仿宋" w:hint="eastAsia"/>
            <w:lang w:eastAsia="zh-CN"/>
          </w:rPr>
          <w:t>(四)、其它核材料及相关特殊材料项目提出背景和合理性</w:t>
        </w:r>
        <w:r>
          <w:tab/>
        </w:r>
        <w:r>
          <w:fldChar w:fldCharType="begin"/>
        </w:r>
        <w:r>
          <w:instrText xml:space="preserve"> PAGEREF _Toc14003 \h </w:instrText>
        </w:r>
        <w:r>
          <w:fldChar w:fldCharType="separate"/>
        </w:r>
        <w:r>
          <w:t>6</w:t>
        </w:r>
        <w:r>
          <w:fldChar w:fldCharType="end"/>
        </w:r>
      </w:hyperlink>
    </w:p>
    <w:p>
      <w:pPr>
        <w:pStyle w:val="TOC2"/>
        <w:tabs>
          <w:tab w:val="right" w:leader="dot" w:pos="8306"/>
        </w:tabs>
      </w:pPr>
      <w:hyperlink w:anchor="_Toc19449" w:history="1">
        <w:r>
          <w:rPr>
            <w:rFonts w:ascii="仿宋" w:eastAsia="仿宋" w:hAnsi="仿宋" w:cs="仿宋" w:hint="eastAsia"/>
            <w:lang w:eastAsia="zh-CN"/>
          </w:rPr>
          <w:t>(五)、其它核材料及相关特殊材料项目选址和土地综合评估</w:t>
        </w:r>
        <w:r>
          <w:tab/>
        </w:r>
        <w:r>
          <w:fldChar w:fldCharType="begin"/>
        </w:r>
        <w:r>
          <w:instrText xml:space="preserve"> PAGEREF _Toc19449 \h </w:instrText>
        </w:r>
        <w:r>
          <w:fldChar w:fldCharType="separate"/>
        </w:r>
        <w:r>
          <w:t>7</w:t>
        </w:r>
        <w:r>
          <w:fldChar w:fldCharType="end"/>
        </w:r>
      </w:hyperlink>
    </w:p>
    <w:p>
      <w:pPr>
        <w:pStyle w:val="TOC2"/>
        <w:tabs>
          <w:tab w:val="right" w:leader="dot" w:pos="8306"/>
        </w:tabs>
      </w:pPr>
      <w:hyperlink w:anchor="_Toc26309" w:history="1">
        <w:r>
          <w:rPr>
            <w:rFonts w:ascii="仿宋" w:eastAsia="仿宋" w:hAnsi="仿宋" w:cs="仿宋" w:hint="eastAsia"/>
            <w:lang w:eastAsia="zh-CN"/>
          </w:rPr>
          <w:t>(六)、土木工程建设目标</w:t>
        </w:r>
        <w:r>
          <w:tab/>
        </w:r>
        <w:r>
          <w:fldChar w:fldCharType="begin"/>
        </w:r>
        <w:r>
          <w:instrText xml:space="preserve"> PAGEREF _Toc26309 \h </w:instrText>
        </w:r>
        <w:r>
          <w:fldChar w:fldCharType="separate"/>
        </w:r>
        <w:r>
          <w:t>8</w:t>
        </w:r>
        <w:r>
          <w:fldChar w:fldCharType="end"/>
        </w:r>
      </w:hyperlink>
    </w:p>
    <w:p>
      <w:pPr>
        <w:pStyle w:val="TOC2"/>
        <w:tabs>
          <w:tab w:val="right" w:leader="dot" w:pos="8306"/>
        </w:tabs>
      </w:pPr>
      <w:hyperlink w:anchor="_Toc309" w:history="1">
        <w:r>
          <w:rPr>
            <w:rFonts w:ascii="仿宋" w:eastAsia="仿宋" w:hAnsi="仿宋" w:cs="仿宋" w:hint="eastAsia"/>
            <w:lang w:eastAsia="zh-CN"/>
          </w:rPr>
          <w:t>(七)、设备采购计划</w:t>
        </w:r>
        <w:r>
          <w:tab/>
        </w:r>
        <w:r>
          <w:fldChar w:fldCharType="begin"/>
        </w:r>
        <w:r>
          <w:instrText xml:space="preserve"> PAGEREF _Toc309 \h </w:instrText>
        </w:r>
        <w:r>
          <w:fldChar w:fldCharType="separate"/>
        </w:r>
        <w:r>
          <w:t>9</w:t>
        </w:r>
        <w:r>
          <w:fldChar w:fldCharType="end"/>
        </w:r>
      </w:hyperlink>
    </w:p>
    <w:p>
      <w:pPr>
        <w:pStyle w:val="TOC2"/>
        <w:tabs>
          <w:tab w:val="right" w:leader="dot" w:pos="8306"/>
        </w:tabs>
      </w:pPr>
      <w:hyperlink w:anchor="_Toc16731" w:history="1">
        <w:r>
          <w:rPr>
            <w:rFonts w:ascii="仿宋" w:eastAsia="仿宋" w:hAnsi="仿宋" w:cs="仿宋" w:hint="eastAsia"/>
            <w:lang w:eastAsia="zh-CN"/>
          </w:rPr>
          <w:t>(八)、产品规划与开发方案</w:t>
        </w:r>
        <w:r>
          <w:tab/>
        </w:r>
        <w:r>
          <w:fldChar w:fldCharType="begin"/>
        </w:r>
        <w:r>
          <w:instrText xml:space="preserve"> PAGEREF _Toc16731 \h </w:instrText>
        </w:r>
        <w:r>
          <w:fldChar w:fldCharType="separate"/>
        </w:r>
        <w:r>
          <w:t>9</w:t>
        </w:r>
        <w:r>
          <w:fldChar w:fldCharType="end"/>
        </w:r>
      </w:hyperlink>
    </w:p>
    <w:p>
      <w:pPr>
        <w:pStyle w:val="TOC2"/>
        <w:tabs>
          <w:tab w:val="right" w:leader="dot" w:pos="8306"/>
        </w:tabs>
      </w:pPr>
      <w:hyperlink w:anchor="_Toc8885" w:history="1">
        <w:r>
          <w:rPr>
            <w:rFonts w:ascii="仿宋" w:eastAsia="仿宋" w:hAnsi="仿宋" w:cs="仿宋" w:hint="eastAsia"/>
            <w:lang w:eastAsia="zh-CN"/>
          </w:rPr>
          <w:t>(九)、原材料供应保障</w:t>
        </w:r>
        <w:r>
          <w:tab/>
        </w:r>
        <w:r>
          <w:fldChar w:fldCharType="begin"/>
        </w:r>
        <w:r>
          <w:instrText xml:space="preserve"> PAGEREF _Toc8885 \h </w:instrText>
        </w:r>
        <w:r>
          <w:fldChar w:fldCharType="separate"/>
        </w:r>
        <w:r>
          <w:t>9</w:t>
        </w:r>
        <w:r>
          <w:fldChar w:fldCharType="end"/>
        </w:r>
      </w:hyperlink>
    </w:p>
    <w:p>
      <w:pPr>
        <w:pStyle w:val="TOC2"/>
        <w:tabs>
          <w:tab w:val="right" w:leader="dot" w:pos="8306"/>
        </w:tabs>
      </w:pPr>
      <w:hyperlink w:anchor="_Toc26801" w:history="1">
        <w:r>
          <w:rPr>
            <w:rFonts w:ascii="仿宋" w:eastAsia="仿宋" w:hAnsi="仿宋" w:cs="仿宋" w:hint="eastAsia"/>
            <w:lang w:eastAsia="zh-CN"/>
          </w:rPr>
          <w:t>(十)、其它核材料及相关特殊材料项目能源消耗分析</w:t>
        </w:r>
        <w:r>
          <w:tab/>
        </w:r>
        <w:r>
          <w:fldChar w:fldCharType="begin"/>
        </w:r>
        <w:r>
          <w:instrText xml:space="preserve"> PAGEREF _Toc26801 \h </w:instrText>
        </w:r>
        <w:r>
          <w:fldChar w:fldCharType="separate"/>
        </w:r>
        <w:r>
          <w:t>10</w:t>
        </w:r>
        <w:r>
          <w:fldChar w:fldCharType="end"/>
        </w:r>
      </w:hyperlink>
    </w:p>
    <w:p>
      <w:pPr>
        <w:pStyle w:val="TOC2"/>
        <w:tabs>
          <w:tab w:val="right" w:leader="dot" w:pos="8306"/>
        </w:tabs>
      </w:pPr>
      <w:hyperlink w:anchor="_Toc10836" w:history="1">
        <w:r>
          <w:rPr>
            <w:rFonts w:ascii="仿宋" w:eastAsia="仿宋" w:hAnsi="仿宋" w:cs="仿宋" w:hint="eastAsia"/>
            <w:lang w:eastAsia="zh-CN"/>
          </w:rPr>
          <w:t>(十一)、环境保护</w:t>
        </w:r>
        <w:r>
          <w:tab/>
        </w:r>
        <w:r>
          <w:fldChar w:fldCharType="begin"/>
        </w:r>
        <w:r>
          <w:instrText xml:space="preserve"> PAGEREF _Toc10836 \h </w:instrText>
        </w:r>
        <w:r>
          <w:fldChar w:fldCharType="separate"/>
        </w:r>
        <w:r>
          <w:t>11</w:t>
        </w:r>
        <w:r>
          <w:fldChar w:fldCharType="end"/>
        </w:r>
      </w:hyperlink>
    </w:p>
    <w:p>
      <w:pPr>
        <w:pStyle w:val="TOC2"/>
        <w:tabs>
          <w:tab w:val="right" w:leader="dot" w:pos="8306"/>
        </w:tabs>
      </w:pPr>
      <w:hyperlink w:anchor="_Toc30104" w:history="1">
        <w:r>
          <w:rPr>
            <w:rFonts w:ascii="仿宋" w:eastAsia="仿宋" w:hAnsi="仿宋" w:cs="仿宋" w:hint="eastAsia"/>
            <w:lang w:eastAsia="zh-CN"/>
          </w:rPr>
          <w:t>(十二)、其它核材料及相关特殊材料项目进度规划与执行</w:t>
        </w:r>
        <w:r>
          <w:tab/>
        </w:r>
        <w:r>
          <w:fldChar w:fldCharType="begin"/>
        </w:r>
        <w:r>
          <w:instrText xml:space="preserve"> PAGEREF _Toc30104 \h </w:instrText>
        </w:r>
        <w:r>
          <w:fldChar w:fldCharType="separate"/>
        </w:r>
        <w:r>
          <w:t>12</w:t>
        </w:r>
        <w:r>
          <w:fldChar w:fldCharType="end"/>
        </w:r>
      </w:hyperlink>
    </w:p>
    <w:p>
      <w:pPr>
        <w:pStyle w:val="TOC2"/>
        <w:tabs>
          <w:tab w:val="right" w:leader="dot" w:pos="8306"/>
        </w:tabs>
      </w:pPr>
      <w:hyperlink w:anchor="_Toc17009" w:history="1">
        <w:r>
          <w:rPr>
            <w:rFonts w:ascii="仿宋" w:eastAsia="仿宋" w:hAnsi="仿宋" w:cs="仿宋" w:hint="eastAsia"/>
            <w:lang w:eastAsia="zh-CN"/>
          </w:rPr>
          <w:t>(十三)、经济效益分析与投资预估</w:t>
        </w:r>
        <w:r>
          <w:tab/>
        </w:r>
        <w:r>
          <w:fldChar w:fldCharType="begin"/>
        </w:r>
        <w:r>
          <w:instrText xml:space="preserve"> PAGEREF _Toc17009 \h </w:instrText>
        </w:r>
        <w:r>
          <w:fldChar w:fldCharType="separate"/>
        </w:r>
        <w:r>
          <w:t>14</w:t>
        </w:r>
        <w:r>
          <w:fldChar w:fldCharType="end"/>
        </w:r>
      </w:hyperlink>
    </w:p>
    <w:p>
      <w:pPr>
        <w:pStyle w:val="TOC2"/>
        <w:tabs>
          <w:tab w:val="right" w:leader="dot" w:pos="8306"/>
        </w:tabs>
      </w:pPr>
      <w:hyperlink w:anchor="_Toc29285" w:history="1">
        <w:r>
          <w:rPr>
            <w:rFonts w:ascii="仿宋" w:eastAsia="仿宋" w:hAnsi="仿宋" w:cs="仿宋" w:hint="eastAsia"/>
            <w:lang w:eastAsia="zh-CN"/>
          </w:rPr>
          <w:t>(十四)、报告详解与解释</w:t>
        </w:r>
        <w:r>
          <w:tab/>
        </w:r>
        <w:r>
          <w:fldChar w:fldCharType="begin"/>
        </w:r>
        <w:r>
          <w:instrText xml:space="preserve"> PAGEREF _Toc29285 \h </w:instrText>
        </w:r>
        <w:r>
          <w:fldChar w:fldCharType="separate"/>
        </w:r>
        <w:r>
          <w:t>15</w:t>
        </w:r>
        <w:r>
          <w:fldChar w:fldCharType="end"/>
        </w:r>
      </w:hyperlink>
    </w:p>
    <w:p>
      <w:pPr>
        <w:pStyle w:val="TOC1"/>
        <w:tabs>
          <w:tab w:val="right" w:leader="dot" w:pos="8306"/>
        </w:tabs>
      </w:pPr>
      <w:hyperlink w:anchor="_Toc30654" w:history="1">
        <w:r>
          <w:rPr>
            <w:rFonts w:ascii="仿宋" w:eastAsia="仿宋" w:hAnsi="仿宋" w:cs="仿宋" w:hint="eastAsia"/>
            <w:lang w:eastAsia="zh-CN"/>
          </w:rPr>
          <w:t>二、工程设计说明</w:t>
        </w:r>
        <w:r>
          <w:tab/>
        </w:r>
        <w:r>
          <w:fldChar w:fldCharType="begin"/>
        </w:r>
        <w:r>
          <w:instrText xml:space="preserve"> PAGEREF _Toc30654 \h </w:instrText>
        </w:r>
        <w:r>
          <w:fldChar w:fldCharType="separate"/>
        </w:r>
        <w:r>
          <w:t>16</w:t>
        </w:r>
        <w:r>
          <w:fldChar w:fldCharType="end"/>
        </w:r>
      </w:hyperlink>
    </w:p>
    <w:p>
      <w:pPr>
        <w:pStyle w:val="TOC2"/>
        <w:tabs>
          <w:tab w:val="right" w:leader="dot" w:pos="8306"/>
        </w:tabs>
      </w:pPr>
      <w:hyperlink w:anchor="_Toc24069" w:history="1">
        <w:r>
          <w:rPr>
            <w:rFonts w:ascii="仿宋" w:eastAsia="仿宋" w:hAnsi="仿宋" w:cs="仿宋" w:hint="eastAsia"/>
            <w:lang w:eastAsia="zh-CN"/>
          </w:rPr>
          <w:t>(一)、建筑工程设计原则</w:t>
        </w:r>
        <w:r>
          <w:tab/>
        </w:r>
        <w:r>
          <w:fldChar w:fldCharType="begin"/>
        </w:r>
        <w:r>
          <w:instrText xml:space="preserve"> PAGEREF _Toc24069 \h </w:instrText>
        </w:r>
        <w:r>
          <w:fldChar w:fldCharType="separate"/>
        </w:r>
        <w:r>
          <w:t>16</w:t>
        </w:r>
        <w:r>
          <w:fldChar w:fldCharType="end"/>
        </w:r>
      </w:hyperlink>
    </w:p>
    <w:p>
      <w:pPr>
        <w:pStyle w:val="TOC2"/>
        <w:tabs>
          <w:tab w:val="right" w:leader="dot" w:pos="8306"/>
        </w:tabs>
      </w:pPr>
      <w:hyperlink w:anchor="_Toc26219" w:history="1">
        <w:r>
          <w:rPr>
            <w:rFonts w:ascii="仿宋" w:eastAsia="仿宋" w:hAnsi="仿宋" w:cs="仿宋" w:hint="eastAsia"/>
            <w:lang w:eastAsia="zh-CN"/>
          </w:rPr>
          <w:t>(二)、其它核材料及相关特殊材料项目工程建设标准规范</w:t>
        </w:r>
        <w:r>
          <w:tab/>
        </w:r>
        <w:r>
          <w:fldChar w:fldCharType="begin"/>
        </w:r>
        <w:r>
          <w:instrText xml:space="preserve"> PAGEREF _Toc26219 \h </w:instrText>
        </w:r>
        <w:r>
          <w:fldChar w:fldCharType="separate"/>
        </w:r>
        <w:r>
          <w:t>16</w:t>
        </w:r>
        <w:r>
          <w:fldChar w:fldCharType="end"/>
        </w:r>
      </w:hyperlink>
    </w:p>
    <w:p>
      <w:pPr>
        <w:pStyle w:val="TOC2"/>
        <w:tabs>
          <w:tab w:val="right" w:leader="dot" w:pos="8306"/>
        </w:tabs>
      </w:pPr>
      <w:hyperlink w:anchor="_Toc250" w:history="1">
        <w:r>
          <w:rPr>
            <w:rFonts w:ascii="仿宋" w:eastAsia="仿宋" w:hAnsi="仿宋" w:cs="仿宋" w:hint="eastAsia"/>
            <w:lang w:eastAsia="zh-CN"/>
          </w:rPr>
          <w:t>(三)、其它核材料及相关特殊材料项目总平面设计要求</w:t>
        </w:r>
        <w:r>
          <w:tab/>
        </w:r>
        <w:r>
          <w:fldChar w:fldCharType="begin"/>
        </w:r>
        <w:r>
          <w:instrText xml:space="preserve"> PAGEREF _Toc250 \h </w:instrText>
        </w:r>
        <w:r>
          <w:fldChar w:fldCharType="separate"/>
        </w:r>
        <w:r>
          <w:t>17</w:t>
        </w:r>
        <w:r>
          <w:fldChar w:fldCharType="end"/>
        </w:r>
      </w:hyperlink>
    </w:p>
    <w:p>
      <w:pPr>
        <w:pStyle w:val="TOC2"/>
        <w:tabs>
          <w:tab w:val="right" w:leader="dot" w:pos="8306"/>
        </w:tabs>
      </w:pPr>
      <w:hyperlink w:anchor="_Toc9660" w:history="1">
        <w:r>
          <w:rPr>
            <w:rFonts w:ascii="仿宋" w:eastAsia="仿宋" w:hAnsi="仿宋" w:cs="仿宋" w:hint="eastAsia"/>
            <w:lang w:eastAsia="zh-CN"/>
          </w:rPr>
          <w:t>(四)、建筑设计规范和标准</w:t>
        </w:r>
        <w:r>
          <w:tab/>
        </w:r>
        <w:r>
          <w:fldChar w:fldCharType="begin"/>
        </w:r>
        <w:r>
          <w:instrText xml:space="preserve"> PAGEREF _Toc9660 \h </w:instrText>
        </w:r>
        <w:r>
          <w:fldChar w:fldCharType="separate"/>
        </w:r>
        <w:r>
          <w:t>17</w:t>
        </w:r>
        <w:r>
          <w:fldChar w:fldCharType="end"/>
        </w:r>
      </w:hyperlink>
    </w:p>
    <w:p>
      <w:pPr>
        <w:pStyle w:val="TOC2"/>
        <w:tabs>
          <w:tab w:val="right" w:leader="dot" w:pos="8306"/>
        </w:tabs>
      </w:pPr>
      <w:hyperlink w:anchor="_Toc27414" w:history="1">
        <w:r>
          <w:rPr>
            <w:rFonts w:ascii="仿宋" w:eastAsia="仿宋" w:hAnsi="仿宋" w:cs="仿宋" w:hint="eastAsia"/>
            <w:lang w:eastAsia="zh-CN"/>
          </w:rPr>
          <w:t>(五)、土建工程设计年限及安全等级</w:t>
        </w:r>
        <w:r>
          <w:tab/>
        </w:r>
        <w:r>
          <w:fldChar w:fldCharType="begin"/>
        </w:r>
        <w:r>
          <w:instrText xml:space="preserve"> PAGEREF _Toc27414 \h </w:instrText>
        </w:r>
        <w:r>
          <w:fldChar w:fldCharType="separate"/>
        </w:r>
        <w:r>
          <w:t>17</w:t>
        </w:r>
        <w:r>
          <w:fldChar w:fldCharType="end"/>
        </w:r>
      </w:hyperlink>
    </w:p>
    <w:p>
      <w:pPr>
        <w:pStyle w:val="TOC2"/>
        <w:tabs>
          <w:tab w:val="right" w:leader="dot" w:pos="8306"/>
        </w:tabs>
      </w:pPr>
      <w:hyperlink w:anchor="_Toc3412" w:history="1">
        <w:r>
          <w:rPr>
            <w:rFonts w:ascii="仿宋" w:eastAsia="仿宋" w:hAnsi="仿宋" w:cs="仿宋" w:hint="eastAsia"/>
            <w:lang w:eastAsia="zh-CN"/>
          </w:rPr>
          <w:t>(六)、建筑工程设计总体要求</w:t>
        </w:r>
        <w:r>
          <w:tab/>
        </w:r>
        <w:r>
          <w:fldChar w:fldCharType="begin"/>
        </w:r>
        <w:r>
          <w:instrText xml:space="preserve"> PAGEREF _Toc3412 \h </w:instrText>
        </w:r>
        <w:r>
          <w:fldChar w:fldCharType="separate"/>
        </w:r>
        <w:r>
          <w:t>17</w:t>
        </w:r>
        <w:r>
          <w:fldChar w:fldCharType="end"/>
        </w:r>
      </w:hyperlink>
    </w:p>
    <w:p>
      <w:pPr>
        <w:pStyle w:val="TOC1"/>
        <w:tabs>
          <w:tab w:val="right" w:leader="dot" w:pos="8306"/>
        </w:tabs>
      </w:pPr>
      <w:hyperlink w:anchor="_Toc26666" w:history="1">
        <w:r>
          <w:rPr>
            <w:rFonts w:ascii="仿宋" w:eastAsia="仿宋" w:hAnsi="仿宋" w:cs="仿宋" w:hint="eastAsia"/>
            <w:lang w:eastAsia="zh-CN"/>
          </w:rPr>
          <w:t>三、风险应对评估</w:t>
        </w:r>
        <w:r>
          <w:tab/>
        </w:r>
        <w:r>
          <w:fldChar w:fldCharType="begin"/>
        </w:r>
        <w:r>
          <w:instrText xml:space="preserve"> PAGEREF _Toc26666 \h </w:instrText>
        </w:r>
        <w:r>
          <w:fldChar w:fldCharType="separate"/>
        </w:r>
        <w:r>
          <w:t>18</w:t>
        </w:r>
        <w:r>
          <w:fldChar w:fldCharType="end"/>
        </w:r>
      </w:hyperlink>
    </w:p>
    <w:p>
      <w:pPr>
        <w:pStyle w:val="TOC2"/>
        <w:tabs>
          <w:tab w:val="right" w:leader="dot" w:pos="8306"/>
        </w:tabs>
      </w:pPr>
      <w:hyperlink w:anchor="_Toc2478" w:history="1">
        <w:r>
          <w:rPr>
            <w:rFonts w:ascii="仿宋" w:eastAsia="仿宋" w:hAnsi="仿宋" w:cs="仿宋" w:hint="eastAsia"/>
            <w:lang w:eastAsia="zh-CN"/>
          </w:rPr>
          <w:t>(一)、政策风险分析</w:t>
        </w:r>
        <w:r>
          <w:tab/>
        </w:r>
        <w:r>
          <w:fldChar w:fldCharType="begin"/>
        </w:r>
        <w:r>
          <w:instrText xml:space="preserve"> PAGEREF _Toc2478 \h </w:instrText>
        </w:r>
        <w:r>
          <w:fldChar w:fldCharType="separate"/>
        </w:r>
        <w:r>
          <w:t>18</w:t>
        </w:r>
        <w:r>
          <w:fldChar w:fldCharType="end"/>
        </w:r>
      </w:hyperlink>
    </w:p>
    <w:p>
      <w:pPr>
        <w:pStyle w:val="TOC2"/>
        <w:tabs>
          <w:tab w:val="right" w:leader="dot" w:pos="8306"/>
        </w:tabs>
      </w:pPr>
      <w:hyperlink w:anchor="_Toc27390" w:history="1">
        <w:r>
          <w:rPr>
            <w:rFonts w:ascii="仿宋" w:eastAsia="仿宋" w:hAnsi="仿宋" w:cs="仿宋" w:hint="eastAsia"/>
            <w:lang w:eastAsia="zh-CN"/>
          </w:rPr>
          <w:t>(二)、社会风险分析</w:t>
        </w:r>
        <w:r>
          <w:tab/>
        </w:r>
        <w:r>
          <w:fldChar w:fldCharType="begin"/>
        </w:r>
        <w:r>
          <w:instrText xml:space="preserve"> PAGEREF _Toc27390 \h </w:instrText>
        </w:r>
        <w:r>
          <w:fldChar w:fldCharType="separate"/>
        </w:r>
        <w:r>
          <w:t>18</w:t>
        </w:r>
        <w:r>
          <w:fldChar w:fldCharType="end"/>
        </w:r>
      </w:hyperlink>
    </w:p>
    <w:p>
      <w:pPr>
        <w:pStyle w:val="TOC2"/>
        <w:tabs>
          <w:tab w:val="right" w:leader="dot" w:pos="8306"/>
        </w:tabs>
      </w:pPr>
      <w:hyperlink w:anchor="_Toc8614" w:history="1">
        <w:r>
          <w:rPr>
            <w:rFonts w:ascii="仿宋" w:eastAsia="仿宋" w:hAnsi="仿宋" w:cs="仿宋" w:hint="eastAsia"/>
            <w:lang w:eastAsia="zh-CN"/>
          </w:rPr>
          <w:t>(三)、市场风险分析</w:t>
        </w:r>
        <w:r>
          <w:tab/>
        </w:r>
        <w:r>
          <w:fldChar w:fldCharType="begin"/>
        </w:r>
        <w:r>
          <w:instrText xml:space="preserve"> PAGEREF _Toc8614 \h </w:instrText>
        </w:r>
        <w:r>
          <w:fldChar w:fldCharType="separate"/>
        </w:r>
        <w:r>
          <w:t>18</w:t>
        </w:r>
        <w:r>
          <w:fldChar w:fldCharType="end"/>
        </w:r>
      </w:hyperlink>
    </w:p>
    <w:p>
      <w:pPr>
        <w:pStyle w:val="TOC2"/>
        <w:tabs>
          <w:tab w:val="right" w:leader="dot" w:pos="8306"/>
        </w:tabs>
      </w:pPr>
      <w:hyperlink w:anchor="_Toc10583" w:history="1">
        <w:r>
          <w:rPr>
            <w:rFonts w:ascii="仿宋" w:eastAsia="仿宋" w:hAnsi="仿宋" w:cs="仿宋" w:hint="eastAsia"/>
            <w:lang w:eastAsia="zh-CN"/>
          </w:rPr>
          <w:t>(四)、资金风险分析</w:t>
        </w:r>
        <w:r>
          <w:tab/>
        </w:r>
        <w:r>
          <w:fldChar w:fldCharType="begin"/>
        </w:r>
        <w:r>
          <w:instrText xml:space="preserve"> PAGEREF _Toc10583 \h </w:instrText>
        </w:r>
        <w:r>
          <w:fldChar w:fldCharType="separate"/>
        </w:r>
        <w:r>
          <w:t>19</w:t>
        </w:r>
        <w:r>
          <w:fldChar w:fldCharType="end"/>
        </w:r>
      </w:hyperlink>
    </w:p>
    <w:p>
      <w:pPr>
        <w:pStyle w:val="TOC2"/>
        <w:tabs>
          <w:tab w:val="right" w:leader="dot" w:pos="8306"/>
        </w:tabs>
      </w:pPr>
      <w:hyperlink w:anchor="_Toc7421" w:history="1">
        <w:r>
          <w:rPr>
            <w:rFonts w:ascii="仿宋" w:eastAsia="仿宋" w:hAnsi="仿宋" w:cs="仿宋" w:hint="eastAsia"/>
            <w:lang w:eastAsia="zh-CN"/>
          </w:rPr>
          <w:t>(五)、技术风险分析</w:t>
        </w:r>
        <w:r>
          <w:tab/>
        </w:r>
        <w:r>
          <w:fldChar w:fldCharType="begin"/>
        </w:r>
        <w:r>
          <w:instrText xml:space="preserve"> PAGEREF _Toc7421 \h </w:instrText>
        </w:r>
        <w:r>
          <w:fldChar w:fldCharType="separate"/>
        </w:r>
        <w:r>
          <w:t>19</w:t>
        </w:r>
        <w:r>
          <w:fldChar w:fldCharType="end"/>
        </w:r>
      </w:hyperlink>
    </w:p>
    <w:p>
      <w:pPr>
        <w:pStyle w:val="TOC2"/>
        <w:tabs>
          <w:tab w:val="right" w:leader="dot" w:pos="8306"/>
        </w:tabs>
      </w:pPr>
      <w:hyperlink w:anchor="_Toc14544" w:history="1">
        <w:r>
          <w:rPr>
            <w:rFonts w:ascii="仿宋" w:eastAsia="仿宋" w:hAnsi="仿宋" w:cs="仿宋" w:hint="eastAsia"/>
            <w:lang w:eastAsia="zh-CN"/>
          </w:rPr>
          <w:t>(六)、财务风险分析</w:t>
        </w:r>
        <w:r>
          <w:tab/>
        </w:r>
        <w:r>
          <w:fldChar w:fldCharType="begin"/>
        </w:r>
        <w:r>
          <w:instrText xml:space="preserve"> PAGEREF _Toc14544 \h </w:instrText>
        </w:r>
        <w:r>
          <w:fldChar w:fldCharType="separate"/>
        </w:r>
        <w:r>
          <w:t>19</w:t>
        </w:r>
        <w:r>
          <w:fldChar w:fldCharType="end"/>
        </w:r>
      </w:hyperlink>
    </w:p>
    <w:p>
      <w:pPr>
        <w:pStyle w:val="TOC2"/>
        <w:tabs>
          <w:tab w:val="right" w:leader="dot" w:pos="8306"/>
        </w:tabs>
      </w:pPr>
      <w:hyperlink w:anchor="_Toc31799" w:history="1">
        <w:r>
          <w:rPr>
            <w:rFonts w:ascii="仿宋" w:eastAsia="仿宋" w:hAnsi="仿宋" w:cs="仿宋" w:hint="eastAsia"/>
            <w:lang w:eastAsia="zh-CN"/>
          </w:rPr>
          <w:t>(七)、管理风险分析</w:t>
        </w:r>
        <w:r>
          <w:tab/>
        </w:r>
        <w:r>
          <w:fldChar w:fldCharType="begin"/>
        </w:r>
        <w:r>
          <w:instrText xml:space="preserve"> PAGEREF _Toc31799 \h </w:instrText>
        </w:r>
        <w:r>
          <w:fldChar w:fldCharType="separate"/>
        </w:r>
        <w:r>
          <w:t>19</w:t>
        </w:r>
        <w:r>
          <w:fldChar w:fldCharType="end"/>
        </w:r>
      </w:hyperlink>
    </w:p>
    <w:p>
      <w:pPr>
        <w:pStyle w:val="TOC2"/>
        <w:tabs>
          <w:tab w:val="right" w:leader="dot" w:pos="8306"/>
        </w:tabs>
      </w:pPr>
      <w:hyperlink w:anchor="_Toc15310" w:history="1">
        <w:r>
          <w:rPr>
            <w:rFonts w:ascii="仿宋" w:eastAsia="仿宋" w:hAnsi="仿宋" w:cs="仿宋" w:hint="eastAsia"/>
            <w:lang w:eastAsia="zh-CN"/>
          </w:rPr>
          <w:t>(八)、其它风险分析</w:t>
        </w:r>
        <w:r>
          <w:tab/>
        </w:r>
        <w:r>
          <w:fldChar w:fldCharType="begin"/>
        </w:r>
        <w:r>
          <w:instrText xml:space="preserve"> PAGEREF _Toc15310 \h </w:instrText>
        </w:r>
        <w:r>
          <w:fldChar w:fldCharType="separate"/>
        </w:r>
        <w:r>
          <w:t>20</w:t>
        </w:r>
        <w:r>
          <w:fldChar w:fldCharType="end"/>
        </w:r>
      </w:hyperlink>
    </w:p>
    <w:p>
      <w:pPr>
        <w:pStyle w:val="TOC1"/>
        <w:tabs>
          <w:tab w:val="right" w:leader="dot" w:pos="8306"/>
        </w:tabs>
      </w:pPr>
      <w:hyperlink w:anchor="_Toc13392" w:history="1">
        <w:r>
          <w:rPr>
            <w:rFonts w:ascii="仿宋" w:eastAsia="仿宋" w:hAnsi="仿宋" w:cs="仿宋" w:hint="eastAsia"/>
            <w:lang w:eastAsia="zh-CN"/>
          </w:rPr>
          <w:t>四、后期运营与管理</w:t>
        </w:r>
        <w:r>
          <w:tab/>
        </w:r>
        <w:r>
          <w:fldChar w:fldCharType="begin"/>
        </w:r>
        <w:r>
          <w:instrText xml:space="preserve"> PAGEREF _Toc13392 \h </w:instrText>
        </w:r>
        <w:r>
          <w:fldChar w:fldCharType="separate"/>
        </w:r>
        <w:r>
          <w:t>20</w:t>
        </w:r>
        <w:r>
          <w:fldChar w:fldCharType="end"/>
        </w:r>
      </w:hyperlink>
    </w:p>
    <w:p>
      <w:pPr>
        <w:pStyle w:val="TOC2"/>
        <w:tabs>
          <w:tab w:val="right" w:leader="dot" w:pos="8306"/>
        </w:tabs>
      </w:pPr>
      <w:hyperlink w:anchor="_Toc26340" w:history="1">
        <w:r>
          <w:rPr>
            <w:rFonts w:ascii="仿宋" w:eastAsia="仿宋" w:hAnsi="仿宋" w:cs="仿宋" w:hint="eastAsia"/>
            <w:lang w:eastAsia="zh-CN"/>
          </w:rPr>
          <w:t>(一)、其它核材料及相关特殊材料项目运营管理机制</w:t>
        </w:r>
        <w:r>
          <w:tab/>
        </w:r>
        <w:r>
          <w:fldChar w:fldCharType="begin"/>
        </w:r>
        <w:r>
          <w:instrText xml:space="preserve"> PAGEREF _Toc26340 \h </w:instrText>
        </w:r>
        <w:r>
          <w:fldChar w:fldCharType="separate"/>
        </w:r>
        <w:r>
          <w:t>20</w:t>
        </w:r>
        <w:r>
          <w:fldChar w:fldCharType="end"/>
        </w:r>
      </w:hyperlink>
    </w:p>
    <w:p>
      <w:pPr>
        <w:pStyle w:val="TOC2"/>
        <w:tabs>
          <w:tab w:val="right" w:leader="dot" w:pos="8306"/>
        </w:tabs>
      </w:pPr>
      <w:hyperlink w:anchor="_Toc29967" w:history="1">
        <w:r>
          <w:rPr>
            <w:rFonts w:ascii="仿宋" w:eastAsia="仿宋" w:hAnsi="仿宋" w:cs="仿宋" w:hint="eastAsia"/>
            <w:lang w:eastAsia="zh-CN"/>
          </w:rPr>
          <w:t>(二)、人员培训与知识转移</w:t>
        </w:r>
        <w:r>
          <w:tab/>
        </w:r>
        <w:r>
          <w:fldChar w:fldCharType="begin"/>
        </w:r>
        <w:r>
          <w:instrText xml:space="preserve"> PAGEREF _Toc29967 \h </w:instrText>
        </w:r>
        <w:r>
          <w:fldChar w:fldCharType="separate"/>
        </w:r>
        <w:r>
          <w:t>21</w:t>
        </w:r>
        <w:r>
          <w:fldChar w:fldCharType="end"/>
        </w:r>
      </w:hyperlink>
    </w:p>
    <w:p>
      <w:pPr>
        <w:pStyle w:val="TOC2"/>
        <w:tabs>
          <w:tab w:val="right" w:leader="dot" w:pos="8306"/>
        </w:tabs>
      </w:pPr>
      <w:hyperlink w:anchor="_Toc10830" w:history="1">
        <w:r>
          <w:rPr>
            <w:rFonts w:ascii="仿宋" w:eastAsia="仿宋" w:hAnsi="仿宋" w:cs="仿宋" w:hint="eastAsia"/>
            <w:lang w:eastAsia="zh-CN"/>
          </w:rPr>
          <w:t>(三)、设备维护与保养</w:t>
        </w:r>
        <w:r>
          <w:tab/>
        </w:r>
        <w:r>
          <w:fldChar w:fldCharType="begin"/>
        </w:r>
        <w:r>
          <w:instrText xml:space="preserve"> PAGEREF _Toc10830 \h </w:instrText>
        </w:r>
        <w:r>
          <w:fldChar w:fldCharType="separate"/>
        </w:r>
        <w:r>
          <w:t>22</w:t>
        </w:r>
        <w:r>
          <w:fldChar w:fldCharType="end"/>
        </w:r>
      </w:hyperlink>
    </w:p>
    <w:p>
      <w:pPr>
        <w:pStyle w:val="TOC2"/>
        <w:tabs>
          <w:tab w:val="right" w:leader="dot" w:pos="8306"/>
        </w:tabs>
      </w:pPr>
      <w:hyperlink w:anchor="_Toc14083" w:history="1">
        <w:r>
          <w:rPr>
            <w:rFonts w:ascii="仿宋" w:eastAsia="仿宋" w:hAnsi="仿宋" w:cs="仿宋" w:hint="eastAsia"/>
            <w:lang w:eastAsia="zh-CN"/>
          </w:rPr>
          <w:t>(四)、定期检查与评估</w:t>
        </w:r>
        <w:r>
          <w:tab/>
        </w:r>
        <w:r>
          <w:fldChar w:fldCharType="begin"/>
        </w:r>
        <w:r>
          <w:instrText xml:space="preserve"> PAGEREF _Toc14083 \h </w:instrText>
        </w:r>
        <w:r>
          <w:fldChar w:fldCharType="separate"/>
        </w:r>
        <w:r>
          <w:t>22</w:t>
        </w:r>
        <w:r>
          <w:fldChar w:fldCharType="end"/>
        </w:r>
      </w:hyperlink>
    </w:p>
    <w:p>
      <w:pPr>
        <w:pStyle w:val="TOC1"/>
        <w:tabs>
          <w:tab w:val="right" w:leader="dot" w:pos="8306"/>
        </w:tabs>
      </w:pPr>
      <w:hyperlink w:anchor="_Toc26748" w:history="1">
        <w:r>
          <w:rPr>
            <w:rFonts w:ascii="仿宋" w:eastAsia="仿宋" w:hAnsi="仿宋" w:cs="仿宋" w:hint="eastAsia"/>
            <w:lang w:eastAsia="zh-CN"/>
          </w:rPr>
          <w:t>五、其它核材料及相关特殊材料项目收尾与总结</w:t>
        </w:r>
        <w:r>
          <w:tab/>
        </w:r>
        <w:r>
          <w:fldChar w:fldCharType="begin"/>
        </w:r>
        <w:r>
          <w:instrText xml:space="preserve"> PAGEREF _Toc26748 \h </w:instrText>
        </w:r>
        <w:r>
          <w:fldChar w:fldCharType="separate"/>
        </w:r>
        <w:r>
          <w:t>23</w:t>
        </w:r>
        <w:r>
          <w:fldChar w:fldCharType="end"/>
        </w:r>
      </w:hyperlink>
    </w:p>
    <w:p>
      <w:pPr>
        <w:pStyle w:val="TOC2"/>
        <w:tabs>
          <w:tab w:val="right" w:leader="dot" w:pos="8306"/>
        </w:tabs>
      </w:pPr>
      <w:hyperlink w:anchor="_Toc30326" w:history="1">
        <w:r>
          <w:rPr>
            <w:rFonts w:ascii="仿宋" w:eastAsia="仿宋" w:hAnsi="仿宋" w:cs="仿宋" w:hint="eastAsia"/>
            <w:lang w:eastAsia="zh-CN"/>
          </w:rPr>
          <w:t>(一)、其它核材料及相关特殊材料项目总结与经验分享</w:t>
        </w:r>
        <w:r>
          <w:tab/>
        </w:r>
        <w:r>
          <w:fldChar w:fldCharType="begin"/>
        </w:r>
        <w:r>
          <w:instrText xml:space="preserve"> PAGEREF _Toc30326 \h </w:instrText>
        </w:r>
        <w:r>
          <w:fldChar w:fldCharType="separate"/>
        </w:r>
        <w:r>
          <w:t>23</w:t>
        </w:r>
        <w:r>
          <w:fldChar w:fldCharType="end"/>
        </w:r>
      </w:hyperlink>
    </w:p>
    <w:p>
      <w:pPr>
        <w:pStyle w:val="TOC2"/>
        <w:tabs>
          <w:tab w:val="right" w:leader="dot" w:pos="8306"/>
        </w:tabs>
      </w:pPr>
      <w:hyperlink w:anchor="_Toc10692" w:history="1">
        <w:r>
          <w:rPr>
            <w:rFonts w:ascii="仿宋" w:eastAsia="仿宋" w:hAnsi="仿宋" w:cs="仿宋" w:hint="eastAsia"/>
            <w:lang w:eastAsia="zh-CN"/>
          </w:rPr>
          <w:t>(二)、其它核材料及相关特殊材料项目报告与归档</w:t>
        </w:r>
        <w:r>
          <w:tab/>
        </w:r>
        <w:r>
          <w:fldChar w:fldCharType="begin"/>
        </w:r>
        <w:r>
          <w:instrText xml:space="preserve"> PAGEREF _Toc10692 \h </w:instrText>
        </w:r>
        <w:r>
          <w:fldChar w:fldCharType="separate"/>
        </w:r>
        <w:r>
          <w:t>26</w:t>
        </w:r>
        <w:r>
          <w:fldChar w:fldCharType="end"/>
        </w:r>
      </w:hyperlink>
    </w:p>
    <w:p>
      <w:pPr>
        <w:pStyle w:val="TOC2"/>
        <w:tabs>
          <w:tab w:val="right" w:leader="dot" w:pos="8306"/>
        </w:tabs>
      </w:pPr>
      <w:hyperlink w:anchor="_Toc27349" w:history="1">
        <w:r>
          <w:rPr>
            <w:rFonts w:ascii="仿宋" w:eastAsia="仿宋" w:hAnsi="仿宋" w:cs="仿宋" w:hint="eastAsia"/>
            <w:lang w:eastAsia="zh-CN"/>
          </w:rPr>
          <w:t>(三)、其它核材料及相关特殊材料项目收尾与结算</w:t>
        </w:r>
        <w:r>
          <w:tab/>
        </w:r>
        <w:r>
          <w:fldChar w:fldCharType="begin"/>
        </w:r>
        <w:r>
          <w:instrText xml:space="preserve"> PAGEREF _Toc27349 \h </w:instrText>
        </w:r>
        <w:r>
          <w:fldChar w:fldCharType="separate"/>
        </w:r>
        <w:r>
          <w:t>28</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2423" w:history="1">
        <w:r>
          <w:rPr>
            <w:rFonts w:ascii="仿宋" w:eastAsia="仿宋" w:hAnsi="仿宋" w:cs="仿宋" w:hint="eastAsia"/>
            <w:lang w:eastAsia="zh-CN"/>
          </w:rPr>
          <w:t>(四)、团队人员调整与反馈</w:t>
        </w:r>
        <w:r>
          <w:tab/>
        </w:r>
        <w:r>
          <w:fldChar w:fldCharType="begin"/>
        </w:r>
        <w:r>
          <w:instrText xml:space="preserve"> PAGEREF _Toc32423 \h </w:instrText>
        </w:r>
        <w:r>
          <w:fldChar w:fldCharType="separate"/>
        </w:r>
        <w:r>
          <w:t>29</w:t>
        </w:r>
        <w:r>
          <w:fldChar w:fldCharType="end"/>
        </w:r>
      </w:hyperlink>
    </w:p>
    <w:p>
      <w:pPr>
        <w:pStyle w:val="TOC1"/>
        <w:tabs>
          <w:tab w:val="right" w:leader="dot" w:pos="8306"/>
        </w:tabs>
      </w:pPr>
      <w:hyperlink w:anchor="_Toc18002" w:history="1">
        <w:r>
          <w:rPr>
            <w:rFonts w:ascii="仿宋" w:eastAsia="仿宋" w:hAnsi="仿宋" w:cs="仿宋" w:hint="eastAsia"/>
            <w:lang w:eastAsia="zh-CN"/>
          </w:rPr>
          <w:t>六、人员培训与发展</w:t>
        </w:r>
        <w:r>
          <w:tab/>
        </w:r>
        <w:r>
          <w:fldChar w:fldCharType="begin"/>
        </w:r>
        <w:r>
          <w:instrText xml:space="preserve"> PAGEREF _Toc18002 \h </w:instrText>
        </w:r>
        <w:r>
          <w:fldChar w:fldCharType="separate"/>
        </w:r>
        <w:r>
          <w:t>30</w:t>
        </w:r>
        <w:r>
          <w:fldChar w:fldCharType="end"/>
        </w:r>
      </w:hyperlink>
    </w:p>
    <w:p>
      <w:pPr>
        <w:pStyle w:val="TOC2"/>
        <w:tabs>
          <w:tab w:val="right" w:leader="dot" w:pos="8306"/>
        </w:tabs>
      </w:pPr>
      <w:hyperlink w:anchor="_Toc3417" w:history="1">
        <w:r>
          <w:rPr>
            <w:rFonts w:ascii="仿宋" w:eastAsia="仿宋" w:hAnsi="仿宋" w:cs="仿宋" w:hint="eastAsia"/>
            <w:lang w:eastAsia="zh-CN"/>
          </w:rPr>
          <w:t>(一)、培训需求分析</w:t>
        </w:r>
        <w:r>
          <w:tab/>
        </w:r>
        <w:r>
          <w:fldChar w:fldCharType="begin"/>
        </w:r>
        <w:r>
          <w:instrText xml:space="preserve"> PAGEREF _Toc3417 \h </w:instrText>
        </w:r>
        <w:r>
          <w:fldChar w:fldCharType="separate"/>
        </w:r>
        <w:r>
          <w:t>30</w:t>
        </w:r>
        <w:r>
          <w:fldChar w:fldCharType="end"/>
        </w:r>
      </w:hyperlink>
    </w:p>
    <w:p>
      <w:pPr>
        <w:pStyle w:val="TOC2"/>
        <w:tabs>
          <w:tab w:val="right" w:leader="dot" w:pos="8306"/>
        </w:tabs>
      </w:pPr>
      <w:hyperlink w:anchor="_Toc10208" w:history="1">
        <w:r>
          <w:rPr>
            <w:rFonts w:ascii="仿宋" w:eastAsia="仿宋" w:hAnsi="仿宋" w:cs="仿宋" w:hint="eastAsia"/>
            <w:lang w:eastAsia="zh-CN"/>
          </w:rPr>
          <w:t>(二)、培训计划制定</w:t>
        </w:r>
        <w:r>
          <w:tab/>
        </w:r>
        <w:r>
          <w:fldChar w:fldCharType="begin"/>
        </w:r>
        <w:r>
          <w:instrText xml:space="preserve"> PAGEREF _Toc10208 \h </w:instrText>
        </w:r>
        <w:r>
          <w:fldChar w:fldCharType="separate"/>
        </w:r>
        <w:r>
          <w:t>31</w:t>
        </w:r>
        <w:r>
          <w:fldChar w:fldCharType="end"/>
        </w:r>
      </w:hyperlink>
    </w:p>
    <w:p>
      <w:pPr>
        <w:pStyle w:val="TOC2"/>
        <w:tabs>
          <w:tab w:val="right" w:leader="dot" w:pos="8306"/>
        </w:tabs>
      </w:pPr>
      <w:hyperlink w:anchor="_Toc27750" w:history="1">
        <w:r>
          <w:rPr>
            <w:rFonts w:ascii="仿宋" w:eastAsia="仿宋" w:hAnsi="仿宋" w:cs="仿宋" w:hint="eastAsia"/>
            <w:lang w:eastAsia="zh-CN"/>
          </w:rPr>
          <w:t>(三)、培训执行与评估</w:t>
        </w:r>
        <w:r>
          <w:tab/>
        </w:r>
        <w:r>
          <w:fldChar w:fldCharType="begin"/>
        </w:r>
        <w:r>
          <w:instrText xml:space="preserve"> PAGEREF _Toc27750 \h </w:instrText>
        </w:r>
        <w:r>
          <w:fldChar w:fldCharType="separate"/>
        </w:r>
        <w:r>
          <w:t>33</w:t>
        </w:r>
        <w:r>
          <w:fldChar w:fldCharType="end"/>
        </w:r>
      </w:hyperlink>
    </w:p>
    <w:p>
      <w:pPr>
        <w:pStyle w:val="TOC2"/>
        <w:tabs>
          <w:tab w:val="right" w:leader="dot" w:pos="8306"/>
        </w:tabs>
      </w:pPr>
      <w:hyperlink w:anchor="_Toc31152" w:history="1">
        <w:r>
          <w:rPr>
            <w:rFonts w:ascii="仿宋" w:eastAsia="仿宋" w:hAnsi="仿宋" w:cs="仿宋" w:hint="eastAsia"/>
            <w:lang w:eastAsia="zh-CN"/>
          </w:rPr>
          <w:t>(四)、员工职业发展规划</w:t>
        </w:r>
        <w:r>
          <w:tab/>
        </w:r>
        <w:r>
          <w:fldChar w:fldCharType="begin"/>
        </w:r>
        <w:r>
          <w:instrText xml:space="preserve"> PAGEREF _Toc31152 \h </w:instrText>
        </w:r>
        <w:r>
          <w:fldChar w:fldCharType="separate"/>
        </w:r>
        <w:r>
          <w:t>34</w:t>
        </w:r>
        <w:r>
          <w:fldChar w:fldCharType="end"/>
        </w:r>
      </w:hyperlink>
    </w:p>
    <w:p>
      <w:pPr>
        <w:pStyle w:val="TOC1"/>
        <w:tabs>
          <w:tab w:val="right" w:leader="dot" w:pos="8306"/>
        </w:tabs>
      </w:pPr>
      <w:hyperlink w:anchor="_Toc15278" w:history="1">
        <w:r>
          <w:rPr>
            <w:rFonts w:ascii="仿宋" w:eastAsia="仿宋" w:hAnsi="仿宋" w:cs="仿宋" w:hint="eastAsia"/>
            <w:lang w:eastAsia="zh-CN"/>
          </w:rPr>
          <w:t>七、合作伙伴关系管理</w:t>
        </w:r>
        <w:r>
          <w:tab/>
        </w:r>
        <w:r>
          <w:fldChar w:fldCharType="begin"/>
        </w:r>
        <w:r>
          <w:instrText xml:space="preserve"> PAGEREF _Toc15278 \h </w:instrText>
        </w:r>
        <w:r>
          <w:fldChar w:fldCharType="separate"/>
        </w:r>
        <w:r>
          <w:t>35</w:t>
        </w:r>
        <w:r>
          <w:fldChar w:fldCharType="end"/>
        </w:r>
      </w:hyperlink>
    </w:p>
    <w:p>
      <w:pPr>
        <w:pStyle w:val="TOC2"/>
        <w:tabs>
          <w:tab w:val="right" w:leader="dot" w:pos="8306"/>
        </w:tabs>
      </w:pPr>
      <w:hyperlink w:anchor="_Toc2255" w:history="1">
        <w:r>
          <w:rPr>
            <w:rFonts w:ascii="仿宋" w:eastAsia="仿宋" w:hAnsi="仿宋" w:cs="仿宋" w:hint="eastAsia"/>
            <w:lang w:eastAsia="zh-CN"/>
          </w:rPr>
          <w:t>(一)、合作伙伴选择与评估</w:t>
        </w:r>
        <w:r>
          <w:tab/>
        </w:r>
        <w:r>
          <w:fldChar w:fldCharType="begin"/>
        </w:r>
        <w:r>
          <w:instrText xml:space="preserve"> PAGEREF _Toc2255 \h </w:instrText>
        </w:r>
        <w:r>
          <w:fldChar w:fldCharType="separate"/>
        </w:r>
        <w:r>
          <w:t>35</w:t>
        </w:r>
        <w:r>
          <w:fldChar w:fldCharType="end"/>
        </w:r>
      </w:hyperlink>
    </w:p>
    <w:p>
      <w:pPr>
        <w:pStyle w:val="TOC2"/>
        <w:tabs>
          <w:tab w:val="right" w:leader="dot" w:pos="8306"/>
        </w:tabs>
      </w:pPr>
      <w:hyperlink w:anchor="_Toc13838" w:history="1">
        <w:r>
          <w:rPr>
            <w:rFonts w:ascii="仿宋" w:eastAsia="仿宋" w:hAnsi="仿宋" w:cs="仿宋" w:hint="eastAsia"/>
            <w:lang w:eastAsia="zh-CN"/>
          </w:rPr>
          <w:t>(二)、合作伙伴协议与合同管理</w:t>
        </w:r>
        <w:r>
          <w:tab/>
        </w:r>
        <w:r>
          <w:fldChar w:fldCharType="begin"/>
        </w:r>
        <w:r>
          <w:instrText xml:space="preserve"> PAGEREF _Toc13838 \h </w:instrText>
        </w:r>
        <w:r>
          <w:fldChar w:fldCharType="separate"/>
        </w:r>
        <w:r>
          <w:t>36</w:t>
        </w:r>
        <w:r>
          <w:fldChar w:fldCharType="end"/>
        </w:r>
      </w:hyperlink>
    </w:p>
    <w:p>
      <w:pPr>
        <w:pStyle w:val="TOC2"/>
        <w:tabs>
          <w:tab w:val="right" w:leader="dot" w:pos="8306"/>
        </w:tabs>
      </w:pPr>
      <w:hyperlink w:anchor="_Toc18081" w:history="1">
        <w:r>
          <w:rPr>
            <w:rFonts w:ascii="仿宋" w:eastAsia="仿宋" w:hAnsi="仿宋" w:cs="仿宋" w:hint="eastAsia"/>
            <w:lang w:eastAsia="zh-CN"/>
          </w:rPr>
          <w:t>(三)、风险共担与利益共享机制</w:t>
        </w:r>
        <w:r>
          <w:tab/>
        </w:r>
        <w:r>
          <w:fldChar w:fldCharType="begin"/>
        </w:r>
        <w:r>
          <w:instrText xml:space="preserve"> PAGEREF _Toc18081 \h </w:instrText>
        </w:r>
        <w:r>
          <w:fldChar w:fldCharType="separate"/>
        </w:r>
        <w:r>
          <w:t>37</w:t>
        </w:r>
        <w:r>
          <w:fldChar w:fldCharType="end"/>
        </w:r>
      </w:hyperlink>
    </w:p>
    <w:p>
      <w:pPr>
        <w:pStyle w:val="TOC2"/>
        <w:tabs>
          <w:tab w:val="right" w:leader="dot" w:pos="8306"/>
        </w:tabs>
      </w:pPr>
      <w:hyperlink w:anchor="_Toc2406" w:history="1">
        <w:r>
          <w:rPr>
            <w:rFonts w:ascii="仿宋" w:eastAsia="仿宋" w:hAnsi="仿宋" w:cs="仿宋" w:hint="eastAsia"/>
            <w:lang w:eastAsia="zh-CN"/>
          </w:rPr>
          <w:t>(四)、定期合作评估与调整</w:t>
        </w:r>
        <w:r>
          <w:tab/>
        </w:r>
        <w:r>
          <w:fldChar w:fldCharType="begin"/>
        </w:r>
        <w:r>
          <w:instrText xml:space="preserve"> PAGEREF _Toc2406 \h </w:instrText>
        </w:r>
        <w:r>
          <w:fldChar w:fldCharType="separate"/>
        </w:r>
        <w:r>
          <w:t>38</w:t>
        </w:r>
        <w:r>
          <w:fldChar w:fldCharType="end"/>
        </w:r>
      </w:hyperlink>
    </w:p>
    <w:p>
      <w:pPr>
        <w:pStyle w:val="TOC1"/>
        <w:tabs>
          <w:tab w:val="right" w:leader="dot" w:pos="8306"/>
        </w:tabs>
      </w:pPr>
      <w:hyperlink w:anchor="_Toc27467" w:history="1">
        <w:r>
          <w:rPr>
            <w:rFonts w:ascii="仿宋" w:eastAsia="仿宋" w:hAnsi="仿宋" w:cs="仿宋" w:hint="eastAsia"/>
            <w:lang w:eastAsia="zh-CN"/>
          </w:rPr>
          <w:t>八、质量管理与监督</w:t>
        </w:r>
        <w:r>
          <w:tab/>
        </w:r>
        <w:r>
          <w:fldChar w:fldCharType="begin"/>
        </w:r>
        <w:r>
          <w:instrText xml:space="preserve"> PAGEREF _Toc27467 \h </w:instrText>
        </w:r>
        <w:r>
          <w:fldChar w:fldCharType="separate"/>
        </w:r>
        <w:r>
          <w:t>39</w:t>
        </w:r>
        <w:r>
          <w:fldChar w:fldCharType="end"/>
        </w:r>
      </w:hyperlink>
    </w:p>
    <w:p>
      <w:pPr>
        <w:pStyle w:val="TOC2"/>
        <w:tabs>
          <w:tab w:val="right" w:leader="dot" w:pos="8306"/>
        </w:tabs>
      </w:pPr>
      <w:hyperlink w:anchor="_Toc28653" w:history="1">
        <w:r>
          <w:rPr>
            <w:rFonts w:ascii="仿宋" w:eastAsia="仿宋" w:hAnsi="仿宋" w:cs="仿宋" w:hint="eastAsia"/>
            <w:lang w:eastAsia="zh-CN"/>
          </w:rPr>
          <w:t>(一)、质量管理原则</w:t>
        </w:r>
        <w:r>
          <w:tab/>
        </w:r>
        <w:r>
          <w:fldChar w:fldCharType="begin"/>
        </w:r>
        <w:r>
          <w:instrText xml:space="preserve"> PAGEREF _Toc28653 \h </w:instrText>
        </w:r>
        <w:r>
          <w:fldChar w:fldCharType="separate"/>
        </w:r>
        <w:r>
          <w:t>39</w:t>
        </w:r>
        <w:r>
          <w:fldChar w:fldCharType="end"/>
        </w:r>
      </w:hyperlink>
    </w:p>
    <w:p>
      <w:pPr>
        <w:pStyle w:val="TOC2"/>
        <w:tabs>
          <w:tab w:val="right" w:leader="dot" w:pos="8306"/>
        </w:tabs>
      </w:pPr>
      <w:hyperlink w:anchor="_Toc10311" w:history="1">
        <w:r>
          <w:rPr>
            <w:rFonts w:ascii="仿宋" w:eastAsia="仿宋" w:hAnsi="仿宋" w:cs="仿宋" w:hint="eastAsia"/>
            <w:lang w:eastAsia="zh-CN"/>
          </w:rPr>
          <w:t>(二)、质量控制措施</w:t>
        </w:r>
        <w:r>
          <w:tab/>
        </w:r>
        <w:r>
          <w:fldChar w:fldCharType="begin"/>
        </w:r>
        <w:r>
          <w:instrText xml:space="preserve"> PAGEREF _Toc10311 \h </w:instrText>
        </w:r>
        <w:r>
          <w:fldChar w:fldCharType="separate"/>
        </w:r>
        <w:r>
          <w:t>41</w:t>
        </w:r>
        <w:r>
          <w:fldChar w:fldCharType="end"/>
        </w:r>
      </w:hyperlink>
    </w:p>
    <w:p>
      <w:pPr>
        <w:pStyle w:val="TOC2"/>
        <w:tabs>
          <w:tab w:val="right" w:leader="dot" w:pos="8306"/>
        </w:tabs>
      </w:pPr>
      <w:hyperlink w:anchor="_Toc7398" w:history="1">
        <w:r>
          <w:rPr>
            <w:rFonts w:ascii="仿宋" w:eastAsia="仿宋" w:hAnsi="仿宋" w:cs="仿宋" w:hint="eastAsia"/>
            <w:lang w:eastAsia="zh-CN"/>
          </w:rPr>
          <w:t>(三)、监督与评估机制</w:t>
        </w:r>
        <w:r>
          <w:tab/>
        </w:r>
        <w:r>
          <w:fldChar w:fldCharType="begin"/>
        </w:r>
        <w:r>
          <w:instrText xml:space="preserve"> PAGEREF _Toc7398 \h </w:instrText>
        </w:r>
        <w:r>
          <w:fldChar w:fldCharType="separate"/>
        </w:r>
        <w:r>
          <w:t>43</w:t>
        </w:r>
        <w:r>
          <w:fldChar w:fldCharType="end"/>
        </w:r>
      </w:hyperlink>
    </w:p>
    <w:p>
      <w:pPr>
        <w:pStyle w:val="TOC2"/>
        <w:tabs>
          <w:tab w:val="right" w:leader="dot" w:pos="8306"/>
        </w:tabs>
      </w:pPr>
      <w:hyperlink w:anchor="_Toc21686" w:history="1">
        <w:r>
          <w:rPr>
            <w:rFonts w:ascii="仿宋" w:eastAsia="仿宋" w:hAnsi="仿宋" w:cs="仿宋" w:hint="eastAsia"/>
            <w:lang w:eastAsia="zh-CN"/>
          </w:rPr>
          <w:t>(四)、持续改进与反馈</w:t>
        </w:r>
        <w:r>
          <w:tab/>
        </w:r>
        <w:r>
          <w:fldChar w:fldCharType="begin"/>
        </w:r>
        <w:r>
          <w:instrText xml:space="preserve"> PAGEREF _Toc21686 \h </w:instrText>
        </w:r>
        <w:r>
          <w:fldChar w:fldCharType="separate"/>
        </w:r>
        <w:r>
          <w:t>44</w:t>
        </w:r>
        <w:r>
          <w:fldChar w:fldCharType="end"/>
        </w:r>
      </w:hyperlink>
    </w:p>
    <w:p>
      <w:pPr>
        <w:pStyle w:val="TOC1"/>
        <w:tabs>
          <w:tab w:val="right" w:leader="dot" w:pos="8306"/>
        </w:tabs>
      </w:pPr>
      <w:hyperlink w:anchor="_Toc24624" w:history="1">
        <w:r>
          <w:rPr>
            <w:rFonts w:ascii="仿宋" w:eastAsia="仿宋" w:hAnsi="仿宋" w:cs="仿宋" w:hint="eastAsia"/>
            <w:lang w:eastAsia="zh-CN"/>
          </w:rPr>
          <w:t>九、员工福利与团队建设</w:t>
        </w:r>
        <w:r>
          <w:tab/>
        </w:r>
        <w:r>
          <w:fldChar w:fldCharType="begin"/>
        </w:r>
        <w:r>
          <w:instrText xml:space="preserve"> PAGEREF _Toc24624 \h </w:instrText>
        </w:r>
        <w:r>
          <w:fldChar w:fldCharType="separate"/>
        </w:r>
        <w:r>
          <w:t>47</w:t>
        </w:r>
        <w:r>
          <w:fldChar w:fldCharType="end"/>
        </w:r>
      </w:hyperlink>
    </w:p>
    <w:p>
      <w:pPr>
        <w:pStyle w:val="TOC2"/>
        <w:tabs>
          <w:tab w:val="right" w:leader="dot" w:pos="8306"/>
        </w:tabs>
      </w:pPr>
      <w:hyperlink w:anchor="_Toc2351" w:history="1">
        <w:r>
          <w:rPr>
            <w:rFonts w:ascii="仿宋" w:eastAsia="仿宋" w:hAnsi="仿宋" w:cs="仿宋" w:hint="eastAsia"/>
            <w:lang w:eastAsia="zh-CN"/>
          </w:rPr>
          <w:t>(一)、员工福利政策制定</w:t>
        </w:r>
        <w:r>
          <w:tab/>
        </w:r>
        <w:r>
          <w:fldChar w:fldCharType="begin"/>
        </w:r>
        <w:r>
          <w:instrText xml:space="preserve"> PAGEREF _Toc2351 \h </w:instrText>
        </w:r>
        <w:r>
          <w:fldChar w:fldCharType="separate"/>
        </w:r>
        <w:r>
          <w:t>47</w:t>
        </w:r>
        <w:r>
          <w:fldChar w:fldCharType="end"/>
        </w:r>
      </w:hyperlink>
    </w:p>
    <w:p>
      <w:pPr>
        <w:pStyle w:val="TOC2"/>
        <w:tabs>
          <w:tab w:val="right" w:leader="dot" w:pos="8306"/>
        </w:tabs>
      </w:pPr>
      <w:hyperlink w:anchor="_Toc16216" w:history="1">
        <w:r>
          <w:rPr>
            <w:rFonts w:ascii="仿宋" w:eastAsia="仿宋" w:hAnsi="仿宋" w:cs="仿宋" w:hint="eastAsia"/>
            <w:lang w:eastAsia="zh-CN"/>
          </w:rPr>
          <w:t>(二)、团队建设活动规划</w:t>
        </w:r>
        <w:r>
          <w:tab/>
        </w:r>
        <w:r>
          <w:fldChar w:fldCharType="begin"/>
        </w:r>
        <w:r>
          <w:instrText xml:space="preserve"> PAGEREF _Toc16216 \h </w:instrText>
        </w:r>
        <w:r>
          <w:fldChar w:fldCharType="separate"/>
        </w:r>
        <w:r>
          <w:t>49</w:t>
        </w:r>
        <w:r>
          <w:fldChar w:fldCharType="end"/>
        </w:r>
      </w:hyperlink>
    </w:p>
    <w:p>
      <w:pPr>
        <w:pStyle w:val="TOC2"/>
        <w:tabs>
          <w:tab w:val="right" w:leader="dot" w:pos="8306"/>
        </w:tabs>
      </w:pPr>
      <w:hyperlink w:anchor="_Toc3868" w:history="1">
        <w:r>
          <w:rPr>
            <w:rFonts w:ascii="仿宋" w:eastAsia="仿宋" w:hAnsi="仿宋" w:cs="仿宋" w:hint="eastAsia"/>
            <w:lang w:eastAsia="zh-CN"/>
          </w:rPr>
          <w:t>(三)、员工关怀与激励措施</w:t>
        </w:r>
        <w:r>
          <w:tab/>
        </w:r>
        <w:r>
          <w:fldChar w:fldCharType="begin"/>
        </w:r>
        <w:r>
          <w:instrText xml:space="preserve"> PAGEREF _Toc3868 \h </w:instrText>
        </w:r>
        <w:r>
          <w:fldChar w:fldCharType="separate"/>
        </w:r>
        <w:r>
          <w:t>49</w:t>
        </w:r>
        <w:r>
          <w:fldChar w:fldCharType="end"/>
        </w:r>
      </w:hyperlink>
    </w:p>
    <w:p>
      <w:pPr>
        <w:pStyle w:val="TOC2"/>
        <w:tabs>
          <w:tab w:val="right" w:leader="dot" w:pos="8306"/>
        </w:tabs>
      </w:pPr>
      <w:hyperlink w:anchor="_Toc30724" w:history="1">
        <w:r>
          <w:rPr>
            <w:rFonts w:ascii="仿宋" w:eastAsia="仿宋" w:hAnsi="仿宋" w:cs="仿宋" w:hint="eastAsia"/>
            <w:lang w:eastAsia="zh-CN"/>
          </w:rPr>
          <w:t>(四)、团队文化与价值观塑造</w:t>
        </w:r>
        <w:r>
          <w:tab/>
        </w:r>
        <w:r>
          <w:fldChar w:fldCharType="begin"/>
        </w:r>
        <w:r>
          <w:instrText xml:space="preserve"> PAGEREF _Toc30724 \h </w:instrText>
        </w:r>
        <w:r>
          <w:fldChar w:fldCharType="separate"/>
        </w:r>
        <w:r>
          <w:t>51</w:t>
        </w:r>
        <w:r>
          <w:fldChar w:fldCharType="end"/>
        </w:r>
      </w:hyperlink>
    </w:p>
    <w:p>
      <w:pPr>
        <w:pStyle w:val="TOC1"/>
        <w:tabs>
          <w:tab w:val="right" w:leader="dot" w:pos="8306"/>
        </w:tabs>
      </w:pPr>
      <w:hyperlink w:anchor="_Toc26593" w:history="1">
        <w:r>
          <w:rPr>
            <w:rFonts w:ascii="仿宋" w:eastAsia="仿宋" w:hAnsi="仿宋" w:cs="仿宋" w:hint="eastAsia"/>
            <w:lang w:eastAsia="zh-CN"/>
          </w:rPr>
          <w:t>十、成本控制与效益提升</w:t>
        </w:r>
        <w:r>
          <w:tab/>
        </w:r>
        <w:r>
          <w:fldChar w:fldCharType="begin"/>
        </w:r>
        <w:r>
          <w:instrText xml:space="preserve"> PAGEREF _Toc26593 \h </w:instrText>
        </w:r>
        <w:r>
          <w:fldChar w:fldCharType="separate"/>
        </w:r>
        <w:r>
          <w:t>52</w:t>
        </w:r>
        <w:r>
          <w:fldChar w:fldCharType="end"/>
        </w:r>
      </w:hyperlink>
    </w:p>
    <w:p>
      <w:pPr>
        <w:pStyle w:val="TOC2"/>
        <w:tabs>
          <w:tab w:val="right" w:leader="dot" w:pos="8306"/>
        </w:tabs>
      </w:pPr>
      <w:hyperlink w:anchor="_Toc16118" w:history="1">
        <w:r>
          <w:rPr>
            <w:rFonts w:ascii="仿宋" w:eastAsia="仿宋" w:hAnsi="仿宋" w:cs="仿宋" w:hint="eastAsia"/>
            <w:lang w:eastAsia="zh-CN"/>
          </w:rPr>
          <w:t>(一)、成本核算与预算管理</w:t>
        </w:r>
        <w:r>
          <w:tab/>
        </w:r>
        <w:r>
          <w:fldChar w:fldCharType="begin"/>
        </w:r>
        <w:r>
          <w:instrText xml:space="preserve"> PAGEREF _Toc16118 \h </w:instrText>
        </w:r>
        <w:r>
          <w:fldChar w:fldCharType="separate"/>
        </w:r>
        <w:r>
          <w:t>52</w:t>
        </w:r>
        <w:r>
          <w:fldChar w:fldCharType="end"/>
        </w:r>
      </w:hyperlink>
    </w:p>
    <w:p>
      <w:pPr>
        <w:pStyle w:val="TOC2"/>
        <w:tabs>
          <w:tab w:val="right" w:leader="dot" w:pos="8306"/>
        </w:tabs>
      </w:pPr>
      <w:hyperlink w:anchor="_Toc4710" w:history="1">
        <w:r>
          <w:rPr>
            <w:rFonts w:ascii="仿宋" w:eastAsia="仿宋" w:hAnsi="仿宋" w:cs="仿宋" w:hint="eastAsia"/>
            <w:lang w:eastAsia="zh-CN"/>
          </w:rPr>
          <w:t>(二)、资源利用效率评估</w:t>
        </w:r>
        <w:r>
          <w:tab/>
        </w:r>
        <w:r>
          <w:fldChar w:fldCharType="begin"/>
        </w:r>
        <w:r>
          <w:instrText xml:space="preserve"> PAGEREF _Toc4710 \h </w:instrText>
        </w:r>
        <w:r>
          <w:fldChar w:fldCharType="separate"/>
        </w:r>
        <w:r>
          <w:t>54</w:t>
        </w:r>
        <w:r>
          <w:fldChar w:fldCharType="end"/>
        </w:r>
      </w:hyperlink>
    </w:p>
    <w:p>
      <w:pPr>
        <w:pStyle w:val="TOC2"/>
        <w:tabs>
          <w:tab w:val="right" w:leader="dot" w:pos="8306"/>
        </w:tabs>
      </w:pPr>
      <w:hyperlink w:anchor="_Toc26620" w:history="1">
        <w:r>
          <w:rPr>
            <w:rFonts w:ascii="仿宋" w:eastAsia="仿宋" w:hAnsi="仿宋" w:cs="仿宋" w:hint="eastAsia"/>
            <w:lang w:eastAsia="zh-CN"/>
          </w:rPr>
          <w:t>(三)、降本增效的具体措施</w:t>
        </w:r>
        <w:r>
          <w:tab/>
        </w:r>
        <w:r>
          <w:fldChar w:fldCharType="begin"/>
        </w:r>
        <w:r>
          <w:instrText xml:space="preserve"> PAGEREF _Toc26620 \h </w:instrText>
        </w:r>
        <w:r>
          <w:fldChar w:fldCharType="separate"/>
        </w:r>
        <w:r>
          <w:t>56</w:t>
        </w:r>
        <w:r>
          <w:fldChar w:fldCharType="end"/>
        </w:r>
      </w:hyperlink>
    </w:p>
    <w:p>
      <w:pPr>
        <w:pStyle w:val="TOC2"/>
        <w:tabs>
          <w:tab w:val="right" w:leader="dot" w:pos="8306"/>
        </w:tabs>
      </w:pPr>
      <w:hyperlink w:anchor="_Toc10678" w:history="1">
        <w:r>
          <w:rPr>
            <w:rFonts w:ascii="仿宋" w:eastAsia="仿宋" w:hAnsi="仿宋" w:cs="仿宋" w:hint="eastAsia"/>
            <w:lang w:eastAsia="zh-CN"/>
          </w:rPr>
          <w:t>(四)、成本与效益的平衡策略</w:t>
        </w:r>
        <w:r>
          <w:tab/>
        </w:r>
        <w:r>
          <w:fldChar w:fldCharType="begin"/>
        </w:r>
        <w:r>
          <w:instrText xml:space="preserve"> PAGEREF _Toc10678 \h </w:instrText>
        </w:r>
        <w:r>
          <w:fldChar w:fldCharType="separate"/>
        </w:r>
        <w:r>
          <w:t>58</w:t>
        </w:r>
        <w:r>
          <w:fldChar w:fldCharType="end"/>
        </w:r>
      </w:hyperlink>
    </w:p>
    <w:p>
      <w:pPr>
        <w:pStyle w:val="TOC1"/>
        <w:tabs>
          <w:tab w:val="right" w:leader="dot" w:pos="8306"/>
        </w:tabs>
      </w:pPr>
      <w:hyperlink w:anchor="_Toc18053" w:history="1">
        <w:r>
          <w:rPr>
            <w:rFonts w:ascii="仿宋" w:eastAsia="仿宋" w:hAnsi="仿宋" w:cs="仿宋" w:hint="eastAsia"/>
            <w:lang w:eastAsia="zh-CN"/>
          </w:rPr>
          <w:t>十一、合规与风险管理</w:t>
        </w:r>
        <w:r>
          <w:tab/>
        </w:r>
        <w:r>
          <w:fldChar w:fldCharType="begin"/>
        </w:r>
        <w:r>
          <w:instrText xml:space="preserve"> PAGEREF _Toc18053 \h </w:instrText>
        </w:r>
        <w:r>
          <w:fldChar w:fldCharType="separate"/>
        </w:r>
        <w:r>
          <w:t>59</w:t>
        </w:r>
        <w:r>
          <w:fldChar w:fldCharType="end"/>
        </w:r>
      </w:hyperlink>
    </w:p>
    <w:p>
      <w:pPr>
        <w:pStyle w:val="TOC2"/>
        <w:tabs>
          <w:tab w:val="right" w:leader="dot" w:pos="8306"/>
        </w:tabs>
      </w:pPr>
      <w:hyperlink w:anchor="_Toc3537" w:history="1">
        <w:r>
          <w:rPr>
            <w:rFonts w:ascii="仿宋" w:eastAsia="仿宋" w:hAnsi="仿宋" w:cs="仿宋" w:hint="eastAsia"/>
            <w:lang w:eastAsia="zh-CN"/>
          </w:rPr>
          <w:t>(一)、法律法规合规体系</w:t>
        </w:r>
        <w:r>
          <w:tab/>
        </w:r>
        <w:r>
          <w:fldChar w:fldCharType="begin"/>
        </w:r>
        <w:r>
          <w:instrText xml:space="preserve"> PAGEREF _Toc3537 \h </w:instrText>
        </w:r>
        <w:r>
          <w:fldChar w:fldCharType="separate"/>
        </w:r>
        <w:r>
          <w:t>59</w:t>
        </w:r>
        <w:r>
          <w:fldChar w:fldCharType="end"/>
        </w:r>
      </w:hyperlink>
    </w:p>
    <w:p>
      <w:pPr>
        <w:pStyle w:val="TOC2"/>
        <w:tabs>
          <w:tab w:val="right" w:leader="dot" w:pos="8306"/>
        </w:tabs>
      </w:pPr>
      <w:hyperlink w:anchor="_Toc21427" w:history="1">
        <w:r>
          <w:rPr>
            <w:rFonts w:ascii="仿宋" w:eastAsia="仿宋" w:hAnsi="仿宋" w:cs="仿宋" w:hint="eastAsia"/>
            <w:lang w:eastAsia="zh-CN"/>
          </w:rPr>
          <w:t>(二)、内部控制与风险评估</w:t>
        </w:r>
        <w:r>
          <w:tab/>
        </w:r>
        <w:r>
          <w:fldChar w:fldCharType="begin"/>
        </w:r>
        <w:r>
          <w:instrText xml:space="preserve"> PAGEREF _Toc21427 \h </w:instrText>
        </w:r>
        <w:r>
          <w:fldChar w:fldCharType="separate"/>
        </w:r>
        <w:r>
          <w:t>60</w:t>
        </w:r>
        <w:r>
          <w:fldChar w:fldCharType="end"/>
        </w:r>
      </w:hyperlink>
    </w:p>
    <w:p>
      <w:pPr>
        <w:pStyle w:val="TOC2"/>
        <w:tabs>
          <w:tab w:val="right" w:leader="dot" w:pos="8306"/>
        </w:tabs>
      </w:pPr>
      <w:hyperlink w:anchor="_Toc4074" w:history="1">
        <w:r>
          <w:rPr>
            <w:rFonts w:ascii="仿宋" w:eastAsia="仿宋" w:hAnsi="仿宋" w:cs="仿宋" w:hint="eastAsia"/>
            <w:lang w:eastAsia="zh-CN"/>
          </w:rPr>
          <w:t>(三)、合规培训与执行</w:t>
        </w:r>
        <w:r>
          <w:tab/>
        </w:r>
        <w:r>
          <w:fldChar w:fldCharType="begin"/>
        </w:r>
        <w:r>
          <w:instrText xml:space="preserve"> PAGEREF _Toc4074 \h </w:instrText>
        </w:r>
        <w:r>
          <w:fldChar w:fldCharType="separate"/>
        </w:r>
        <w:r>
          <w:t>61</w:t>
        </w:r>
        <w:r>
          <w:fldChar w:fldCharType="end"/>
        </w:r>
      </w:hyperlink>
    </w:p>
    <w:p>
      <w:pPr>
        <w:pStyle w:val="TOC2"/>
        <w:tabs>
          <w:tab w:val="right" w:leader="dot" w:pos="8306"/>
        </w:tabs>
      </w:pPr>
      <w:hyperlink w:anchor="_Toc19999" w:history="1">
        <w:r>
          <w:rPr>
            <w:rFonts w:ascii="仿宋" w:eastAsia="仿宋" w:hAnsi="仿宋" w:cs="仿宋" w:hint="eastAsia"/>
            <w:lang w:eastAsia="zh-CN"/>
          </w:rPr>
          <w:t>(四)、合规监测与修正机制</w:t>
        </w:r>
        <w:r>
          <w:tab/>
        </w:r>
        <w:r>
          <w:fldChar w:fldCharType="begin"/>
        </w:r>
        <w:r>
          <w:instrText xml:space="preserve"> PAGEREF _Toc19999 \h </w:instrText>
        </w:r>
        <w:r>
          <w:fldChar w:fldCharType="separate"/>
        </w:r>
        <w:r>
          <w:t>63</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540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在快速变化的商业世界中，其它核材料及相关特殊材料企业要想保持竞争力和持续增长，就必须进行战略层面的思考和规划。本方案提供了一个框架，帮助其它核材料及相关特殊材料企业识别核心竞争力，评估市场机会，以及制定必要的战略行动以保持其市场地位。本方案介绍了制定企业发展战略的方法论，并提出了一系列战略计划的关键元素。本文档明确指出，其内容仅供学习交流，不可做为商业用途。</w:t>
      </w:r>
    </w:p>
    <w:p>
      <w:pPr>
        <w:pStyle w:val="Heading1"/>
        <w:ind w:firstLine="560" w:firstLineChars="200"/>
        <w:rPr>
          <w:rFonts w:ascii="仿宋" w:eastAsia="仿宋" w:hAnsi="仿宋" w:cs="仿宋" w:hint="eastAsia"/>
          <w:sz w:val="28"/>
          <w:lang w:eastAsia="zh-CN"/>
        </w:rPr>
      </w:pPr>
      <w:bookmarkStart w:id="2" w:name="_Toc27704"/>
      <w:r>
        <w:rPr>
          <w:rFonts w:ascii="仿宋" w:eastAsia="仿宋" w:hAnsi="仿宋" w:cs="仿宋" w:hint="eastAsia"/>
          <w:sz w:val="28"/>
          <w:lang w:eastAsia="zh-CN"/>
        </w:rPr>
        <w:t>一、其它核材料及相关特殊材料项目概论</w:t>
      </w:r>
      <w:bookmarkEnd w:id="2"/>
    </w:p>
    <w:p>
      <w:pPr>
        <w:pStyle w:val="Heading2"/>
        <w:rPr>
          <w:rFonts w:ascii="仿宋" w:eastAsia="仿宋" w:hAnsi="仿宋" w:cs="仿宋" w:hint="eastAsia"/>
          <w:lang w:eastAsia="zh-CN"/>
        </w:rPr>
      </w:pPr>
      <w:bookmarkStart w:id="3" w:name="_Toc1120"/>
      <w:r>
        <w:rPr>
          <w:rFonts w:ascii="仿宋" w:eastAsia="仿宋" w:hAnsi="仿宋" w:cs="仿宋" w:hint="eastAsia"/>
          <w:lang w:eastAsia="zh-CN"/>
        </w:rPr>
        <w:t>(一)、创新计划及其它核材料及相关特殊材料项目性质</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XX其它核材料及相关特殊材料项目</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其它核材料及相关特殊材料项目建设性质</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本其它核材料及相关特殊材料项目为新建其它核材料及相关特殊材料项目，充分依托于XXX产业示范园区的雄厚产业基础和创新环境。通过充分发挥区域的得天独厚的地理位置和产业资源优势，计划全力打造以BBB为核心的综合性产业基地，预期年产值将达到XXX万元。</w:t>
      </w:r>
    </w:p>
    <w:p>
      <w:pPr>
        <w:pStyle w:val="Heading2"/>
        <w:ind w:firstLine="560" w:firstLineChars="200"/>
        <w:rPr>
          <w:rFonts w:ascii="仿宋" w:eastAsia="仿宋" w:hAnsi="仿宋" w:cs="仿宋" w:hint="eastAsia"/>
          <w:sz w:val="28"/>
          <w:lang w:eastAsia="zh-CN"/>
        </w:rPr>
      </w:pPr>
      <w:bookmarkStart w:id="4" w:name="_Toc15466"/>
      <w:r>
        <w:rPr>
          <w:rFonts w:ascii="仿宋" w:eastAsia="仿宋" w:hAnsi="仿宋" w:cs="仿宋" w:hint="eastAsia"/>
          <w:sz w:val="28"/>
          <w:lang w:eastAsia="zh-CN"/>
        </w:rPr>
        <w:t>(二)、主管单位与其它核材料及相关特殊材料项目执行方</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(一) 集团名称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(二) 集团业务范围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集团以多元化经营为主导，涵盖了广泛的行业领域。主要业务包括但不限于制造业、服务业、科技创新等。通过多领域的布局，XXX 集团致力于在不同领域取得卓越业绩，为客户提供全面的解决方案。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(三) 企业愿景</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集团的企业愿景是成为行业领先者，不仅在本土市场上占有显著份额，更在全球范围内展现出卓越的竞争力。通过不断创新和提升管理水平，XXX 集团追求成为可持续发展的企业，为员工、股东和社会创造更大的价值。</w:t>
      </w:r>
    </w:p>
    <w:p>
      <w:pPr>
        <w:ind w:firstLine="560" w:firstLineChars="200"/>
        <w:rPr>
          <w:rFonts w:ascii="仿宋" w:eastAsia="仿宋" w:hAnsi="仿宋" w:cs="仿宋" w:hint="eastAsia"/>
          <w:sz w:val="28"/>
        </w:rPr>
      </w:pPr>
      <w:r>
        <w:rPr>
          <w:rFonts w:ascii="仿宋" w:eastAsia="仿宋" w:hAnsi="仿宋" w:cs="仿宋" w:hint="eastAsia"/>
          <w:sz w:val="28"/>
          <w:lang w:eastAsia="zh-CN"/>
        </w:rPr>
        <w:t>(四) 企业核心价值观</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集团秉承着以客户为中心的核心价值观。在服务客户的过程中，我们注重品质、创新和诚信。通过不懈努力，XXX 集团致力于为客户提供卓越的产品和服务，与客户共同成长。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(五) 公司使命</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XXX 集团的使命是通过提供高品质的产品和服务，不断创新和改进，为社会创造更多就业机会，为经济发展做出积极贡献。通过可持续经营，XXX 集团致力于成为社会的责任企业。</w:t>
      </w:r>
    </w:p>
    <w:p>
      <w:pPr>
        <w:pStyle w:val="Heading2"/>
        <w:ind w:firstLine="560" w:firstLineChars="200"/>
        <w:rPr>
          <w:rFonts w:ascii="仿宋" w:eastAsia="仿宋" w:hAnsi="仿宋" w:cs="仿宋" w:hint="eastAsia"/>
          <w:sz w:val="28"/>
          <w:lang w:eastAsia="zh-CN"/>
        </w:rPr>
      </w:pPr>
      <w:bookmarkStart w:id="5" w:name="_Toc26234"/>
      <w:r>
        <w:rPr>
          <w:rFonts w:ascii="仿宋" w:eastAsia="仿宋" w:hAnsi="仿宋" w:cs="仿宋" w:hint="eastAsia"/>
          <w:sz w:val="28"/>
          <w:lang w:eastAsia="zh-CN"/>
        </w:rPr>
        <w:t>(三)、战略协作伙伴</w:t>
      </w:r>
      <w:bookmarkEnd w:id="5"/>
    </w:p>
    <w:p>
      <w:pPr>
        <w:ind w:firstLine="560" w:firstLineChars="200"/>
        <w:rPr>
          <w:rFonts w:ascii="仿宋" w:eastAsia="仿宋" w:hAnsi="仿宋" w:cs="仿宋" w:hint="eastAsia"/>
          <w:sz w:val="28"/>
        </w:rPr>
      </w:pPr>
    </w:p>
    <w:p>
      <w:pPr>
        <w:ind w:firstLine="560" w:firstLineChars="200"/>
        <w:rPr>
          <w:rFonts w:ascii="仿宋" w:eastAsia="仿宋" w:hAnsi="仿宋" w:cs="仿宋" w:hint="eastAsia"/>
          <w:sz w:val="28"/>
        </w:rPr>
      </w:pPr>
      <w:r>
        <w:rPr>
          <w:rFonts w:ascii="仿宋" w:eastAsia="仿宋" w:hAnsi="仿宋" w:cs="仿宋" w:hint="eastAsia"/>
          <w:sz w:val="28"/>
          <w:lang w:eastAsia="zh-CN"/>
        </w:rPr>
        <w:t>(1) 战略合作单位</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w:t>
      </w:r>
    </w:p>
    <w:p>
      <w:pPr>
        <w:ind w:firstLine="560" w:firstLineChars="200"/>
        <w:rPr>
          <w:rFonts w:ascii="仿宋" w:eastAsia="仿宋" w:hAnsi="仿宋" w:cs="仿宋" w:hint="eastAsia"/>
          <w:sz w:val="28"/>
        </w:rPr>
      </w:pPr>
      <w:r>
        <w:rPr>
          <w:rFonts w:ascii="仿宋" w:eastAsia="仿宋" w:hAnsi="仿宋" w:cs="仿宋" w:hint="eastAsia"/>
          <w:sz w:val="28"/>
          <w:lang w:eastAsia="zh-CN"/>
        </w:rPr>
        <w:t>(2) 合作背景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战略合作单位XXX 集团是我公司重要的合作伙伴之一。基于双方在多个领域的共同价值观和业务目标，我们建立了紧密的战略合作关系。XXX 集团在其行业内具有卓越的声誉和领导地位，拥有雄厚的实力和丰富的资源。</w:t>
      </w:r>
    </w:p>
    <w:p>
      <w:pPr>
        <w:ind w:firstLine="560" w:firstLineChars="200"/>
        <w:rPr>
          <w:rFonts w:ascii="仿宋" w:eastAsia="仿宋" w:hAnsi="仿宋" w:cs="仿宋" w:hint="eastAsia"/>
          <w:sz w:val="28"/>
        </w:rPr>
      </w:pPr>
      <w:r>
        <w:rPr>
          <w:rFonts w:ascii="仿宋" w:eastAsia="仿宋" w:hAnsi="仿宋" w:cs="仿宋" w:hint="eastAsia"/>
          <w:sz w:val="28"/>
          <w:lang w:eastAsia="zh-CN"/>
        </w:rPr>
        <w:t>(3) 合作目标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双方携手合作的目标是共同推动行业的发展，实现资源共享、互利共赢。通过深化合作，我们将充分发挥各自的优势，共同开发新的市场机会，提升核心竞争力，实现更大范围的合作共赢。</w:t>
      </w:r>
    </w:p>
    <w:p>
      <w:pPr>
        <w:ind w:firstLine="560" w:firstLineChars="200"/>
        <w:rPr>
          <w:rFonts w:ascii="仿宋" w:eastAsia="仿宋" w:hAnsi="仿宋" w:cs="仿宋" w:hint="eastAsia"/>
          <w:sz w:val="28"/>
        </w:rPr>
      </w:pPr>
      <w:r>
        <w:rPr>
          <w:rFonts w:ascii="仿宋" w:eastAsia="仿宋" w:hAnsi="仿宋" w:cs="仿宋" w:hint="eastAsia"/>
          <w:sz w:val="28"/>
          <w:lang w:eastAsia="zh-CN"/>
        </w:rPr>
        <w:t>(4) 合作领域</w:t>
      </w:r>
    </w:p>
    <w:p>
      <w:pPr>
        <w:ind w:firstLine="560" w:firstLineChars="200"/>
        <w:rPr>
          <w:rFonts w:ascii="仿宋" w:eastAsia="仿宋" w:hAnsi="仿宋" w:cs="仿宋" w:hint="eastAsia"/>
          <w:sz w:val="28"/>
        </w:rPr>
      </w:pPr>
      <w:r>
        <w:rPr>
          <w:rFonts w:ascii="仿宋" w:eastAsia="仿宋" w:hAnsi="仿宋" w:cs="仿宋" w:hint="eastAsia"/>
          <w:sz w:val="28"/>
          <w:lang w:eastAsia="zh-CN"/>
        </w:rPr>
        <w:t>XXX 集团作为战略合作单位，我们将在多个领域展开合作，包括但不限于技术创新、市场拓展、资源整合等。通过共同努力，我们期待在这些领域取得卓越的成绩，为双方的长期合作奠定坚实基础。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(5) 未来展望</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双方将本着平等、互信、共赢的原则，不断加深战略合作，拓展合作领域，共同应对行业的各种挑战。XXX 集团作为战略合作单位，将与我公司一道，迎接未来的机遇和挑战，共同推动行业的繁荣和发展。</w:t>
      </w:r>
    </w:p>
    <w:p>
      <w:pPr>
        <w:pStyle w:val="Heading2"/>
        <w:ind w:firstLine="560" w:firstLineChars="200"/>
        <w:rPr>
          <w:rFonts w:ascii="仿宋" w:eastAsia="仿宋" w:hAnsi="仿宋" w:cs="仿宋" w:hint="eastAsia"/>
          <w:sz w:val="28"/>
          <w:lang w:eastAsia="zh-CN"/>
        </w:rPr>
      </w:pPr>
      <w:bookmarkStart w:id="6" w:name="_Toc14003"/>
      <w:r>
        <w:rPr>
          <w:rFonts w:ascii="仿宋" w:eastAsia="仿宋" w:hAnsi="仿宋" w:cs="仿宋" w:hint="eastAsia"/>
          <w:sz w:val="28"/>
          <w:lang w:eastAsia="zh-CN"/>
        </w:rPr>
        <w:t>(四)、其它核材料及相关特殊材料项目提出背景和合理性</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其它核材料及相关特殊材料项目背景分析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市场环境的不断变化和行业竞争的加剧，公司认识到需要进一步拓展业务领域以保持竞争力和可持续发展。对于新的市场机遇和挑战，其它核材料及相关特殊材料项目提出旨在满足不断增长的市场需求，提高公司的市场份额，实现业务的多元化和可持续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行业发展趋势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所处行业的深入研究和分析，我们发现了一系列有利于公司发展的行业趋势。这些趋势包括技术创新、市场需求的变化、消费者行为的转变等。其它核材料及相关特殊材料项目的提出是基于对这些趋势的准确把握，旨在抓住时机，为公司在未来的市场竞争中赢得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公司资源和能力</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拥有丰富的资源和核心能力，包括技术实力、品牌影响力、市场渠道等。通过充分发挥这些资源和能力，我们有望在其它核材料及相关特殊材料项目中取得显著的业绩。其它核材料及相关特殊材料项目的提出是基于对公司内部资源和能力的充分评估，力求在有限资源下实现最大的价值输出。</w:t>
      </w:r>
    </w:p>
    <w:p>
      <w:pPr>
        <w:ind w:firstLine="560" w:firstLineChars="200"/>
        <w:rPr>
          <w:rFonts w:ascii="仿宋" w:eastAsia="仿宋" w:hAnsi="仿宋" w:cs="仿宋" w:hint="eastAsia"/>
          <w:sz w:val="28"/>
        </w:rPr>
      </w:pPr>
      <w:r>
        <w:rPr>
          <w:rFonts w:ascii="仿宋" w:eastAsia="仿宋" w:hAnsi="仿宋" w:cs="仿宋" w:hint="eastAsia"/>
          <w:sz w:val="28"/>
          <w:lang w:eastAsia="zh-CN"/>
        </w:rPr>
        <w:t>(四) 市场调研和前期验证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提出之前，公司进行了全面的市场调研和前期验证工作。这包括对潜在市场的需求分析、竞争对手的情报搜集、潜在客户的反馈等。通过这些工作，我们确信其它核材料及相关特殊材料项目有望在市场上取得成功，能够有效满足客户需求，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(五) 战略规划和业务布局</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的战略规划和业务布局对其它核材料及相关特殊材料项目提出起到了指导作用。其它核材料及相关特殊材料项目的提出是为了实现公司更广泛的战略目标，强化在特定领域的竞争实力，实现战略的有序推进和全面实施。</w:t>
      </w:r>
    </w:p>
    <w:p>
      <w:pPr>
        <w:pStyle w:val="Heading2"/>
        <w:ind w:firstLine="560" w:firstLineChars="200"/>
        <w:rPr>
          <w:rFonts w:ascii="仿宋" w:eastAsia="仿宋" w:hAnsi="仿宋" w:cs="仿宋" w:hint="eastAsia"/>
          <w:sz w:val="28"/>
          <w:lang w:eastAsia="zh-CN"/>
        </w:rPr>
      </w:pPr>
      <w:bookmarkStart w:id="7" w:name="_Toc19449"/>
      <w:r>
        <w:rPr>
          <w:rFonts w:ascii="仿宋" w:eastAsia="仿宋" w:hAnsi="仿宋" w:cs="仿宋" w:hint="eastAsia"/>
          <w:sz w:val="28"/>
          <w:lang w:eastAsia="zh-CN"/>
        </w:rPr>
        <w:t>(五)、其它核材料及相关特殊材料项目选址和土地综合评估</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(一) 地理位置和选址优势</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选址于xxx区，该区地理位置优越，便于物流和人员流动。地处交通枢纽，对于物资运输和市场覆盖都有明显的优势。同时，该区自然环境优美，有利于其它核材料及相关特殊材料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区域经济环境分析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xxx区具备繁荣的经济环境，市场需求旺盛，为其它核材料及相关特殊材料项目提供了广阔的发展空间。区域内产业结构合理，对相关产业的支持和引导政策积极，为其它核材料及相关特殊材料项目的发展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(三) 用地状况和规划布局</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选址用地面积为XXXX平方米，用地状况平整且面积充足，为其它核材料及相关特殊材料项目建设提供了良好的条件。规划布局合理，充分考虑了未来的扩展和发展需求，确保其它核材料及相关特殊材料项目具备可持续经营的空间。</w:t>
      </w:r>
    </w:p>
    <w:p>
      <w:pPr>
        <w:ind w:firstLine="560" w:firstLineChars="200"/>
        <w:rPr>
          <w:rFonts w:ascii="仿宋" w:eastAsia="仿宋" w:hAnsi="仿宋" w:cs="仿宋" w:hint="eastAsia"/>
          <w:sz w:val="28"/>
        </w:rPr>
      </w:pPr>
      <w:r>
        <w:rPr>
          <w:rFonts w:ascii="仿宋" w:eastAsia="仿宋" w:hAnsi="仿宋" w:cs="仿宋" w:hint="eastAsia"/>
          <w:sz w:val="28"/>
          <w:lang w:eastAsia="zh-CN"/>
        </w:rPr>
        <w:t>(四) 生态环保和社会责任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在选址过程中，其它核材料及相关特殊材料项目充分考虑生态环保和社会责任。通过采取现代化的环保技术和管理手段，确保其它核材料及相关特殊材料项目对周边生态环境的影响最小。其它核材料及相关特殊材料项目还积极参与当地社区建设，履行企业社会责任，促进当地的经济和社会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(五) 用地综述</w:t>
      </w:r>
    </w:p>
    <w:p>
      <w:pPr>
        <w:ind w:firstLine="560" w:firstLineChars="200"/>
        <w:rPr>
          <w:rFonts w:ascii="仿宋" w:eastAsia="仿宋" w:hAnsi="仿宋" w:cs="仿宋" w:hint="eastAsia"/>
          <w:sz w:val="28"/>
        </w:rPr>
      </w:pPr>
      <w:r>
        <w:rPr>
          <w:rFonts w:ascii="仿宋" w:eastAsia="仿宋" w:hAnsi="仿宋" w:cs="仿宋" w:hint="eastAsia"/>
          <w:sz w:val="28"/>
          <w:lang w:eastAsia="zh-CN"/>
        </w:rPr>
        <w:t>考虑到xxx区的地理位置、区域经济环境、用地状况等因素，该用地选址为其它核材料及相关特殊材料项目提供了得天独厚的优势。用地规模适中，布局合理，有望成为其它核材料及相关特殊材料项目长期稳健发展的有力支持。</w:t>
      </w:r>
    </w:p>
    <w:p>
      <w:pPr>
        <w:pStyle w:val="Heading2"/>
        <w:ind w:firstLine="560" w:firstLineChars="200"/>
        <w:rPr>
          <w:rFonts w:ascii="仿宋" w:eastAsia="仿宋" w:hAnsi="仿宋" w:cs="仿宋" w:hint="eastAsia"/>
          <w:sz w:val="28"/>
          <w:lang w:eastAsia="zh-CN"/>
        </w:rPr>
      </w:pPr>
      <w:bookmarkStart w:id="8" w:name="_Toc26309"/>
      <w:r>
        <w:rPr>
          <w:rFonts w:ascii="仿宋" w:eastAsia="仿宋" w:hAnsi="仿宋" w:cs="仿宋" w:hint="eastAsia"/>
          <w:sz w:val="28"/>
          <w:lang w:eastAsia="zh-CN"/>
        </w:rPr>
        <w:t>(六)、土木工程建设目标</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其它核材料及相关特殊材料项目净用地面积为XXX平方米，建筑物基底占地面积XXX平方米，总建筑面积达到XXX平方米。其中，规划建设主体工程占地XXXX平方米，为其它核材料及相关特殊材料项目的核心建设区域。此外，其它核材料及相关特殊材料项目规划绿化面积为XXX平方米，通过合理规划和设计，将注重打造绿色、生态友好的其它核材料及相关特殊材料项目环境。</w:t>
      </w:r>
    </w:p>
    <w:p>
      <w:pPr>
        <w:pStyle w:val="Heading2"/>
        <w:ind w:firstLine="560" w:firstLineChars="200"/>
        <w:rPr>
          <w:rFonts w:ascii="仿宋" w:eastAsia="仿宋" w:hAnsi="仿宋" w:cs="仿宋" w:hint="eastAsia"/>
          <w:sz w:val="28"/>
          <w:lang w:eastAsia="zh-CN"/>
        </w:rPr>
      </w:pPr>
      <w:bookmarkStart w:id="9" w:name="_Toc309"/>
      <w:r>
        <w:rPr>
          <w:rFonts w:ascii="仿宋" w:eastAsia="仿宋" w:hAnsi="仿宋" w:cs="仿宋" w:hint="eastAsia"/>
          <w:sz w:val="28"/>
          <w:lang w:eastAsia="zh-CN"/>
        </w:rPr>
        <w:t>(七)、设备采购计划</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计划购置设备共计XXX台（套），主要包括：XXX生产线、XX设备、XX机、XX机、XXX仪等。设备购置费用为XXX万元，这些设备将在其它核材料及相关特殊材料项目实施中发挥重要作用，支持其它核材料及相关特殊材料项目的正常运营和生产。</w:t>
      </w:r>
    </w:p>
    <w:p>
      <w:pPr>
        <w:pStyle w:val="Heading2"/>
        <w:ind w:firstLine="560" w:firstLineChars="200"/>
        <w:rPr>
          <w:rFonts w:ascii="仿宋" w:eastAsia="仿宋" w:hAnsi="仿宋" w:cs="仿宋" w:hint="eastAsia"/>
          <w:sz w:val="28"/>
          <w:lang w:eastAsia="zh-CN"/>
        </w:rPr>
      </w:pPr>
      <w:bookmarkStart w:id="10" w:name="_Toc16731"/>
      <w:r>
        <w:rPr>
          <w:rFonts w:ascii="仿宋" w:eastAsia="仿宋" w:hAnsi="仿宋" w:cs="仿宋" w:hint="eastAsia"/>
          <w:sz w:val="28"/>
          <w:lang w:eastAsia="zh-CN"/>
        </w:rPr>
        <w:t>(八)、产品规划与开发方案</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根据其它核材料及相关特殊材料项目建设规划，达产年产品规划设计方案为XXX单位/年。这一方案综合考虑了XXX集团企业的发展战略、产品市场定位、资金筹措能力、产能发展需求、技术条件、销售渠道和策略、管理经验，以及相应的配套设备、人员素质，以及其它核材料及相关特殊材料项目所在地的建设条件、运输条件，以及XXX集团的投资能力和原辅材料的供应保障能力等多方面因素。</w:t>
      </w:r>
    </w:p>
    <w:p>
      <w:pPr>
        <w:ind w:firstLine="560" w:firstLineChars="200"/>
        <w:rPr>
          <w:rFonts w:ascii="仿宋" w:eastAsia="仿宋" w:hAnsi="仿宋" w:cs="仿宋" w:hint="eastAsia"/>
          <w:sz w:val="28"/>
        </w:rPr>
      </w:pPr>
      <w:r>
        <w:rPr>
          <w:rFonts w:ascii="仿宋" w:eastAsia="仿宋" w:hAnsi="仿宋" w:cs="仿宋" w:hint="eastAsia"/>
          <w:sz w:val="28"/>
          <w:lang w:eastAsia="zh-CN"/>
        </w:rPr>
        <w:t>为实现产能发展目标，其它核材料及相关特殊材料项目采用规模化、流水线生产方式进行布局，秉持“循序渐进、量入而出”的原则。这样的布局有助于提高生产效率，优化生产流程，确保产品质量，同时也有利于实现其它核材料及相关特殊材料项目的可持续发展。</w:t>
      </w:r>
    </w:p>
    <w:p>
      <w:pPr>
        <w:pStyle w:val="Heading2"/>
        <w:ind w:firstLine="560" w:firstLineChars="200"/>
        <w:rPr>
          <w:rFonts w:ascii="仿宋" w:eastAsia="仿宋" w:hAnsi="仿宋" w:cs="仿宋" w:hint="eastAsia"/>
          <w:sz w:val="28"/>
          <w:lang w:eastAsia="zh-CN"/>
        </w:rPr>
      </w:pPr>
      <w:bookmarkStart w:id="11" w:name="_Toc8885"/>
      <w:r>
        <w:rPr>
          <w:rFonts w:ascii="仿宋" w:eastAsia="仿宋" w:hAnsi="仿宋" w:cs="仿宋" w:hint="eastAsia"/>
          <w:sz w:val="28"/>
          <w:lang w:eastAsia="zh-CN"/>
        </w:rPr>
        <w:t>(九)、原材料供应保障</w:t>
      </w:r>
      <w:bookmarkEnd w:id="11"/>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的基础依赖于一系列主要原材料及辅助材料，其中包括Xxx、xxx、xx、xxx、xx等关键成分。为了确保其它核材料及相关特殊材料项目的顺利进行，Xxx集团已经经过认真考察，选择了一批高质量的供货单位，这些供货商拥有稳定的生产能力和卓越的供货记录。</w:t>
      </w:r>
    </w:p>
    <w:p>
      <w:pPr>
        <w:ind w:firstLine="560" w:firstLineChars="200"/>
        <w:rPr>
          <w:rFonts w:ascii="仿宋" w:eastAsia="仿宋" w:hAnsi="仿宋" w:cs="仿宋" w:hint="eastAsia"/>
          <w:sz w:val="28"/>
        </w:rPr>
      </w:pPr>
      <w:r>
        <w:rPr>
          <w:rFonts w:ascii="仿宋" w:eastAsia="仿宋" w:hAnsi="仿宋" w:cs="仿宋" w:hint="eastAsia"/>
          <w:sz w:val="28"/>
          <w:lang w:eastAsia="zh-CN"/>
        </w:rPr>
        <w:t>Xxx集团与这些供货单位建立了长期的战略伙伴关系，以确保原材料的及时供应和质量可控。这些供货单位不仅具备丰富的经验，而且采用先进的生产技术，可以满足其它核材料及相关特殊材料项目对原辅材料高标准的要求。他们拥有强大的生产能力和供应链体系，能够灵活应对市场变化，确保在其它核材料及相关特殊材料项目运营过程中不会出现原材料短缺或质量波动的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值得一提的是，Xxx集团的供货单位具备强大的资源整合能力，能够适应其它核材料及相关特殊材料项目未来扩大生产规模的需求。通过与这些供货商的密切合作，Xxx集团将确保其它核材料及相关特殊材料项目在原材料供应方面具有高度的稳定性和可持续性，为其它核材料及相关特殊材料项目的长期发展打下坚实的基础。这一战略性选择有助于提升其它核材料及相关特殊材料项目的整体效益，并使Xxx集团更好地适应市场的动态变化。</w:t>
      </w:r>
    </w:p>
    <w:p>
      <w:pPr>
        <w:pStyle w:val="Heading2"/>
        <w:ind w:firstLine="560" w:firstLineChars="200"/>
        <w:rPr>
          <w:rFonts w:ascii="仿宋" w:eastAsia="仿宋" w:hAnsi="仿宋" w:cs="仿宋" w:hint="eastAsia"/>
          <w:sz w:val="28"/>
          <w:lang w:eastAsia="zh-CN"/>
        </w:rPr>
      </w:pPr>
      <w:bookmarkStart w:id="12" w:name="_Toc26801"/>
      <w:r>
        <w:rPr>
          <w:rFonts w:ascii="仿宋" w:eastAsia="仿宋" w:hAnsi="仿宋" w:cs="仿宋" w:hint="eastAsia"/>
          <w:sz w:val="28"/>
          <w:lang w:eastAsia="zh-CN"/>
        </w:rPr>
        <w:t>(十)、其它核材料及相关特殊材料项目能源消耗分析</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 其它核材料及相关特殊材料项目能耗概况：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它核材料及相关特殊材料项目年用电量达到XXX千瓦时，相当于消耗了XX吨标准煤。这一电力需求覆盖了XX其它核材料及相关特殊材料项目的生产、办公以及公用设施等各方面的用电需求。通过合理的电力规划，确保其它核材料及相关特殊材料项目的正常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其它核材料及相关特殊材料项目用水情况：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它核材料及相关特殊材料项目年总用水量达到XXX立方米，相当于消耗了XX吨标准煤。主要用水包括生产补给水和办公及生活用水。其它核材料及相关特殊材料项目通过连接到xxx产业示范园区的市政管网，实现了对可靠水源的充分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3. 综合总耗能与节能效果：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其它核材料及相关特殊材料项目年用电量和总用水量的综合总耗能量（当量值）为XX吨标准煤/年。在达产年，其它核材料及相关特殊材料项目实现了XX吨标准煤/年的综合节能，总节能率达到了XX%。这意味着其它核材料及相关特殊材料项目在能源利用方面取得了显著的效果，通过采取综合性的节能措施，为企业节省了大量能源成本。</w:t>
      </w:r>
    </w:p>
    <w:p>
      <w:pPr>
        <w:ind w:firstLine="560" w:firstLineChars="200"/>
        <w:rPr>
          <w:rFonts w:ascii="仿宋" w:eastAsia="仿宋" w:hAnsi="仿宋" w:cs="仿宋" w:hint="eastAsia"/>
          <w:sz w:val="28"/>
        </w:rPr>
      </w:pPr>
      <w:r>
        <w:rPr>
          <w:rFonts w:ascii="仿宋" w:eastAsia="仿宋" w:hAnsi="仿宋" w:cs="仿宋" w:hint="eastAsia"/>
          <w:sz w:val="28"/>
          <w:lang w:eastAsia="zh-CN"/>
        </w:rPr>
        <w:t>这些数据不仅反映了其它核材料及相关特殊材料项目的能源需求和使用情况，还凸显了其它核材料及相关特殊材料项目在能源管理和节能方面所取得的显著成就。通过细致的能耗统计和全面的节能措施，其它核材料及相关特殊材料项目在提高效能的同时，为实现可持续发展目标迈出了坚实的一步。</w:t>
      </w:r>
    </w:p>
    <w:p>
      <w:pPr>
        <w:pStyle w:val="Heading2"/>
        <w:ind w:firstLine="560" w:firstLineChars="200"/>
        <w:rPr>
          <w:rFonts w:ascii="仿宋" w:eastAsia="仿宋" w:hAnsi="仿宋" w:cs="仿宋" w:hint="eastAsia"/>
          <w:sz w:val="28"/>
          <w:lang w:eastAsia="zh-CN"/>
        </w:rPr>
      </w:pPr>
      <w:bookmarkStart w:id="13" w:name="_Toc10836"/>
      <w:r>
        <w:rPr>
          <w:rFonts w:ascii="仿宋" w:eastAsia="仿宋" w:hAnsi="仿宋" w:cs="仿宋" w:hint="eastAsia"/>
          <w:sz w:val="28"/>
          <w:lang w:eastAsia="zh-CN"/>
        </w:rPr>
        <w:t>(十一)、环境保护</w:t>
      </w:r>
      <w:bookmarkEnd w:id="13"/>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的规划与设计充分契合xxx产业示范园区的发展方向，遵循了该园区的产业结构调整规划以及国家产业发展政策。我们深刻理解并积极响应国家对产业升级、结构优化的号召，确保其它核材料及相关特殊材料项目的发展与国家产业大势保持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为履行企业社会责任，其它核材料及相关特殊材料项目采取了全面而实际可行的治理措施，针对各类污染物制定了科学有效的控制方案，严格按照国家规定的排放标准执行。通过其它核材料及相关特殊材料项目的建设和运营，我们致力于最大程度地降低对区域生态环境的影响，确保环境质量在合理的范围内。</w:t>
      </w:r>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设计中，我们强调了清洁生产的理念，采用了清洁生产工艺，并选择了清洁原材料，以生产环保型产品。同时，我们实施了全面而有效的清洁生产措施，以达到减少和消除污染的目标。在其它核材料及相关特殊材料项目建成投产后，各项环境指标将严格符合国家和地方清洁生产的标准要求，确保其它核材料及相关特殊材料项目在运营过程中对周边环境的影响最小化，与国家环保政策相一致，共同促进绿色可持续发展。</w:t>
      </w:r>
    </w:p>
    <w:p>
      <w:pPr>
        <w:pStyle w:val="Heading2"/>
        <w:ind w:firstLine="560" w:firstLineChars="200"/>
        <w:rPr>
          <w:rFonts w:ascii="仿宋" w:eastAsia="仿宋" w:hAnsi="仿宋" w:cs="仿宋" w:hint="eastAsia"/>
          <w:sz w:val="28"/>
          <w:lang w:eastAsia="zh-CN"/>
        </w:rPr>
      </w:pPr>
      <w:bookmarkStart w:id="14" w:name="_Toc30104"/>
      <w:r>
        <w:rPr>
          <w:rFonts w:ascii="仿宋" w:eastAsia="仿宋" w:hAnsi="仿宋" w:cs="仿宋" w:hint="eastAsia"/>
          <w:sz w:val="28"/>
          <w:lang w:eastAsia="zh-CN"/>
        </w:rPr>
        <w:t>(十二)、其它核材料及相关特殊材料项目进度规划与执行</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工程其它核材料及相关特殊材料项目建设期限规划：</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其它核材料及相关特殊材料项目的建设期限被规划为XX个月，这一时间框架是在综合考虑其它核材料及相关特殊材料项目规模、复杂性、资源供给等多方面因素的基础上制定的。该期限的设定旨在充分保障其它核材料及相关特殊材料项目的质量、安全和进度，同时满足相关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 其它核材料及相关特殊材料项目分期、分段建设：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更好地管理和控制其它核材料及相关特殊材料项目，将整个其它核材料及相关特殊材料项目划分为若干个阶段，并在每个阶段内进行分段建设。这种分期、分段的策略有助于降低其它核材料及相关特殊材料项目的复杂性，使得每个阶段的目标更为清晰，易于实施。同时，也便于对每个分段进行有效的监督和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3. 其它核材料及相关特殊材料项目分解和工期目标分解：</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整个其它核材料及相关特殊材料项目规划中，对其它核材料及相关特殊材料项目进行详细的分解，将其它核材料及相关特殊材料项目划分为各个子其它核材料及相关特殊材料项目或主体工程，以便更好地管理各部分的施工。同时，明确各主体工程的工期目标，确保在规定的时间内完成相应的任务。这有助于提高工程的组织性和可控性。</w:t>
      </w:r>
    </w:p>
    <w:p>
      <w:pPr>
        <w:ind w:firstLine="560" w:firstLineChars="200"/>
        <w:rPr>
          <w:rFonts w:ascii="仿宋" w:eastAsia="仿宋" w:hAnsi="仿宋" w:cs="仿宋" w:hint="eastAsia"/>
          <w:sz w:val="28"/>
        </w:rPr>
      </w:pPr>
      <w:r>
        <w:rPr>
          <w:rFonts w:ascii="仿宋" w:eastAsia="仿宋" w:hAnsi="仿宋" w:cs="仿宋" w:hint="eastAsia"/>
          <w:sz w:val="28"/>
          <w:lang w:eastAsia="zh-CN"/>
        </w:rPr>
        <w:t>4. 施工期叉开实施：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为了确保其它核材料及相关特殊材料项目整体的适应性，合理安排各主体工程的施工期，使得它们在时间上错开，降低了其它核材料及相关特殊材料项目工程的集中度。这样的叉开实施有助于减轻资源压力，提高施工效率，确保整个其它核材料及相关特殊材料项目能够在建设期限内达到预期的目标。</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pStyle w:val="Heading2"/>
        <w:ind w:firstLine="560" w:firstLineChars="200"/>
        <w:rPr>
          <w:rFonts w:ascii="仿宋" w:eastAsia="仿宋" w:hAnsi="仿宋" w:cs="仿宋" w:hint="eastAsia"/>
          <w:sz w:val="28"/>
          <w:lang w:eastAsia="zh-CN"/>
        </w:rPr>
      </w:pPr>
      <w:bookmarkStart w:id="15" w:name="_Toc17009"/>
      <w:r>
        <w:rPr>
          <w:rFonts w:ascii="仿宋" w:eastAsia="仿宋" w:hAnsi="仿宋" w:cs="仿宋" w:hint="eastAsia"/>
          <w:sz w:val="28"/>
          <w:lang w:eastAsia="zh-CN"/>
        </w:rPr>
        <w:t>(十三)、经济效益分析与投资预估</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(一) 其它核材料及相关特殊材料项目总投资及资金构成</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其它核材料及相关特殊材料项目总投资预计为XXX万元，其中固定资产投资为XXX万元，占其它核材料及相关特殊材料项目总投资的XX%；流动资金为XXX万元，占其它核材料及相关特殊材料项目总投资的XX%。</w:t>
      </w:r>
    </w:p>
    <w:p>
      <w:pPr>
        <w:ind w:firstLine="560" w:firstLineChars="200"/>
        <w:rPr>
          <w:rFonts w:ascii="仿宋" w:eastAsia="仿宋" w:hAnsi="仿宋" w:cs="仿宋" w:hint="eastAsia"/>
          <w:sz w:val="28"/>
        </w:rPr>
      </w:pPr>
      <w:r>
        <w:rPr>
          <w:rFonts w:ascii="仿宋" w:eastAsia="仿宋" w:hAnsi="仿宋" w:cs="仿宋" w:hint="eastAsia"/>
          <w:sz w:val="28"/>
          <w:lang w:eastAsia="zh-CN"/>
        </w:rPr>
        <w:t>(二) 资金筹措</w:t>
      </w:r>
    </w:p>
    <w:p>
      <w:pPr>
        <w:ind w:firstLine="560" w:firstLineChars="200"/>
        <w:rPr>
          <w:rFonts w:ascii="仿宋" w:eastAsia="仿宋" w:hAnsi="仿宋" w:cs="仿宋" w:hint="eastAsia"/>
          <w:sz w:val="28"/>
        </w:rPr>
      </w:pPr>
      <w:r>
        <w:rPr>
          <w:rFonts w:ascii="仿宋" w:eastAsia="仿宋" w:hAnsi="仿宋" w:cs="仿宋" w:hint="eastAsia"/>
          <w:sz w:val="28"/>
          <w:lang w:eastAsia="zh-CN"/>
        </w:rPr>
        <w:t>目前，该其它核材料及相关特殊材料项目的资金筹措阶段由企业自筹，通过内部资金和融资等方式满足其它核材料及相关特殊材料项目启动和实施的资金需求。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 其它核材料及相关特殊材料项目预期经济效益规划目标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预期在达产年实现营业收入达XXX万元，总成本费用为XXX万元，税金及附加为XXX万元，实现利润总额为XXX万元，利税总额为XXX万元，税后净利润达XXX万元，达产年纳税总额为XXX万元。在达产年，其它核材料及相关特殊材料项目的投资利润率为XX%，投资利税率为XX%，投资回报率为XX%，全部投资回收期为XX年，同时将提供XXX个就业职位。</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这些预期经济效益规划目标反映了其它核材料及相关特殊材料项目在经济层面的可行性和潜在收益，为其它核材料及相关特殊材料项目的推进和实施提供了有力的经济支持。</w:t>
      </w:r>
    </w:p>
    <w:p>
      <w:pPr>
        <w:pStyle w:val="Heading2"/>
        <w:ind w:firstLine="560" w:firstLineChars="200"/>
        <w:rPr>
          <w:rFonts w:ascii="仿宋" w:eastAsia="仿宋" w:hAnsi="仿宋" w:cs="仿宋" w:hint="eastAsia"/>
          <w:sz w:val="28"/>
          <w:lang w:eastAsia="zh-CN"/>
        </w:rPr>
      </w:pPr>
      <w:bookmarkStart w:id="16" w:name="_Toc29285"/>
      <w:r>
        <w:rPr>
          <w:rFonts w:ascii="仿宋" w:eastAsia="仿宋" w:hAnsi="仿宋" w:cs="仿宋" w:hint="eastAsia"/>
          <w:sz w:val="28"/>
          <w:lang w:eastAsia="zh-CN"/>
        </w:rPr>
        <w:t>(十四)、报告详解与解释</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1、其它核材料及相关特殊材料项目符合政策和示范园区发展需求：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本期工程其它核材料及相关特殊材料项目不仅完全符合国家产业发展政策和规划要求，还与XXX产业示范园区及XXX产业示范园区的XX行业布局和结构调整政策相契合。其它核材料及相关特殊材料项目的建设将以积极的态度推动示范园区XX产业结构、技术结构、组织结构、产品结构的调整优化，从而在整个示范园区内产生深远而积极的经济发展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2、其它核材料及相关特殊材料项目对示范园区经济的促进作用：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XXX科技公司着眼于适应国内外市场需求，规划着兴建“XX其它核材料及相关特殊材料项目”。这一建设将不仅有力促进XXX产业示范园区的经济发展，创造了XX个就业职位，达产年纳税总额达到XX万元，更将通过其它核材料及相关特殊材料项目的实施，积极推动示范园区的区域经济繁荣和社会稳定，为地方财政收入做出实质性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3、其它核材料及相关特殊材料项目的经济效益和投资回报率：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 xml:space="preserve">  </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其它核材料及相关特殊材料项目达产年投资利润率高达XX%，投资利税率达到XX%，全部投资回报率为XX%，而全部投资回收期仅为XX年（含建设期）。这意味着其它核材料及相关特殊材料项目不仅具备强大的盈利能力，同时展现了卓越的抗风险能力，为投资者带来了可观的经济回报，进一步确保了其它核材料及相关特殊材料项目的可行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4、民营经济对中国经济的贡献：</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根据统计数据，截至XX年底，我国实有个体工商户XX万户，私营企业XX万户，广义民营企业占全部市场主体的XX%。民营经济已然成为中国经济的中坚力量，为我国经济发展做出了巨大的贡献。在这一大格局中，其它核材料及相关特殊材料项目的建设与民营经济的发展相辅相成，为我国经济社会的健康发展注入了更为强大的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在经济效益、社会效益、环境保护和清洁生产等方面，本其它核材料及相关特殊材料项目的建设和实施都呈现出积极而可行的前景。</w:t>
      </w:r>
    </w:p>
    <w:p>
      <w:pPr>
        <w:pStyle w:val="Heading1"/>
        <w:ind w:firstLine="560" w:firstLineChars="200"/>
        <w:rPr>
          <w:rFonts w:ascii="仿宋" w:eastAsia="仿宋" w:hAnsi="仿宋" w:cs="仿宋" w:hint="eastAsia"/>
          <w:sz w:val="28"/>
          <w:lang w:eastAsia="zh-CN"/>
        </w:rPr>
      </w:pPr>
      <w:bookmarkStart w:id="17" w:name="_Toc30654"/>
      <w:r>
        <w:rPr>
          <w:rFonts w:ascii="仿宋" w:eastAsia="仿宋" w:hAnsi="仿宋" w:cs="仿宋" w:hint="eastAsia"/>
          <w:sz w:val="28"/>
          <w:lang w:eastAsia="zh-CN"/>
        </w:rPr>
        <w:t>二、工程设计说明</w:t>
      </w:r>
      <w:bookmarkEnd w:id="17"/>
    </w:p>
    <w:p>
      <w:pPr>
        <w:pStyle w:val="Heading2"/>
        <w:rPr>
          <w:rFonts w:ascii="仿宋" w:eastAsia="仿宋" w:hAnsi="仿宋" w:cs="仿宋" w:hint="eastAsia"/>
          <w:lang w:eastAsia="zh-CN"/>
        </w:rPr>
      </w:pPr>
      <w:bookmarkStart w:id="18" w:name="_Toc24069"/>
      <w:r>
        <w:rPr>
          <w:rFonts w:ascii="仿宋" w:eastAsia="仿宋" w:hAnsi="仿宋" w:cs="仿宋" w:hint="eastAsia"/>
          <w:lang w:eastAsia="zh-CN"/>
        </w:rPr>
        <w:t>(一)、建筑工程设计原则</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工程设计的核心在于确保建筑结构的稳定性、功能的实用性、美学的合理性以及施工和运维的经济性。在设计过程中，需要综合考虑建筑的用途、环境特征、可持续性等方面，确立科学合理的设计原则。</w:t>
      </w:r>
    </w:p>
    <w:p>
      <w:pPr>
        <w:pStyle w:val="Heading2"/>
        <w:ind w:firstLine="560" w:firstLineChars="200"/>
        <w:rPr>
          <w:rFonts w:ascii="仿宋" w:eastAsia="仿宋" w:hAnsi="仿宋" w:cs="仿宋" w:hint="eastAsia"/>
          <w:sz w:val="28"/>
          <w:lang w:eastAsia="zh-CN"/>
        </w:rPr>
      </w:pPr>
      <w:bookmarkStart w:id="19" w:name="_Toc26219"/>
      <w:r>
        <w:rPr>
          <w:rFonts w:ascii="仿宋" w:eastAsia="仿宋" w:hAnsi="仿宋" w:cs="仿宋" w:hint="eastAsia"/>
          <w:sz w:val="28"/>
          <w:lang w:eastAsia="zh-CN"/>
        </w:rPr>
        <w:t>(二)、其它核材料及相关特殊材料项目工程建设标准规范</w:t>
      </w:r>
      <w:bookmarkEnd w:id="19"/>
    </w:p>
    <w:p>
      <w:pPr>
        <w:ind w:firstLine="560" w:firstLineChars="200"/>
        <w:rPr>
          <w:rFonts w:ascii="仿宋" w:eastAsia="仿宋" w:hAnsi="仿宋" w:cs="仿宋" w:hint="eastAsia"/>
          <w:sz w:val="28"/>
        </w:rPr>
        <w:sectPr>
          <w:headerReference w:type="default" r:id="rId36"/>
          <w:footerReference w:type="default" r:id="rId37"/>
          <w:type w:val="nextPage"/>
          <w:pgSz w:w="11906" w:h="16838"/>
          <w:pgMar w:top="1440" w:right="1800" w:bottom="1440" w:left="1800" w:header="851" w:footer="992" w:gutter="0"/>
          <w:pgNumType w:start="17"/>
          <w:cols w:num="1" w:space="425"/>
          <w:titlePg w:val="0"/>
          <w:docGrid w:type="lines" w:linePitch="312" w:charSpace="0"/>
        </w:sectPr>
      </w:pPr>
      <w:r>
        <w:rPr>
          <w:rFonts w:ascii="仿宋" w:eastAsia="仿宋" w:hAnsi="仿宋" w:cs="仿宋" w:hint="eastAsia"/>
          <w:sz w:val="28"/>
          <w:lang w:eastAsia="zh-CN"/>
        </w:rPr>
        <w:t>其它核材料及相关特殊材料项目的建设需要符合国家和地方的相关标准规范，确保施工过程和建成后的设施符合安全、环保、质量等方面的要求。各项建设标准规范将在设计中得到充分考虑和遵循。</w:t>
      </w:r>
    </w:p>
    <w:p>
      <w:pPr>
        <w:pStyle w:val="Heading2"/>
        <w:ind w:firstLine="560" w:firstLineChars="200"/>
        <w:rPr>
          <w:rFonts w:ascii="仿宋" w:eastAsia="仿宋" w:hAnsi="仿宋" w:cs="仿宋" w:hint="eastAsia"/>
          <w:sz w:val="28"/>
          <w:lang w:eastAsia="zh-CN"/>
        </w:rPr>
      </w:pPr>
      <w:bookmarkStart w:id="20" w:name="_Toc250"/>
      <w:r>
        <w:rPr>
          <w:rFonts w:ascii="仿宋" w:eastAsia="仿宋" w:hAnsi="仿宋" w:cs="仿宋" w:hint="eastAsia"/>
          <w:sz w:val="28"/>
          <w:lang w:eastAsia="zh-CN"/>
        </w:rPr>
        <w:t>(三)、其它核材料及相关特殊材料项目总平面设计要求</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其它核材料及相关特殊材料项目总平面设计要求将包括对其它核材料及相关特殊材料项目用地的科学规划，确保合理的场地利用和各功能区域的合理布局。这涉及到交通流线、景观绿化、建筑分布等方面的综合考虑。</w:t>
      </w:r>
    </w:p>
    <w:p>
      <w:pPr>
        <w:pStyle w:val="Heading2"/>
        <w:ind w:firstLine="560" w:firstLineChars="200"/>
        <w:rPr>
          <w:rFonts w:ascii="仿宋" w:eastAsia="仿宋" w:hAnsi="仿宋" w:cs="仿宋" w:hint="eastAsia"/>
          <w:sz w:val="28"/>
          <w:lang w:eastAsia="zh-CN"/>
        </w:rPr>
      </w:pPr>
      <w:bookmarkStart w:id="21" w:name="_Toc9660"/>
      <w:r>
        <w:rPr>
          <w:rFonts w:ascii="仿宋" w:eastAsia="仿宋" w:hAnsi="仿宋" w:cs="仿宋" w:hint="eastAsia"/>
          <w:sz w:val="28"/>
          <w:lang w:eastAsia="zh-CN"/>
        </w:rPr>
        <w:t>(四)、建筑设计规范和标准</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建筑设计规范和标准将详细规定建筑物的各项技术指标，包括但不限于结构设计、电气设计、给排水设计等，确保建筑的安全性和功能性。</w:t>
      </w:r>
    </w:p>
    <w:p>
      <w:pPr>
        <w:pStyle w:val="Heading2"/>
        <w:ind w:firstLine="560" w:firstLineChars="200"/>
        <w:rPr>
          <w:rFonts w:ascii="仿宋" w:eastAsia="仿宋" w:hAnsi="仿宋" w:cs="仿宋" w:hint="eastAsia"/>
          <w:sz w:val="28"/>
          <w:lang w:eastAsia="zh-CN"/>
        </w:rPr>
      </w:pPr>
      <w:bookmarkStart w:id="22" w:name="_Toc27414"/>
      <w:r>
        <w:rPr>
          <w:rFonts w:ascii="仿宋" w:eastAsia="仿宋" w:hAnsi="仿宋" w:cs="仿宋" w:hint="eastAsia"/>
          <w:sz w:val="28"/>
          <w:lang w:eastAsia="zh-CN"/>
        </w:rPr>
        <w:t>(五)、土建工程设计年限及安全等级</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土建工程的设计年限和安全等级将在设计中被准确明确。这涉及到建筑物的使用寿命和抗震等级等方面的规定，以确保建筑的长期稳定运行。</w:t>
      </w:r>
    </w:p>
    <w:p>
      <w:pPr>
        <w:pStyle w:val="Heading2"/>
        <w:ind w:firstLine="560" w:firstLineChars="200"/>
        <w:rPr>
          <w:rFonts w:ascii="仿宋" w:eastAsia="仿宋" w:hAnsi="仿宋" w:cs="仿宋" w:hint="eastAsia"/>
          <w:sz w:val="28"/>
          <w:lang w:eastAsia="zh-CN"/>
        </w:rPr>
      </w:pPr>
      <w:bookmarkStart w:id="23" w:name="_Toc3412"/>
      <w:r>
        <w:rPr>
          <w:rFonts w:ascii="仿宋" w:eastAsia="仿宋" w:hAnsi="仿宋" w:cs="仿宋" w:hint="eastAsia"/>
          <w:sz w:val="28"/>
          <w:lang w:eastAsia="zh-CN"/>
        </w:rPr>
        <w:t>(六)、建筑工程设计总体要求</w:t>
      </w:r>
      <w:bookmarkEnd w:id="23"/>
    </w:p>
    <w:p>
      <w:pPr>
        <w:ind w:firstLine="560" w:firstLineChars="200"/>
        <w:rPr>
          <w:rFonts w:ascii="仿宋" w:eastAsia="仿宋" w:hAnsi="仿宋" w:cs="仿宋" w:hint="eastAsia"/>
          <w:sz w:val="28"/>
        </w:rPr>
        <w:sectPr>
          <w:headerReference w:type="default" r:id="rId38"/>
          <w:footerReference w:type="default" r:id="rId39"/>
          <w:type w:val="nextPage"/>
          <w:pgSz w:w="11906" w:h="16838"/>
          <w:pgMar w:top="1440" w:right="1800" w:bottom="1440" w:left="1800" w:header="851" w:footer="992" w:gutter="0"/>
          <w:pgNumType w:start="18"/>
          <w:cols w:num="1" w:space="425"/>
          <w:titlePg w:val="0"/>
          <w:docGrid w:type="lines" w:linePitch="312" w:charSpace="0"/>
        </w:sectPr>
      </w:pPr>
      <w:r>
        <w:rPr>
          <w:rFonts w:ascii="仿宋" w:eastAsia="仿宋" w:hAnsi="仿宋" w:cs="仿宋" w:hint="eastAsia"/>
          <w:sz w:val="28"/>
          <w:lang w:eastAsia="zh-CN"/>
        </w:rPr>
        <w:t>建筑工程设计总体要求将对整个设计过程进行概括，包括设计的整体目标、实施步骤、关键节点等，为设计团队提供明确的工作指导。</w:t>
      </w:r>
    </w:p>
    <w:p>
      <w:pPr>
        <w:pStyle w:val="Heading1"/>
        <w:ind w:firstLine="560" w:firstLineChars="200"/>
        <w:rPr>
          <w:rFonts w:ascii="仿宋" w:eastAsia="仿宋" w:hAnsi="仿宋" w:cs="仿宋" w:hint="eastAsia"/>
          <w:sz w:val="28"/>
          <w:lang w:eastAsia="zh-CN"/>
        </w:rPr>
      </w:pPr>
      <w:bookmarkStart w:id="24" w:name="_Toc26666"/>
      <w:r>
        <w:rPr>
          <w:rFonts w:ascii="仿宋" w:eastAsia="仿宋" w:hAnsi="仿宋" w:cs="仿宋" w:hint="eastAsia"/>
          <w:sz w:val="28"/>
          <w:lang w:eastAsia="zh-CN"/>
        </w:rPr>
        <w:t>三、风险应对评估</w:t>
      </w:r>
      <w:bookmarkEnd w:id="24"/>
    </w:p>
    <w:p>
      <w:pPr>
        <w:pStyle w:val="Heading2"/>
        <w:rPr>
          <w:rFonts w:ascii="仿宋" w:eastAsia="仿宋" w:hAnsi="仿宋" w:cs="仿宋" w:hint="eastAsia"/>
          <w:lang w:eastAsia="zh-CN"/>
        </w:rPr>
      </w:pPr>
      <w:bookmarkStart w:id="25" w:name="_Toc2478"/>
      <w:r>
        <w:rPr>
          <w:rFonts w:ascii="仿宋" w:eastAsia="仿宋" w:hAnsi="仿宋" w:cs="仿宋" w:hint="eastAsia"/>
          <w:lang w:eastAsia="zh-CN"/>
        </w:rPr>
        <w:t>(一)、政策风险分析</w:t>
      </w:r>
      <w:bookmarkEnd w:id="25"/>
    </w:p>
    <w:p>
      <w:pPr>
        <w:ind w:firstLine="560" w:firstLineChars="200"/>
        <w:rPr>
          <w:rFonts w:ascii="仿宋" w:eastAsia="仿宋" w:hAnsi="仿宋" w:cs="仿宋" w:hint="eastAsia"/>
          <w:sz w:val="28"/>
        </w:rPr>
      </w:pPr>
      <w:r>
        <w:rPr>
          <w:rFonts w:ascii="仿宋" w:eastAsia="仿宋" w:hAnsi="仿宋" w:cs="仿宋" w:hint="eastAsia"/>
          <w:sz w:val="28"/>
          <w:lang w:eastAsia="zh-CN"/>
        </w:rPr>
        <w:t>在其它核材料及相关特殊材料项目实施过程中，政策因素可能对其它核材料及相关特殊材料项目产生一定的影响。为了应对潜在的政策风险，我们将密切关注国家和地方相关政策的变化。与相关政府部门建立良好的沟通渠道，及时获取政策信息，确保其它核材料及相关特殊材料项目能够顺利推进。同时，制定灵活的应对方案，以适应政策环境的变化。</w:t>
      </w:r>
    </w:p>
    <w:p>
      <w:pPr>
        <w:pStyle w:val="Heading2"/>
        <w:ind w:firstLine="560" w:firstLineChars="200"/>
        <w:rPr>
          <w:rFonts w:ascii="仿宋" w:eastAsia="仿宋" w:hAnsi="仿宋" w:cs="仿宋" w:hint="eastAsia"/>
          <w:sz w:val="28"/>
          <w:lang w:eastAsia="zh-CN"/>
        </w:rPr>
      </w:pPr>
      <w:bookmarkStart w:id="26" w:name="_Toc27390"/>
      <w:r>
        <w:rPr>
          <w:rFonts w:ascii="仿宋" w:eastAsia="仿宋" w:hAnsi="仿宋" w:cs="仿宋" w:hint="eastAsia"/>
          <w:sz w:val="28"/>
          <w:lang w:eastAsia="zh-CN"/>
        </w:rPr>
        <w:t>(二)、社会风险分析</w:t>
      </w:r>
      <w:bookmarkEnd w:id="26"/>
    </w:p>
    <w:p>
      <w:pPr>
        <w:ind w:firstLine="560" w:firstLineChars="200"/>
        <w:rPr>
          <w:rFonts w:ascii="仿宋" w:eastAsia="仿宋" w:hAnsi="仿宋" w:cs="仿宋" w:hint="eastAsia"/>
          <w:sz w:val="28"/>
        </w:rPr>
      </w:pPr>
      <w:r>
        <w:rPr>
          <w:rFonts w:ascii="仿宋" w:eastAsia="仿宋" w:hAnsi="仿宋" w:cs="仿宋" w:hint="eastAsia"/>
          <w:sz w:val="28"/>
          <w:lang w:eastAsia="zh-CN"/>
        </w:rPr>
        <w:t>社会风险主要包括社会舆论、公共关系等方面的风险。我们将建立健全的社会风险监测机制，定期评估社会反馈和舆情动态。通过积极参与社会责任活动，维护公司良好形象，减轻社会风险的影响。</w:t>
      </w:r>
    </w:p>
    <w:p>
      <w:pPr>
        <w:pStyle w:val="Heading2"/>
        <w:ind w:firstLine="560" w:firstLineChars="200"/>
        <w:rPr>
          <w:rFonts w:ascii="仿宋" w:eastAsia="仿宋" w:hAnsi="仿宋" w:cs="仿宋" w:hint="eastAsia"/>
          <w:sz w:val="28"/>
          <w:lang w:eastAsia="zh-CN"/>
        </w:rPr>
      </w:pPr>
      <w:bookmarkStart w:id="27" w:name="_Toc8614"/>
      <w:r>
        <w:rPr>
          <w:rFonts w:ascii="仿宋" w:eastAsia="仿宋" w:hAnsi="仿宋" w:cs="仿宋" w:hint="eastAsia"/>
          <w:sz w:val="28"/>
          <w:lang w:eastAsia="zh-CN"/>
        </w:rPr>
        <w:t>(三)、市场风险分析</w:t>
      </w:r>
      <w:bookmarkEnd w:id="27"/>
    </w:p>
    <w:p>
      <w:pPr>
        <w:ind w:firstLine="560" w:firstLineChars="200"/>
        <w:rPr>
          <w:rFonts w:ascii="仿宋" w:eastAsia="仿宋" w:hAnsi="仿宋" w:cs="仿宋" w:hint="eastAsia"/>
          <w:sz w:val="28"/>
        </w:rPr>
        <w:sectPr>
          <w:headerReference w:type="default" r:id="rId40"/>
          <w:footerReference w:type="default" r:id="rId41"/>
          <w:type w:val="nextPage"/>
          <w:pgSz w:w="11906" w:h="16838"/>
          <w:pgMar w:top="1440" w:right="1800" w:bottom="1440" w:left="1800" w:header="851" w:footer="992" w:gutter="0"/>
          <w:pgNumType w:start="19"/>
          <w:cols w:num="1" w:space="425"/>
          <w:titlePg w:val="0"/>
          <w:docGrid w:type="lines" w:linePitch="312" w:charSpace="0"/>
        </w:sectPr>
      </w:pPr>
      <w:r>
        <w:rPr>
          <w:rFonts w:ascii="仿宋" w:eastAsia="仿宋" w:hAnsi="仿宋" w:cs="仿宋" w:hint="eastAsia"/>
          <w:sz w:val="28"/>
          <w:lang w:eastAsia="zh-CN"/>
        </w:rPr>
        <w:t>市场风险是其它核材料及相关特殊材料项目面临的重要挑战之一。我们将进行全面的市场调研，了解目标市场的需求和竞争格局。同时，制定灵活的市场推广策略，以适应市场变化。建立多层次、多元化的市场渠道，降低单一市场对其它核材料及相关特殊材料项目的风险影响。</w:t>
      </w:r>
    </w:p>
    <w:p>
      <w:pPr>
        <w:pStyle w:val="Heading2"/>
        <w:ind w:firstLine="560" w:firstLineChars="200"/>
        <w:rPr>
          <w:rFonts w:ascii="仿宋" w:eastAsia="仿宋" w:hAnsi="仿宋" w:cs="仿宋" w:hint="eastAsia"/>
          <w:sz w:val="28"/>
          <w:lang w:eastAsia="zh-CN"/>
        </w:rPr>
      </w:pPr>
      <w:bookmarkStart w:id="28" w:name="_Toc10583"/>
      <w:r>
        <w:rPr>
          <w:rFonts w:ascii="仿宋" w:eastAsia="仿宋" w:hAnsi="仿宋" w:cs="仿宋" w:hint="eastAsia"/>
          <w:sz w:val="28"/>
          <w:lang w:eastAsia="zh-CN"/>
        </w:rPr>
        <w:t>(四)、资金风险分析</w:t>
      </w:r>
      <w:bookmarkEnd w:id="28"/>
    </w:p>
    <w:p>
      <w:pPr>
        <w:ind w:firstLine="560" w:firstLineChars="200"/>
        <w:rPr>
          <w:rFonts w:ascii="仿宋" w:eastAsia="仿宋" w:hAnsi="仿宋" w:cs="仿宋" w:hint="eastAsia"/>
          <w:sz w:val="28"/>
        </w:rPr>
      </w:pPr>
      <w:r>
        <w:rPr>
          <w:rFonts w:ascii="仿宋" w:eastAsia="仿宋" w:hAnsi="仿宋" w:cs="仿宋" w:hint="eastAsia"/>
          <w:sz w:val="28"/>
          <w:lang w:eastAsia="zh-CN"/>
        </w:rPr>
        <w:t>资金风险是其它核材料及相关特殊材料项目成功实施的基础。我们将建立健全的资金管理制度，定期进行资金流量分析，确保其它核材料及相关特殊材料项目运营资金的充足。与金融机构建立良好的合作关系，提前制定应对资金紧张的预案，以确保其它核材料及相关特殊材料项目的资金安全。</w:t>
      </w:r>
    </w:p>
    <w:p>
      <w:pPr>
        <w:pStyle w:val="Heading2"/>
        <w:ind w:firstLine="560" w:firstLineChars="200"/>
        <w:rPr>
          <w:rFonts w:ascii="仿宋" w:eastAsia="仿宋" w:hAnsi="仿宋" w:cs="仿宋" w:hint="eastAsia"/>
          <w:sz w:val="28"/>
          <w:lang w:eastAsia="zh-CN"/>
        </w:rPr>
      </w:pPr>
      <w:bookmarkStart w:id="29" w:name="_Toc7421"/>
      <w:r>
        <w:rPr>
          <w:rFonts w:ascii="仿宋" w:eastAsia="仿宋" w:hAnsi="仿宋" w:cs="仿宋" w:hint="eastAsia"/>
          <w:sz w:val="28"/>
          <w:lang w:eastAsia="zh-CN"/>
        </w:rPr>
        <w:t>(五)、技术风险分析</w:t>
      </w:r>
      <w:bookmarkEnd w:id="29"/>
    </w:p>
    <w:p>
      <w:pPr>
        <w:ind w:firstLine="560" w:firstLineChars="200"/>
        <w:rPr>
          <w:rFonts w:ascii="仿宋" w:eastAsia="仿宋" w:hAnsi="仿宋" w:cs="仿宋" w:hint="eastAsia"/>
          <w:sz w:val="28"/>
        </w:rPr>
      </w:pPr>
      <w:r>
        <w:rPr>
          <w:rFonts w:ascii="仿宋" w:eastAsia="仿宋" w:hAnsi="仿宋" w:cs="仿宋" w:hint="eastAsia"/>
          <w:sz w:val="28"/>
          <w:lang w:eastAsia="zh-CN"/>
        </w:rPr>
        <w:t>技术风险是其它核材料及相关特殊材料项目实施中不可避免的挑战。我们将进行全面的技术评估，确保所采用的技术方案是成熟、可行的。与专业技术团队建立良好的合作关系，及时解决技术难题，确保其它核材料及相关特殊材料项目按计划进行。</w:t>
      </w:r>
    </w:p>
    <w:p>
      <w:pPr>
        <w:pStyle w:val="Heading2"/>
        <w:ind w:firstLine="560" w:firstLineChars="200"/>
        <w:rPr>
          <w:rFonts w:ascii="仿宋" w:eastAsia="仿宋" w:hAnsi="仿宋" w:cs="仿宋" w:hint="eastAsia"/>
          <w:sz w:val="28"/>
          <w:lang w:eastAsia="zh-CN"/>
        </w:rPr>
      </w:pPr>
      <w:bookmarkStart w:id="30" w:name="_Toc14544"/>
      <w:r>
        <w:rPr>
          <w:rFonts w:ascii="仿宋" w:eastAsia="仿宋" w:hAnsi="仿宋" w:cs="仿宋" w:hint="eastAsia"/>
          <w:sz w:val="28"/>
          <w:lang w:eastAsia="zh-CN"/>
        </w:rPr>
        <w:t>(六)、财务风险分析</w:t>
      </w:r>
      <w:bookmarkEnd w:id="30"/>
    </w:p>
    <w:p>
      <w:pPr>
        <w:ind w:firstLine="560" w:firstLineChars="200"/>
        <w:rPr>
          <w:rFonts w:ascii="仿宋" w:eastAsia="仿宋" w:hAnsi="仿宋" w:cs="仿宋" w:hint="eastAsia"/>
          <w:sz w:val="28"/>
        </w:rPr>
      </w:pPr>
      <w:r>
        <w:rPr>
          <w:rFonts w:ascii="仿宋" w:eastAsia="仿宋" w:hAnsi="仿宋" w:cs="仿宋" w:hint="eastAsia"/>
          <w:sz w:val="28"/>
          <w:lang w:eastAsia="zh-CN"/>
        </w:rPr>
        <w:t>财务风险是其它核材料及相关特殊材料项目运营中需要高度重视的方面。我们将建立健全的财务管理体系，严格执行财务制度。通过多元化投资，降低财务风险集中度。及时调整财务战略，确保其它核材料及相关特殊材料项目财务运作的健康发展。</w:t>
      </w:r>
    </w:p>
    <w:p>
      <w:pPr>
        <w:pStyle w:val="Heading2"/>
        <w:ind w:firstLine="560" w:firstLineChars="200"/>
        <w:rPr>
          <w:rFonts w:ascii="仿宋" w:eastAsia="仿宋" w:hAnsi="仿宋" w:cs="仿宋" w:hint="eastAsia"/>
          <w:sz w:val="28"/>
          <w:lang w:eastAsia="zh-CN"/>
        </w:rPr>
      </w:pPr>
      <w:bookmarkStart w:id="31" w:name="_Toc31799"/>
      <w:r>
        <w:rPr>
          <w:rFonts w:ascii="仿宋" w:eastAsia="仿宋" w:hAnsi="仿宋" w:cs="仿宋" w:hint="eastAsia"/>
          <w:sz w:val="28"/>
          <w:lang w:eastAsia="zh-CN"/>
        </w:rPr>
        <w:t>(七)、管理风险分析</w:t>
      </w:r>
      <w:bookmarkEnd w:id="31"/>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42" w:history="1">
        <w:r>
          <w:rPr>
            <w:rFonts w:ascii="SimSun" w:eastAsia="SimSun" w:hAnsi="SimSun" w:cs="SimSun"/>
            <w:b/>
            <w:bCs/>
            <w:color w:val="0000EE"/>
            <w:kern w:val="0"/>
            <w:sz w:val="30"/>
            <w:szCs w:val="30"/>
            <w:u w:val="single" w:color="0000EE"/>
          </w:rPr>
          <w:t>https://d.book118.com/606101144004010052</w:t>
        </w:r>
      </w:hyperlink>
    </w:p>
    <w:p>
      <w:pPr>
        <w:ind w:firstLine="560" w:firstLineChars="200"/>
        <w:rPr>
          <w:rFonts w:ascii="仿宋" w:eastAsia="仿宋" w:hAnsi="仿宋" w:cs="仿宋" w:hint="eastAsia"/>
          <w:sz w:val="28"/>
        </w:rPr>
      </w:pPr>
    </w:p>
    <w:sectPr>
      <w:headerReference w:type="default" r:id="rId43"/>
      <w:footerReference w:type="default" r:id="rId44"/>
      <w:type w:val="nextPage"/>
      <w:pgSz w:w="11906" w:h="16838"/>
      <w:pgMar w:top="1440" w:right="1800" w:bottom="1440" w:left="1800" w:header="851" w:footer="992" w:gutter="0"/>
      <w:pgNumType w:start="20"/>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19</w:t>
    </w:r>
    <w:r>
      <w:rPr>
        <w:rStyle w:val="PageNumber"/>
      </w:rPr>
      <w:fldChar w:fldCharType="end"/>
    </w:r>
  </w:p>
  <w:p>
    <w:pPr>
      <w:pStyle w:val="Footer"/>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20</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其它核材料及相关特殊材料项目合作计划书</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81"/>
  <w:doNotDisplayPageBoundaries/>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43E66EF"/>
    <w:rsid w:val="2CCA2C19"/>
    <w:rsid w:val="443E66EF"/>
    <w:rsid w:val="79F24EA5"/>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eader" Target="header17.xml" /><Relationship Id="rId37" Type="http://schemas.openxmlformats.org/officeDocument/2006/relationships/footer" Target="footer17.xml" /><Relationship Id="rId38" Type="http://schemas.openxmlformats.org/officeDocument/2006/relationships/header" Target="header18.xml" /><Relationship Id="rId39" Type="http://schemas.openxmlformats.org/officeDocument/2006/relationships/footer" Target="footer18.xml" /><Relationship Id="rId4" Type="http://schemas.openxmlformats.org/officeDocument/2006/relationships/header" Target="header1.xml" /><Relationship Id="rId40" Type="http://schemas.openxmlformats.org/officeDocument/2006/relationships/header" Target="header19.xml" /><Relationship Id="rId41" Type="http://schemas.openxmlformats.org/officeDocument/2006/relationships/footer" Target="footer19.xml" /><Relationship Id="rId42" Type="http://schemas.openxmlformats.org/officeDocument/2006/relationships/hyperlink" Target="https://d.book118.com/606101144004010052" TargetMode="External" /><Relationship Id="rId43" Type="http://schemas.openxmlformats.org/officeDocument/2006/relationships/header" Target="header20.xml" /><Relationship Id="rId44" Type="http://schemas.openxmlformats.org/officeDocument/2006/relationships/footer" Target="footer20.xml" /><Relationship Id="rId45" Type="http://schemas.openxmlformats.org/officeDocument/2006/relationships/theme" Target="theme/theme1.xml" /><Relationship Id="rId46"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25</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小丑</dc:creator>
  <cp:lastModifiedBy>小丑</cp:lastModifiedBy>
  <cp:revision>1</cp:revision>
  <dcterms:created xsi:type="dcterms:W3CDTF">2024-02-06T06:24:00Z</dcterms:created>
  <dcterms:modified xsi:type="dcterms:W3CDTF">2024-02-06T06:24:47Z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218F98E4285947E9B77165DF78EC20CA_11</vt:lpwstr>
  </property>
  <property fmtid="{D5CDD505-2E9C-101B-9397-08002B2CF9AE}" pid="3" name="KSOProductBuildVer">
    <vt:lpwstr>2052-12.1.0.16250</vt:lpwstr>
  </property>
</Properties>
</file>