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spacing w:before="145" w:line="231" w:lineRule="auto"/>
        <w:ind w:left="1179"/>
        <w:rPr>
          <w:rFonts w:ascii="STXinwei" w:eastAsia="STXinwei" w:hAnsi="STXinwei" w:cs="STXinwei"/>
          <w:sz w:val="44"/>
          <w:szCs w:val="44"/>
        </w:rPr>
      </w:pPr>
      <w:r>
        <w:rPr>
          <w:rFonts w:ascii="STXinwei" w:eastAsia="STXinwei" w:hAnsi="STXinwei" w:cs="STXinwei"/>
          <w:b/>
          <w:bCs/>
          <w:spacing w:val="27"/>
          <w:sz w:val="44"/>
          <w:szCs w:val="44"/>
        </w:rPr>
        <w:t>海南省宁远河大隆水利枢纽工程</w:t>
      </w:r>
    </w:p>
    <w:p>
      <w:pPr>
        <w:pStyle w:val="BodyText"/>
        <w:spacing w:line="296" w:lineRule="auto"/>
      </w:pPr>
    </w:p>
    <w:p>
      <w:pPr>
        <w:pStyle w:val="BodyText"/>
        <w:spacing w:line="296" w:lineRule="auto"/>
      </w:pPr>
    </w:p>
    <w:p>
      <w:pPr>
        <w:pStyle w:val="BodyText"/>
        <w:spacing w:line="296" w:lineRule="auto"/>
      </w:pPr>
    </w:p>
    <w:p>
      <w:pPr>
        <w:spacing w:before="202" w:line="301" w:lineRule="auto"/>
        <w:ind w:left="2632" w:right="1114" w:hanging="850"/>
        <w:outlineLvl w:val="0"/>
        <w:rPr>
          <w:rFonts w:ascii="STXinwei" w:eastAsia="STXinwei" w:hAnsi="STXinwei" w:cs="STXinwei"/>
          <w:sz w:val="61"/>
          <w:szCs w:val="61"/>
        </w:rPr>
      </w:pPr>
      <w:r>
        <w:rPr>
          <w:rFonts w:ascii="STXinwei" w:eastAsia="STXinwei" w:hAnsi="STXinwei" w:cs="STXinwei"/>
          <w:b/>
          <w:bCs/>
          <w:spacing w:val="63"/>
          <w:sz w:val="61"/>
          <w:szCs w:val="61"/>
        </w:rPr>
        <w:t>大坝防渗土料填筑</w:t>
      </w:r>
      <w:r>
        <w:rPr>
          <w:rFonts w:ascii="STXinwei" w:eastAsia="STXinwei" w:hAnsi="STXinwei" w:cs="STXinwei"/>
          <w:spacing w:val="4"/>
          <w:sz w:val="61"/>
          <w:szCs w:val="61"/>
        </w:rPr>
        <w:t xml:space="preserve"> </w:t>
      </w:r>
      <w:r>
        <w:rPr>
          <w:rFonts w:ascii="STXinwei" w:eastAsia="STXinwei" w:hAnsi="STXinwei" w:cs="STXinwei"/>
          <w:b/>
          <w:bCs/>
          <w:spacing w:val="-58"/>
          <w:sz w:val="61"/>
          <w:szCs w:val="61"/>
        </w:rPr>
        <w:t>施</w:t>
      </w:r>
      <w:r>
        <w:rPr>
          <w:rFonts w:ascii="STXinwei" w:eastAsia="STXinwei" w:hAnsi="STXinwei" w:cs="STXinwei"/>
          <w:spacing w:val="15"/>
          <w:sz w:val="61"/>
          <w:szCs w:val="61"/>
        </w:rPr>
        <w:t xml:space="preserve">   </w:t>
      </w:r>
      <w:r>
        <w:rPr>
          <w:rFonts w:ascii="STXinwei" w:eastAsia="STXinwei" w:hAnsi="STXinwei" w:cs="STXinwei"/>
          <w:b/>
          <w:bCs/>
          <w:spacing w:val="-58"/>
          <w:sz w:val="61"/>
          <w:szCs w:val="61"/>
        </w:rPr>
        <w:t>工</w:t>
      </w:r>
      <w:r>
        <w:rPr>
          <w:rFonts w:ascii="STXinwei" w:eastAsia="STXinwei" w:hAnsi="STXinwei" w:cs="STXinwei"/>
          <w:spacing w:val="17"/>
          <w:sz w:val="61"/>
          <w:szCs w:val="61"/>
        </w:rPr>
        <w:t xml:space="preserve">   </w:t>
      </w:r>
      <w:r>
        <w:rPr>
          <w:rFonts w:ascii="STXinwei" w:eastAsia="STXinwei" w:hAnsi="STXinwei" w:cs="STXinwei"/>
          <w:b/>
          <w:bCs/>
          <w:spacing w:val="-58"/>
          <w:sz w:val="61"/>
          <w:szCs w:val="61"/>
        </w:rPr>
        <w:t>方</w:t>
      </w:r>
      <w:r>
        <w:rPr>
          <w:rFonts w:ascii="STXinwei" w:eastAsia="STXinwei" w:hAnsi="STXinwei" w:cs="STXinwei"/>
          <w:spacing w:val="14"/>
          <w:sz w:val="61"/>
          <w:szCs w:val="61"/>
        </w:rPr>
        <w:t xml:space="preserve">   </w:t>
      </w:r>
      <w:r>
        <w:rPr>
          <w:rFonts w:ascii="STXinwei" w:eastAsia="STXinwei" w:hAnsi="STXinwei" w:cs="STXinwei"/>
          <w:b/>
          <w:bCs/>
          <w:spacing w:val="-58"/>
          <w:sz w:val="61"/>
          <w:szCs w:val="61"/>
        </w:rPr>
        <w:t>案</w:t>
      </w:r>
    </w:p>
    <w:p>
      <w:pPr>
        <w:pStyle w:val="BodyText"/>
      </w:pPr>
    </w:p>
    <w:p>
      <w:pPr>
        <w:spacing w:before="87" w:line="219" w:lineRule="auto"/>
        <w:ind w:left="3073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spacing w:val="-12"/>
          <w:sz w:val="27"/>
          <w:szCs w:val="27"/>
        </w:rPr>
        <w:t>协议编号：</w:t>
      </w:r>
      <w:r>
        <w:rPr>
          <w:rFonts w:ascii="宋体" w:eastAsia="宋体" w:hAnsi="宋体" w:cs="宋体"/>
          <w:spacing w:val="26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12"/>
          <w:sz w:val="27"/>
          <w:szCs w:val="27"/>
        </w:rPr>
        <w:t>DL2023-BT</w:t>
      </w: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spacing w:before="88" w:line="219" w:lineRule="auto"/>
        <w:ind w:left="2623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33"/>
          <w:sz w:val="27"/>
          <w:szCs w:val="27"/>
        </w:rPr>
        <w:t>编</w:t>
      </w:r>
      <w:r>
        <w:rPr>
          <w:rFonts w:ascii="宋体" w:eastAsia="宋体" w:hAnsi="宋体" w:cs="宋体"/>
          <w:spacing w:val="5"/>
          <w:sz w:val="27"/>
          <w:szCs w:val="27"/>
        </w:rPr>
        <w:t xml:space="preserve">    </w:t>
      </w:r>
      <w:r>
        <w:rPr>
          <w:rFonts w:ascii="宋体" w:eastAsia="宋体" w:hAnsi="宋体" w:cs="宋体"/>
          <w:spacing w:val="-33"/>
          <w:sz w:val="27"/>
          <w:szCs w:val="27"/>
        </w:rPr>
        <w:t>制：</w:t>
      </w:r>
      <w:r>
        <w:rPr>
          <w:rFonts w:ascii="宋体" w:eastAsia="宋体" w:hAnsi="宋体" w:cs="宋体"/>
          <w:spacing w:val="-27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  <w:u w:val="single" w:color="auto"/>
        </w:rPr>
        <w:t xml:space="preserve">                 </w:t>
      </w:r>
    </w:p>
    <w:p>
      <w:pPr>
        <w:spacing w:before="320" w:line="227" w:lineRule="auto"/>
        <w:ind w:left="2623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37"/>
          <w:sz w:val="27"/>
          <w:szCs w:val="27"/>
        </w:rPr>
        <w:t>审</w:t>
      </w:r>
      <w:r>
        <w:rPr>
          <w:rFonts w:ascii="宋体" w:eastAsia="宋体" w:hAnsi="宋体" w:cs="宋体"/>
          <w:spacing w:val="8"/>
          <w:sz w:val="27"/>
          <w:szCs w:val="27"/>
        </w:rPr>
        <w:t xml:space="preserve">    </w:t>
      </w:r>
      <w:r>
        <w:rPr>
          <w:rFonts w:ascii="宋体" w:eastAsia="宋体" w:hAnsi="宋体" w:cs="宋体"/>
          <w:spacing w:val="-37"/>
          <w:sz w:val="27"/>
          <w:szCs w:val="27"/>
        </w:rPr>
        <w:t>核：</w:t>
      </w:r>
      <w:r>
        <w:rPr>
          <w:rFonts w:ascii="宋体" w:eastAsia="宋体" w:hAnsi="宋体" w:cs="宋体"/>
          <w:spacing w:val="-58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  <w:u w:val="single" w:color="auto"/>
        </w:rPr>
        <w:t xml:space="preserve">                 </w:t>
      </w:r>
    </w:p>
    <w:p>
      <w:pPr>
        <w:spacing w:before="318" w:line="221" w:lineRule="auto"/>
        <w:ind w:left="2623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-32"/>
          <w:sz w:val="27"/>
          <w:szCs w:val="27"/>
        </w:rPr>
        <w:t>批</w:t>
      </w:r>
      <w:r>
        <w:rPr>
          <w:rFonts w:ascii="宋体" w:eastAsia="宋体" w:hAnsi="宋体" w:cs="宋体"/>
          <w:spacing w:val="4"/>
          <w:sz w:val="27"/>
          <w:szCs w:val="27"/>
        </w:rPr>
        <w:t xml:space="preserve">    </w:t>
      </w:r>
      <w:r>
        <w:rPr>
          <w:rFonts w:ascii="宋体" w:eastAsia="宋体" w:hAnsi="宋体" w:cs="宋体"/>
          <w:spacing w:val="-32"/>
          <w:sz w:val="27"/>
          <w:szCs w:val="27"/>
        </w:rPr>
        <w:t>准：</w:t>
      </w:r>
      <w:r>
        <w:rPr>
          <w:rFonts w:ascii="宋体" w:eastAsia="宋体" w:hAnsi="宋体" w:cs="宋体"/>
          <w:spacing w:val="-57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  <w:u w:val="single" w:color="auto"/>
        </w:rPr>
        <w:t xml:space="preserve">                 </w:t>
      </w: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spacing w:before="88" w:line="219" w:lineRule="auto"/>
        <w:ind w:left="2103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6"/>
          <w:sz w:val="27"/>
          <w:szCs w:val="27"/>
        </w:rPr>
        <w:t>中国葛洲坝水利水电工程集团有限企业</w:t>
      </w:r>
    </w:p>
    <w:p>
      <w:pPr>
        <w:pStyle w:val="BodyText"/>
        <w:spacing w:line="242" w:lineRule="auto"/>
      </w:pPr>
    </w:p>
    <w:p>
      <w:pPr>
        <w:spacing w:before="88" w:line="219" w:lineRule="auto"/>
        <w:ind w:left="2373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8"/>
          <w:sz w:val="27"/>
          <w:szCs w:val="27"/>
        </w:rPr>
        <w:t>海南大隆水利枢纽工程施工项目部</w:t>
      </w:r>
    </w:p>
    <w:p>
      <w:pPr>
        <w:pStyle w:val="BodyText"/>
      </w:pPr>
    </w:p>
    <w:p>
      <w:pPr>
        <w:spacing w:before="88" w:line="219" w:lineRule="auto"/>
        <w:ind w:left="3213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7"/>
          <w:sz w:val="27"/>
          <w:szCs w:val="27"/>
        </w:rPr>
        <w:t>二○○五年二月一日</w:t>
      </w:r>
    </w:p>
    <w:p>
      <w:pPr>
        <w:spacing w:line="219" w:lineRule="auto"/>
        <w:rPr>
          <w:rFonts w:ascii="宋体" w:eastAsia="宋体" w:hAnsi="宋体" w:cs="宋体"/>
          <w:sz w:val="27"/>
          <w:szCs w:val="27"/>
        </w:rPr>
        <w:sectPr>
          <w:pgSz w:w="11910" w:h="16840"/>
          <w:pgMar w:top="1431" w:right="1786" w:bottom="0" w:left="1786" w:header="0" w:footer="0" w:gutter="0"/>
          <w:cols w:space="708"/>
        </w:sectPr>
      </w:pPr>
    </w:p>
    <w:p>
      <w:pPr>
        <w:spacing w:before="172" w:line="221" w:lineRule="auto"/>
        <w:ind w:left="3"/>
        <w:outlineLvl w:val="0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b/>
          <w:bCs/>
          <w:spacing w:val="-13"/>
          <w:sz w:val="24"/>
          <w:szCs w:val="24"/>
        </w:rPr>
        <w:t>1、工程概况</w:t>
      </w:r>
    </w:p>
    <w:p>
      <w:pPr>
        <w:pStyle w:val="BodyText"/>
        <w:spacing w:line="291" w:lineRule="auto"/>
      </w:pPr>
    </w:p>
    <w:p>
      <w:pPr>
        <w:spacing w:before="81" w:line="212" w:lineRule="auto"/>
        <w:ind w:left="2"/>
        <w:outlineLvl w:val="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b/>
          <w:bCs/>
          <w:i/>
          <w:iCs/>
          <w:spacing w:val="-20"/>
          <w:sz w:val="25"/>
          <w:szCs w:val="25"/>
        </w:rPr>
        <w:t>1.1</w:t>
      </w:r>
      <w:r>
        <w:rPr>
          <w:rFonts w:ascii="宋体" w:eastAsia="宋体" w:hAnsi="宋体" w:cs="宋体"/>
          <w:spacing w:val="-20"/>
          <w:sz w:val="25"/>
          <w:szCs w:val="25"/>
        </w:rPr>
        <w:t xml:space="preserve"> </w:t>
      </w:r>
      <w:r>
        <w:rPr>
          <w:rFonts w:ascii="宋体" w:eastAsia="宋体" w:hAnsi="宋体" w:cs="宋体"/>
          <w:b/>
          <w:bCs/>
          <w:i/>
          <w:iCs/>
          <w:spacing w:val="-20"/>
          <w:sz w:val="25"/>
          <w:szCs w:val="25"/>
        </w:rPr>
        <w:t>概述</w:t>
      </w:r>
    </w:p>
    <w:p>
      <w:pPr>
        <w:pStyle w:val="BodyText"/>
        <w:spacing w:line="296" w:lineRule="auto"/>
      </w:pPr>
    </w:p>
    <w:p>
      <w:pPr>
        <w:spacing w:before="78" w:line="629" w:lineRule="exact"/>
        <w:ind w:right="49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position w:val="30"/>
          <w:sz w:val="24"/>
          <w:szCs w:val="24"/>
        </w:rPr>
        <w:t>大隆水利枢纽位于海南省三亚市西部的宁远河中下游，是海南</w:t>
      </w:r>
      <w:r>
        <w:rPr>
          <w:rFonts w:ascii="宋体" w:eastAsia="宋体" w:hAnsi="宋体" w:cs="宋体"/>
          <w:spacing w:val="-3"/>
          <w:position w:val="30"/>
          <w:sz w:val="24"/>
          <w:szCs w:val="24"/>
        </w:rPr>
        <w:t>省南部水资源调配的</w:t>
      </w:r>
    </w:p>
    <w:p>
      <w:pPr>
        <w:spacing w:before="1" w:line="218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重点工程。其工程任务是防洪、供水、浇灌为主，结合发电。</w:t>
      </w:r>
    </w:p>
    <w:p>
      <w:pPr>
        <w:pStyle w:val="BodyText"/>
        <w:spacing w:line="304" w:lineRule="auto"/>
      </w:pPr>
    </w:p>
    <w:p>
      <w:pPr>
        <w:spacing w:before="79" w:line="493" w:lineRule="auto"/>
        <w:ind w:firstLine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本工程挡水建筑物为碾压式分区土石坝。上</w:t>
      </w:r>
      <w:r>
        <w:rPr>
          <w:rFonts w:ascii="宋体" w:eastAsia="宋体" w:hAnsi="宋体" w:cs="宋体"/>
          <w:spacing w:val="-3"/>
          <w:sz w:val="24"/>
          <w:szCs w:val="24"/>
        </w:rPr>
        <w:t>游坝体以花岗岩风化土为防渗体，下游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坝体采用石渣及风化岩等透水性较强的材料填筑，坝体内采用上昂式排水接至下游排水</w:t>
      </w:r>
      <w:r>
        <w:rPr>
          <w:rFonts w:ascii="宋体" w:eastAsia="宋体" w:hAnsi="宋体" w:cs="宋体"/>
          <w:spacing w:val="6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6"/>
          <w:sz w:val="24"/>
          <w:szCs w:val="24"/>
        </w:rPr>
        <w:t>棱体。坝址所在的宁远河属热带海洋季风气候区，</w:t>
      </w:r>
      <w:r>
        <w:rPr>
          <w:rFonts w:ascii="宋体" w:eastAsia="宋体" w:hAnsi="宋体" w:cs="宋体"/>
          <w:spacing w:val="-7"/>
          <w:sz w:val="24"/>
          <w:szCs w:val="24"/>
        </w:rPr>
        <w:t>台风频繁，旱湿季节明显，长年无霜，</w:t>
      </w:r>
    </w:p>
    <w:p>
      <w:pPr>
        <w:spacing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8"/>
          <w:sz w:val="24"/>
          <w:szCs w:val="24"/>
        </w:rPr>
        <w:t>长夏短冬。</w:t>
      </w:r>
    </w:p>
    <w:p>
      <w:pPr>
        <w:pStyle w:val="BodyText"/>
        <w:spacing w:line="276" w:lineRule="auto"/>
      </w:pPr>
    </w:p>
    <w:p>
      <w:pPr>
        <w:spacing w:before="78" w:line="510" w:lineRule="auto"/>
        <w:ind w:right="45" w:firstLine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sz w:val="24"/>
          <w:szCs w:val="24"/>
        </w:rPr>
        <w:t>大坝坝顶高程76.5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m,</w:t>
      </w:r>
      <w:r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3"/>
          <w:sz w:val="24"/>
          <w:szCs w:val="24"/>
        </w:rPr>
        <w:t>最大坝高65.5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m,</w:t>
      </w:r>
      <w:r>
        <w:rPr>
          <w:rFonts w:ascii="Times New Roman" w:eastAsia="Times New Roman" w:hAnsi="Times New Roman" w:cs="Times New Roman"/>
          <w:spacing w:val="28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3"/>
          <w:sz w:val="24"/>
          <w:szCs w:val="24"/>
        </w:rPr>
        <w:t>坝顶宽度9.0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m,</w:t>
      </w:r>
      <w:r>
        <w:rPr>
          <w:rFonts w:ascii="Times New Roman" w:eastAsia="Times New Roman" w:hAnsi="Times New Roman" w:cs="Times New Roman"/>
          <w:spacing w:val="22"/>
          <w:w w:val="101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3"/>
          <w:sz w:val="24"/>
          <w:szCs w:val="24"/>
        </w:rPr>
        <w:t>坝顶长度535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m</w:t>
      </w:r>
      <w:r>
        <w:rPr>
          <w:rFonts w:ascii="宋体" w:eastAsia="宋体" w:hAnsi="宋体" w:cs="宋体"/>
          <w:spacing w:val="3"/>
          <w:sz w:val="24"/>
          <w:szCs w:val="24"/>
        </w:rPr>
        <w:t>。上游坝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9"/>
          <w:sz w:val="24"/>
          <w:szCs w:val="24"/>
        </w:rPr>
        <w:t>坡坡比为1:3.0～1:3.5,采用厚25</w:t>
      </w:r>
      <w:r>
        <w:rPr>
          <w:rFonts w:ascii="Times New Roman" w:eastAsia="Times New Roman" w:hAnsi="Times New Roman" w:cs="Times New Roman"/>
          <w:sz w:val="24"/>
          <w:szCs w:val="24"/>
        </w:rPr>
        <w:t>cm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9"/>
          <w:sz w:val="24"/>
          <w:szCs w:val="24"/>
        </w:rPr>
        <w:t>现浇混凝土护坡；下游坝坡为1:2.5～1:2.7</w:t>
      </w:r>
      <w:r>
        <w:rPr>
          <w:rFonts w:ascii="宋体" w:eastAsia="宋体" w:hAnsi="宋体" w:cs="宋体"/>
          <w:spacing w:val="8"/>
          <w:sz w:val="24"/>
          <w:szCs w:val="24"/>
        </w:rPr>
        <w:t>5,</w:t>
      </w:r>
    </w:p>
    <w:p>
      <w:pPr>
        <w:spacing w:before="1" w:line="218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护坡采用草皮护坡；坝体内设上昂式排水道，下游设堆石排水棱体。</w:t>
      </w:r>
    </w:p>
    <w:p>
      <w:pPr>
        <w:pStyle w:val="BodyText"/>
        <w:spacing w:line="276" w:lineRule="auto"/>
      </w:pPr>
    </w:p>
    <w:p>
      <w:pPr>
        <w:spacing w:before="78" w:line="661" w:lineRule="exact"/>
        <w:ind w:right="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-1"/>
          <w:position w:val="32"/>
          <w:sz w:val="24"/>
          <w:szCs w:val="24"/>
        </w:rPr>
        <w:t>本工程拦河土石坝以上昂式排水道分隔为上游防渗</w:t>
      </w:r>
      <w:r>
        <w:rPr>
          <w:rFonts w:ascii="Times New Roman" w:eastAsia="Times New Roman" w:hAnsi="Times New Roman" w:cs="Times New Roman"/>
          <w:spacing w:val="-1"/>
          <w:position w:val="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33"/>
          <w:position w:val="3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position w:val="32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1"/>
          <w:position w:val="32"/>
          <w:sz w:val="24"/>
          <w:szCs w:val="24"/>
        </w:rPr>
        <w:t>Ⅱ</w:t>
      </w:r>
      <w:r>
        <w:rPr>
          <w:rFonts w:ascii="Times New Roman" w:eastAsia="Times New Roman" w:hAnsi="Times New Roman" w:cs="Times New Roman"/>
          <w:spacing w:val="15"/>
          <w:w w:val="101"/>
          <w:position w:val="32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-1"/>
          <w:position w:val="32"/>
          <w:sz w:val="24"/>
          <w:szCs w:val="24"/>
        </w:rPr>
        <w:t>两个区和</w:t>
      </w:r>
      <w:r>
        <w:rPr>
          <w:rFonts w:ascii="宋体" w:eastAsia="宋体" w:hAnsi="宋体" w:cs="宋体"/>
          <w:spacing w:val="-2"/>
          <w:position w:val="32"/>
          <w:sz w:val="24"/>
          <w:szCs w:val="24"/>
        </w:rPr>
        <w:t>下游坝壳Ⅲ、</w:t>
      </w:r>
      <w:r>
        <w:rPr>
          <w:rFonts w:ascii="Times New Roman" w:eastAsia="Times New Roman" w:hAnsi="Times New Roman" w:cs="Times New Roman"/>
          <w:spacing w:val="-2"/>
          <w:position w:val="32"/>
          <w:sz w:val="24"/>
          <w:szCs w:val="24"/>
        </w:rPr>
        <w:t>IV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两个区，另有高塑土、堆石、排水棱体等区。</w:t>
      </w:r>
    </w:p>
    <w:p>
      <w:pPr>
        <w:pStyle w:val="BodyText"/>
        <w:spacing w:line="286" w:lineRule="auto"/>
      </w:pPr>
    </w:p>
    <w:p>
      <w:pPr>
        <w:spacing w:before="78" w:line="612" w:lineRule="exact"/>
        <w:ind w:right="76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position w:val="28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6"/>
          <w:position w:val="28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position w:val="28"/>
          <w:sz w:val="24"/>
          <w:szCs w:val="24"/>
        </w:rPr>
        <w:t>区为大坝的重要防渗区，以各料场的残坡积土、阶地冲积土和全风化土为主</w:t>
      </w:r>
      <w:r>
        <w:rPr>
          <w:rFonts w:ascii="宋体" w:eastAsia="宋体" w:hAnsi="宋体" w:cs="宋体"/>
          <w:spacing w:val="-3"/>
          <w:position w:val="28"/>
          <w:sz w:val="24"/>
          <w:szCs w:val="24"/>
        </w:rPr>
        <w:t>，设</w:t>
      </w:r>
    </w:p>
    <w:p>
      <w:pPr>
        <w:spacing w:line="212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3"/>
          <w:sz w:val="24"/>
          <w:szCs w:val="24"/>
        </w:rPr>
        <w:t>计控制指标：含水量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w%=15.2%,      </w:t>
      </w:r>
      <w:r>
        <w:rPr>
          <w:rFonts w:ascii="宋体" w:eastAsia="宋体" w:hAnsi="宋体" w:cs="宋体"/>
          <w:spacing w:val="3"/>
          <w:sz w:val="24"/>
          <w:szCs w:val="24"/>
        </w:rPr>
        <w:t>干容重γ+=1.7</w:t>
      </w:r>
      <w:r>
        <w:rPr>
          <w:rFonts w:ascii="宋体" w:eastAsia="宋体" w:hAnsi="宋体" w:cs="宋体"/>
          <w:spacing w:val="2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g/</w:t>
      </w:r>
      <w:r>
        <w:rPr>
          <w:rFonts w:ascii="Times New Roman" w:eastAsia="Times New Roman" w:hAnsi="Times New Roman" w:cs="Times New Roman"/>
          <w:sz w:val="24"/>
          <w:szCs w:val="24"/>
        </w:rPr>
        <w:t>cm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³,   </w:t>
      </w:r>
      <w:r>
        <w:rPr>
          <w:rFonts w:ascii="宋体" w:eastAsia="宋体" w:hAnsi="宋体" w:cs="宋体"/>
          <w:spacing w:val="2"/>
          <w:sz w:val="24"/>
          <w:szCs w:val="24"/>
        </w:rPr>
        <w:t>渗透系数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K≤3×10⁵</w:t>
      </w:r>
      <w:r>
        <w:rPr>
          <w:rFonts w:ascii="Times New Roman" w:eastAsia="Times New Roman" w:hAnsi="Times New Roman" w:cs="Times New Roman"/>
          <w:sz w:val="24"/>
          <w:szCs w:val="24"/>
        </w:rPr>
        <w:t>cm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/s,</w:t>
      </w:r>
    </w:p>
    <w:p>
      <w:pPr>
        <w:pStyle w:val="BodyText"/>
        <w:spacing w:line="312" w:lineRule="auto"/>
      </w:pPr>
    </w:p>
    <w:p>
      <w:pPr>
        <w:spacing w:before="79"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3"/>
          <w:sz w:val="24"/>
          <w:szCs w:val="24"/>
        </w:rPr>
        <w:t>压实度为98%。</w:t>
      </w:r>
    </w:p>
    <w:p>
      <w:pPr>
        <w:pStyle w:val="BodyText"/>
        <w:spacing w:line="277" w:lineRule="auto"/>
      </w:pPr>
    </w:p>
    <w:p>
      <w:pPr>
        <w:spacing w:before="79" w:line="678" w:lineRule="exact"/>
        <w:ind w:right="64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position w:val="34"/>
          <w:sz w:val="24"/>
          <w:szCs w:val="24"/>
        </w:rPr>
        <w:t>Ⅱ区为上游防渗区，以强风化土为主，设计控制指标：含水量</w:t>
      </w:r>
      <w:r>
        <w:rPr>
          <w:rFonts w:ascii="Times New Roman" w:eastAsia="Times New Roman" w:hAnsi="Times New Roman" w:cs="Times New Roman"/>
          <w:position w:val="34"/>
          <w:sz w:val="24"/>
          <w:szCs w:val="24"/>
        </w:rPr>
        <w:t>w%=</w:t>
      </w:r>
      <w:r>
        <w:rPr>
          <w:rFonts w:ascii="Times New Roman" w:eastAsia="Times New Roman" w:hAnsi="Times New Roman" w:cs="Times New Roman"/>
          <w:spacing w:val="-1"/>
          <w:position w:val="34"/>
          <w:sz w:val="24"/>
          <w:szCs w:val="24"/>
        </w:rPr>
        <w:t xml:space="preserve">12.1%,      </w:t>
      </w:r>
      <w:r>
        <w:rPr>
          <w:rFonts w:ascii="宋体" w:eastAsia="宋体" w:hAnsi="宋体" w:cs="宋体"/>
          <w:spacing w:val="-1"/>
          <w:position w:val="34"/>
          <w:sz w:val="24"/>
          <w:szCs w:val="24"/>
        </w:rPr>
        <w:t>干容</w:t>
      </w:r>
    </w:p>
    <w:p>
      <w:pPr>
        <w:spacing w:line="212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7"/>
          <w:sz w:val="24"/>
          <w:szCs w:val="24"/>
        </w:rPr>
        <w:t>重γ+=1.9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>g/</w:t>
      </w:r>
      <w:r>
        <w:rPr>
          <w:rFonts w:ascii="Times New Roman" w:eastAsia="Times New Roman" w:hAnsi="Times New Roman" w:cs="Times New Roman"/>
          <w:sz w:val="24"/>
          <w:szCs w:val="24"/>
        </w:rPr>
        <w:t>cm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>³,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7"/>
          <w:sz w:val="24"/>
          <w:szCs w:val="24"/>
        </w:rPr>
        <w:t>渗透系数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>K≤2×10*</w:t>
      </w:r>
      <w:r>
        <w:rPr>
          <w:rFonts w:ascii="Times New Roman" w:eastAsia="Times New Roman" w:hAnsi="Times New Roman" w:cs="Times New Roman"/>
          <w:sz w:val="24"/>
          <w:szCs w:val="24"/>
        </w:rPr>
        <w:t>cm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/s,      </w:t>
      </w:r>
      <w:r>
        <w:rPr>
          <w:rFonts w:ascii="宋体" w:eastAsia="宋体" w:hAnsi="宋体" w:cs="宋体"/>
          <w:spacing w:val="7"/>
          <w:sz w:val="24"/>
          <w:szCs w:val="24"/>
        </w:rPr>
        <w:t>压实度为98%。</w:t>
      </w:r>
    </w:p>
    <w:p>
      <w:pPr>
        <w:pStyle w:val="BodyText"/>
        <w:spacing w:line="295" w:lineRule="auto"/>
      </w:pPr>
    </w:p>
    <w:p>
      <w:pPr>
        <w:spacing w:before="82" w:line="213" w:lineRule="auto"/>
        <w:ind w:left="11"/>
        <w:outlineLvl w:val="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b/>
          <w:bCs/>
          <w:i/>
          <w:iCs/>
          <w:spacing w:val="-12"/>
          <w:sz w:val="25"/>
          <w:szCs w:val="25"/>
        </w:rPr>
        <w:t>1.2重要工程量</w:t>
      </w:r>
    </w:p>
    <w:p>
      <w:pPr>
        <w:pStyle w:val="BodyText"/>
        <w:spacing w:line="280" w:lineRule="auto"/>
      </w:pPr>
    </w:p>
    <w:p>
      <w:pPr>
        <w:spacing w:before="79" w:line="644" w:lineRule="exact"/>
        <w:ind w:right="70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7"/>
          <w:position w:val="31"/>
          <w:sz w:val="24"/>
          <w:szCs w:val="24"/>
        </w:rPr>
        <w:t>I</w:t>
      </w:r>
      <w:r>
        <w:rPr>
          <w:rFonts w:ascii="宋体" w:eastAsia="宋体" w:hAnsi="宋体" w:cs="宋体"/>
          <w:spacing w:val="-57"/>
          <w:position w:val="3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7"/>
          <w:position w:val="31"/>
          <w:sz w:val="24"/>
          <w:szCs w:val="24"/>
        </w:rPr>
        <w:t>区防渗土料填筑工程量为161万m³,</w:t>
      </w:r>
      <w:r>
        <w:rPr>
          <w:rFonts w:ascii="宋体" w:eastAsia="宋体" w:hAnsi="宋体" w:cs="宋体"/>
          <w:spacing w:val="73"/>
          <w:position w:val="3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7"/>
          <w:position w:val="31"/>
          <w:sz w:val="24"/>
          <w:szCs w:val="24"/>
        </w:rPr>
        <w:t>Ⅱ区防渗土料填筑工程量为101万m</w:t>
      </w:r>
      <w:r>
        <w:rPr>
          <w:rFonts w:ascii="宋体" w:eastAsia="宋体" w:hAnsi="宋体" w:cs="宋体"/>
          <w:spacing w:val="6"/>
          <w:position w:val="31"/>
          <w:sz w:val="24"/>
          <w:szCs w:val="24"/>
        </w:rPr>
        <w:t>³,</w:t>
      </w:r>
      <w:r>
        <w:rPr>
          <w:rFonts w:ascii="宋体" w:eastAsia="宋体" w:hAnsi="宋体" w:cs="宋体"/>
          <w:spacing w:val="42"/>
          <w:position w:val="3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6"/>
          <w:position w:val="31"/>
          <w:sz w:val="24"/>
          <w:szCs w:val="24"/>
        </w:rPr>
        <w:t>过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3"/>
          <w:sz w:val="24"/>
          <w:szCs w:val="24"/>
        </w:rPr>
        <w:t>渡层中细砂回填(厚80</w:t>
      </w:r>
      <w:r>
        <w:rPr>
          <w:rFonts w:ascii="宋体" w:eastAsia="宋体" w:hAnsi="宋体" w:cs="宋体"/>
          <w:sz w:val="24"/>
          <w:szCs w:val="24"/>
        </w:rPr>
        <w:t>cm</w:t>
      </w:r>
      <w:r>
        <w:rPr>
          <w:rFonts w:ascii="宋体" w:eastAsia="宋体" w:hAnsi="宋体" w:cs="宋体"/>
          <w:spacing w:val="13"/>
          <w:sz w:val="24"/>
          <w:szCs w:val="24"/>
        </w:rPr>
        <w:t>)</w:t>
      </w:r>
      <w:r>
        <w:rPr>
          <w:rFonts w:ascii="宋体" w:eastAsia="宋体" w:hAnsi="宋体" w:cs="宋体"/>
          <w:spacing w:val="74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3"/>
          <w:sz w:val="24"/>
          <w:szCs w:val="24"/>
        </w:rPr>
        <w:t>工程量约为5万m³。</w:t>
      </w:r>
    </w:p>
    <w:p>
      <w:pPr>
        <w:pStyle w:val="BodyText"/>
        <w:spacing w:line="290" w:lineRule="auto"/>
      </w:pPr>
    </w:p>
    <w:p>
      <w:pPr>
        <w:spacing w:before="78" w:line="222" w:lineRule="auto"/>
        <w:ind w:left="3"/>
        <w:outlineLvl w:val="0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b/>
          <w:bCs/>
          <w:spacing w:val="-8"/>
          <w:sz w:val="24"/>
          <w:szCs w:val="24"/>
        </w:rPr>
        <w:t>2、工程施工布置</w:t>
      </w:r>
    </w:p>
    <w:p>
      <w:pPr>
        <w:spacing w:line="222" w:lineRule="auto"/>
        <w:rPr>
          <w:rFonts w:ascii="黑体" w:eastAsia="黑体" w:hAnsi="黑体" w:cs="黑体"/>
          <w:sz w:val="24"/>
          <w:szCs w:val="24"/>
        </w:rPr>
        <w:sectPr>
          <w:pgSz w:w="11910" w:h="16840"/>
          <w:pgMar w:top="1431" w:right="1099" w:bottom="0" w:left="1700" w:header="0" w:footer="0" w:gutter="0"/>
          <w:pgNumType w:start="2"/>
          <w:cols w:space="708"/>
        </w:sectPr>
      </w:pPr>
    </w:p>
    <w:p>
      <w:pPr>
        <w:spacing w:before="184" w:line="211" w:lineRule="auto"/>
        <w:ind w:left="12"/>
        <w:outlineLvl w:val="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b/>
          <w:bCs/>
          <w:i/>
          <w:iCs/>
          <w:spacing w:val="-8"/>
          <w:sz w:val="25"/>
          <w:szCs w:val="25"/>
        </w:rPr>
        <w:t>2.1料场规划布置</w:t>
      </w:r>
    </w:p>
    <w:p>
      <w:pPr>
        <w:pStyle w:val="BodyText"/>
        <w:spacing w:line="299" w:lineRule="auto"/>
      </w:pPr>
    </w:p>
    <w:p>
      <w:pPr>
        <w:spacing w:before="78"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8"/>
          <w:sz w:val="24"/>
          <w:szCs w:val="24"/>
        </w:rPr>
        <w:t>2.1.1</w:t>
      </w:r>
      <w:r>
        <w:rPr>
          <w:rFonts w:ascii="宋体" w:eastAsia="宋体" w:hAnsi="宋体" w:cs="宋体"/>
          <w:spacing w:val="-3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8"/>
          <w:sz w:val="24"/>
          <w:szCs w:val="24"/>
        </w:rPr>
        <w:t>料场贮量</w:t>
      </w:r>
    </w:p>
    <w:p>
      <w:pPr>
        <w:pStyle w:val="BodyText"/>
        <w:spacing w:line="262" w:lineRule="auto"/>
      </w:pPr>
    </w:p>
    <w:p>
      <w:pPr>
        <w:spacing w:before="78" w:line="508" w:lineRule="auto"/>
        <w:ind w:right="8" w:firstLine="509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防渗土料填筑以库区内左岸坝上土料场为主，丛毛土料</w:t>
      </w:r>
      <w:r>
        <w:rPr>
          <w:rFonts w:ascii="宋体" w:eastAsia="宋体" w:hAnsi="宋体" w:cs="宋体"/>
          <w:spacing w:val="-3"/>
          <w:sz w:val="24"/>
          <w:szCs w:val="24"/>
        </w:rPr>
        <w:t>场和卡巴土料场两料场为补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>充。上述各料场共有防渗料贮量621</w:t>
      </w:r>
      <w:r>
        <w:rPr>
          <w:rFonts w:ascii="宋体" w:eastAsia="宋体" w:hAnsi="宋体" w:cs="宋体"/>
          <w:spacing w:val="-44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 xml:space="preserve">万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m³,   </w:t>
      </w:r>
      <w:r>
        <w:rPr>
          <w:rFonts w:ascii="宋体" w:eastAsia="宋体" w:hAnsi="宋体" w:cs="宋体"/>
          <w:spacing w:val="1"/>
          <w:sz w:val="24"/>
          <w:szCs w:val="24"/>
        </w:rPr>
        <w:t>完全能满足大坝回填规定。各料场防渗土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5"/>
          <w:sz w:val="24"/>
          <w:szCs w:val="24"/>
        </w:rPr>
        <w:t>料贮量见表2-1.</w:t>
      </w:r>
    </w:p>
    <w:p>
      <w:pPr>
        <w:pStyle w:val="BodyText"/>
        <w:spacing w:line="277" w:lineRule="auto"/>
      </w:pPr>
    </w:p>
    <w:p>
      <w:pPr>
        <w:pStyle w:val="BodyText"/>
        <w:spacing w:line="278" w:lineRule="auto"/>
      </w:pPr>
    </w:p>
    <w:p>
      <w:pPr>
        <w:pStyle w:val="BodyText"/>
        <w:spacing w:line="278" w:lineRule="auto"/>
      </w:pPr>
    </w:p>
    <w:p>
      <w:pPr>
        <w:pStyle w:val="BodyText"/>
        <w:spacing w:line="278" w:lineRule="auto"/>
      </w:pPr>
    </w:p>
    <w:p>
      <w:pPr>
        <w:pStyle w:val="BodyText"/>
        <w:spacing w:line="278" w:lineRule="auto"/>
      </w:pPr>
    </w:p>
    <w:p>
      <w:pPr>
        <w:pStyle w:val="BodyText"/>
        <w:spacing w:line="278" w:lineRule="auto"/>
      </w:pPr>
    </w:p>
    <w:p>
      <w:pPr>
        <w:spacing w:before="78"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1"/>
          <w:szCs w:val="21"/>
        </w:rPr>
        <w:t>表2-</w:t>
      </w:r>
      <w:r>
        <w:rPr>
          <w:rFonts w:ascii="宋体" w:eastAsia="宋体" w:hAnsi="宋体" w:cs="宋体"/>
          <w:spacing w:val="-50"/>
          <w:sz w:val="21"/>
          <w:szCs w:val="21"/>
        </w:rPr>
        <w:t xml:space="preserve"> </w:t>
      </w:r>
      <w:r>
        <w:rPr>
          <w:rFonts w:ascii="宋体" w:eastAsia="宋体" w:hAnsi="宋体" w:cs="宋体"/>
          <w:sz w:val="21"/>
          <w:szCs w:val="21"/>
        </w:rPr>
        <w:t xml:space="preserve">1                            </w:t>
      </w:r>
      <w:r>
        <w:rPr>
          <w:rFonts w:ascii="宋体" w:eastAsia="宋体" w:hAnsi="宋体" w:cs="宋体"/>
          <w:sz w:val="24"/>
          <w:szCs w:val="24"/>
        </w:rPr>
        <w:t>土料场贮量表</w:t>
      </w:r>
    </w:p>
    <w:p>
      <w:pPr>
        <w:spacing w:line="168" w:lineRule="exact"/>
      </w:pPr>
    </w:p>
    <w:tbl>
      <w:tblPr>
        <w:tblStyle w:val="TableNormal00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793"/>
        <w:gridCol w:w="1048"/>
        <w:gridCol w:w="2557"/>
        <w:gridCol w:w="3621"/>
      </w:tblGrid>
      <w:tr>
        <w:tblPrEx>
          <w:tblInd w:w="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4"/>
        </w:trPr>
        <w:tc>
          <w:tcPr>
            <w:tcW w:w="2841" w:type="dxa"/>
            <w:gridSpan w:val="2"/>
          </w:tcPr>
          <w:p>
            <w:pPr>
              <w:pStyle w:val="TableText"/>
              <w:spacing w:before="135" w:line="220" w:lineRule="auto"/>
              <w:ind w:left="954"/>
            </w:pPr>
            <w:r>
              <w:rPr>
                <w:spacing w:val="2"/>
              </w:rPr>
              <w:t>料场名称</w:t>
            </w:r>
          </w:p>
        </w:tc>
        <w:tc>
          <w:tcPr>
            <w:tcW w:w="2557" w:type="dxa"/>
          </w:tcPr>
          <w:p>
            <w:pPr>
              <w:pStyle w:val="TableText"/>
              <w:spacing w:before="135" w:line="220" w:lineRule="auto"/>
              <w:ind w:left="633"/>
            </w:pPr>
            <w:r>
              <w:rPr>
                <w:spacing w:val="24"/>
              </w:rPr>
              <w:t>防渗料(m³)</w:t>
            </w:r>
          </w:p>
        </w:tc>
        <w:tc>
          <w:tcPr>
            <w:tcW w:w="3621" w:type="dxa"/>
          </w:tcPr>
          <w:p>
            <w:pPr>
              <w:pStyle w:val="TableText"/>
              <w:spacing w:before="133" w:line="219" w:lineRule="auto"/>
              <w:ind w:left="827"/>
            </w:pPr>
            <w:r>
              <w:rPr>
                <w:spacing w:val="4"/>
              </w:rPr>
              <w:t>可运用开采深度(m)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9"/>
        </w:trPr>
        <w:tc>
          <w:tcPr>
            <w:tcW w:w="1793" w:type="dxa"/>
            <w:vMerge w:val="restart"/>
            <w:tcBorders>
              <w:bottom w:val="nil"/>
            </w:tcBorders>
          </w:tcPr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pStyle w:val="TableText"/>
              <w:spacing w:before="75" w:line="220" w:lineRule="auto"/>
              <w:ind w:left="424"/>
            </w:pPr>
            <w:r>
              <w:rPr>
                <w:spacing w:val="3"/>
              </w:rPr>
              <w:t>坝上料场</w:t>
            </w:r>
          </w:p>
        </w:tc>
        <w:tc>
          <w:tcPr>
            <w:tcW w:w="1048" w:type="dxa"/>
          </w:tcPr>
          <w:p>
            <w:pPr>
              <w:pStyle w:val="TableText"/>
              <w:spacing w:before="127" w:line="224" w:lineRule="auto"/>
              <w:ind w:left="341"/>
            </w:pPr>
            <w:r>
              <w:rPr>
                <w:spacing w:val="-1"/>
              </w:rPr>
              <w:t>A区</w:t>
            </w:r>
          </w:p>
        </w:tc>
        <w:tc>
          <w:tcPr>
            <w:tcW w:w="2557" w:type="dxa"/>
          </w:tcPr>
          <w:p>
            <w:pPr>
              <w:pStyle w:val="TableText"/>
              <w:spacing w:before="179" w:line="183" w:lineRule="auto"/>
              <w:ind w:left="923"/>
            </w:pPr>
            <w:r>
              <w:rPr>
                <w:spacing w:val="-2"/>
              </w:rPr>
              <w:t>272938</w:t>
            </w:r>
          </w:p>
        </w:tc>
        <w:tc>
          <w:tcPr>
            <w:tcW w:w="3621" w:type="dxa"/>
          </w:tcPr>
          <w:p>
            <w:pPr>
              <w:pStyle w:val="TableText"/>
              <w:spacing w:before="178" w:line="184" w:lineRule="auto"/>
              <w:ind w:left="1346"/>
            </w:pPr>
            <w:r>
              <w:rPr>
                <w:spacing w:val="-4"/>
              </w:rPr>
              <w:t>1.7～5.3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0"/>
        </w:trPr>
        <w:tc>
          <w:tcPr>
            <w:tcW w:w="179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048" w:type="dxa"/>
          </w:tcPr>
          <w:p>
            <w:pPr>
              <w:pStyle w:val="TableText"/>
              <w:spacing w:before="128" w:line="224" w:lineRule="auto"/>
              <w:ind w:left="341"/>
            </w:pPr>
            <w:r>
              <w:rPr>
                <w:spacing w:val="-1"/>
              </w:rPr>
              <w:t>B区</w:t>
            </w:r>
          </w:p>
        </w:tc>
        <w:tc>
          <w:tcPr>
            <w:tcW w:w="2557" w:type="dxa"/>
          </w:tcPr>
          <w:p>
            <w:pPr>
              <w:pStyle w:val="TableText"/>
              <w:spacing w:before="179" w:line="184" w:lineRule="auto"/>
              <w:ind w:left="923"/>
            </w:pPr>
            <w:r>
              <w:rPr>
                <w:spacing w:val="-2"/>
              </w:rPr>
              <w:t>831203</w:t>
            </w:r>
          </w:p>
        </w:tc>
        <w:tc>
          <w:tcPr>
            <w:tcW w:w="3621" w:type="dxa"/>
          </w:tcPr>
          <w:p>
            <w:pPr>
              <w:pStyle w:val="TableText"/>
              <w:spacing w:before="179" w:line="184" w:lineRule="auto"/>
              <w:ind w:left="1286"/>
            </w:pPr>
            <w:r>
              <w:rPr>
                <w:spacing w:val="-2"/>
              </w:rPr>
              <w:t>2.6～11.3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9"/>
        </w:trPr>
        <w:tc>
          <w:tcPr>
            <w:tcW w:w="179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048" w:type="dxa"/>
          </w:tcPr>
          <w:p>
            <w:pPr>
              <w:pStyle w:val="TableText"/>
              <w:spacing w:before="138" w:line="224" w:lineRule="auto"/>
              <w:ind w:left="271"/>
            </w:pPr>
            <w:r>
              <w:rPr>
                <w:spacing w:val="-4"/>
              </w:rPr>
              <w:t>C</w:t>
            </w:r>
            <w:r>
              <w:rPr>
                <w:spacing w:val="72"/>
              </w:rPr>
              <w:t xml:space="preserve"> </w:t>
            </w:r>
            <w:r>
              <w:rPr>
                <w:spacing w:val="-4"/>
              </w:rPr>
              <w:t>区</w:t>
            </w:r>
          </w:p>
        </w:tc>
        <w:tc>
          <w:tcPr>
            <w:tcW w:w="2557" w:type="dxa"/>
          </w:tcPr>
          <w:p>
            <w:pPr>
              <w:pStyle w:val="TableText"/>
              <w:spacing w:before="189" w:line="184" w:lineRule="auto"/>
              <w:ind w:left="983"/>
            </w:pPr>
            <w:r>
              <w:rPr>
                <w:spacing w:val="-3"/>
              </w:rPr>
              <w:t>52186</w:t>
            </w:r>
          </w:p>
        </w:tc>
        <w:tc>
          <w:tcPr>
            <w:tcW w:w="3621" w:type="dxa"/>
          </w:tcPr>
          <w:p>
            <w:pPr>
              <w:pStyle w:val="TableText"/>
              <w:spacing w:before="190" w:line="183" w:lineRule="auto"/>
              <w:ind w:left="1346"/>
            </w:pPr>
            <w:r>
              <w:rPr>
                <w:spacing w:val="-2"/>
              </w:rPr>
              <w:t>2.4～3.9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179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048" w:type="dxa"/>
          </w:tcPr>
          <w:p>
            <w:pPr>
              <w:pStyle w:val="TableText"/>
              <w:spacing w:before="129" w:line="224" w:lineRule="auto"/>
              <w:ind w:left="271"/>
            </w:pPr>
            <w:r>
              <w:rPr>
                <w:spacing w:val="-3"/>
              </w:rPr>
              <w:t>D</w:t>
            </w:r>
            <w:r>
              <w:rPr>
                <w:spacing w:val="70"/>
              </w:rPr>
              <w:t xml:space="preserve"> </w:t>
            </w:r>
            <w:r>
              <w:rPr>
                <w:spacing w:val="-3"/>
              </w:rPr>
              <w:t>区</w:t>
            </w:r>
          </w:p>
        </w:tc>
        <w:tc>
          <w:tcPr>
            <w:tcW w:w="2557" w:type="dxa"/>
          </w:tcPr>
          <w:p>
            <w:pPr>
              <w:pStyle w:val="TableText"/>
              <w:spacing w:before="180" w:line="184" w:lineRule="auto"/>
              <w:ind w:left="923"/>
            </w:pPr>
            <w:r>
              <w:rPr>
                <w:spacing w:val="-4"/>
              </w:rPr>
              <w:t>100385</w:t>
            </w:r>
          </w:p>
        </w:tc>
        <w:tc>
          <w:tcPr>
            <w:tcW w:w="3621" w:type="dxa"/>
          </w:tcPr>
          <w:p>
            <w:pPr>
              <w:pStyle w:val="TableText"/>
              <w:spacing w:before="181" w:line="183" w:lineRule="auto"/>
              <w:ind w:left="1576"/>
            </w:pPr>
            <w:r>
              <w:rPr>
                <w:spacing w:val="-3"/>
              </w:rPr>
              <w:t>2～3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9"/>
        </w:trPr>
        <w:tc>
          <w:tcPr>
            <w:tcW w:w="1793" w:type="dxa"/>
            <w:vMerge/>
            <w:tcBorders>
              <w:top w:val="nil"/>
            </w:tcBorders>
          </w:tcPr>
          <w:p/>
        </w:tc>
        <w:tc>
          <w:tcPr>
            <w:tcW w:w="1048" w:type="dxa"/>
          </w:tcPr>
          <w:p>
            <w:pPr>
              <w:pStyle w:val="TableText"/>
              <w:spacing w:before="140" w:line="224" w:lineRule="auto"/>
              <w:ind w:left="341"/>
            </w:pPr>
            <w:r>
              <w:rPr>
                <w:spacing w:val="7"/>
              </w:rPr>
              <w:t>E区</w:t>
            </w:r>
          </w:p>
        </w:tc>
        <w:tc>
          <w:tcPr>
            <w:tcW w:w="2557" w:type="dxa"/>
          </w:tcPr>
          <w:p>
            <w:pPr>
              <w:pStyle w:val="TableText"/>
              <w:spacing w:before="192" w:line="183" w:lineRule="auto"/>
              <w:ind w:left="983"/>
            </w:pPr>
            <w:r>
              <w:rPr>
                <w:spacing w:val="-2"/>
              </w:rPr>
              <w:t>27099</w:t>
            </w:r>
          </w:p>
        </w:tc>
        <w:tc>
          <w:tcPr>
            <w:tcW w:w="3621" w:type="dxa"/>
          </w:tcPr>
          <w:p>
            <w:pPr>
              <w:pStyle w:val="TableText"/>
              <w:spacing w:before="191" w:line="184" w:lineRule="auto"/>
              <w:ind w:left="1576"/>
            </w:pPr>
            <w:r>
              <w:rPr>
                <w:spacing w:val="-7"/>
              </w:rPr>
              <w:t>1～2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1793" w:type="dxa"/>
            <w:vMerge w:val="restart"/>
            <w:tcBorders>
              <w:bottom w:val="nil"/>
            </w:tcBorders>
          </w:tcPr>
          <w:p>
            <w:pPr>
              <w:spacing w:line="263" w:lineRule="auto"/>
            </w:pPr>
          </w:p>
          <w:p>
            <w:pPr>
              <w:spacing w:line="264" w:lineRule="auto"/>
            </w:pPr>
          </w:p>
          <w:p>
            <w:pPr>
              <w:pStyle w:val="TableText"/>
              <w:spacing w:before="74" w:line="220" w:lineRule="auto"/>
              <w:ind w:left="424"/>
            </w:pPr>
            <w:r>
              <w:rPr>
                <w:spacing w:val="3"/>
              </w:rPr>
              <w:t>丛毛料场</w:t>
            </w:r>
          </w:p>
        </w:tc>
        <w:tc>
          <w:tcPr>
            <w:tcW w:w="1048" w:type="dxa"/>
          </w:tcPr>
          <w:p>
            <w:pPr>
              <w:pStyle w:val="TableText"/>
              <w:spacing w:before="131" w:line="224" w:lineRule="auto"/>
              <w:ind w:left="341"/>
            </w:pPr>
            <w:r>
              <w:rPr>
                <w:spacing w:val="-1"/>
              </w:rPr>
              <w:t>A区</w:t>
            </w:r>
          </w:p>
        </w:tc>
        <w:tc>
          <w:tcPr>
            <w:tcW w:w="2557" w:type="dxa"/>
          </w:tcPr>
          <w:p>
            <w:pPr>
              <w:pStyle w:val="TableText"/>
              <w:spacing w:before="183" w:line="183" w:lineRule="auto"/>
              <w:ind w:left="923"/>
            </w:pPr>
            <w:r>
              <w:rPr>
                <w:spacing w:val="-3"/>
              </w:rPr>
              <w:t>726457</w:t>
            </w:r>
          </w:p>
        </w:tc>
        <w:tc>
          <w:tcPr>
            <w:tcW w:w="3621" w:type="dxa"/>
          </w:tcPr>
          <w:p>
            <w:pPr>
              <w:pStyle w:val="TableText"/>
              <w:spacing w:before="182" w:line="184" w:lineRule="auto"/>
              <w:ind w:left="1346"/>
            </w:pPr>
            <w:r>
              <w:rPr>
                <w:spacing w:val="-4"/>
              </w:rPr>
              <w:t>1.4～6.3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9"/>
        </w:trPr>
        <w:tc>
          <w:tcPr>
            <w:tcW w:w="179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048" w:type="dxa"/>
          </w:tcPr>
          <w:p>
            <w:pPr>
              <w:pStyle w:val="TableText"/>
              <w:spacing w:before="132" w:line="224" w:lineRule="auto"/>
              <w:ind w:left="341"/>
            </w:pPr>
            <w:r>
              <w:rPr>
                <w:spacing w:val="-1"/>
              </w:rPr>
              <w:t>B区</w:t>
            </w:r>
          </w:p>
        </w:tc>
        <w:tc>
          <w:tcPr>
            <w:tcW w:w="2557" w:type="dxa"/>
          </w:tcPr>
          <w:p>
            <w:pPr>
              <w:pStyle w:val="TableText"/>
              <w:spacing w:before="183" w:line="184" w:lineRule="auto"/>
              <w:ind w:left="923"/>
            </w:pPr>
            <w:r>
              <w:rPr>
                <w:spacing w:val="-2"/>
              </w:rPr>
              <w:t>230134</w:t>
            </w:r>
          </w:p>
        </w:tc>
        <w:tc>
          <w:tcPr>
            <w:tcW w:w="3621" w:type="dxa"/>
          </w:tcPr>
          <w:p>
            <w:pPr>
              <w:pStyle w:val="TableText"/>
              <w:spacing w:before="184" w:line="183" w:lineRule="auto"/>
              <w:ind w:left="1346"/>
            </w:pPr>
            <w:r>
              <w:rPr>
                <w:spacing w:val="-2"/>
              </w:rPr>
              <w:t>2.4～4.8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0"/>
        </w:trPr>
        <w:tc>
          <w:tcPr>
            <w:tcW w:w="1793" w:type="dxa"/>
            <w:vMerge/>
            <w:tcBorders>
              <w:top w:val="nil"/>
            </w:tcBorders>
          </w:tcPr>
          <w:p/>
        </w:tc>
        <w:tc>
          <w:tcPr>
            <w:tcW w:w="1048" w:type="dxa"/>
          </w:tcPr>
          <w:p>
            <w:pPr>
              <w:pStyle w:val="TableText"/>
              <w:spacing w:before="143" w:line="224" w:lineRule="auto"/>
              <w:ind w:left="341"/>
            </w:pPr>
            <w:r>
              <w:rPr>
                <w:spacing w:val="7"/>
              </w:rPr>
              <w:t>C区</w:t>
            </w:r>
          </w:p>
        </w:tc>
        <w:tc>
          <w:tcPr>
            <w:tcW w:w="2557" w:type="dxa"/>
          </w:tcPr>
          <w:p>
            <w:pPr>
              <w:pStyle w:val="TableText"/>
              <w:spacing w:before="194" w:line="184" w:lineRule="auto"/>
              <w:ind w:left="923"/>
            </w:pPr>
            <w:r>
              <w:rPr>
                <w:spacing w:val="-4"/>
              </w:rPr>
              <w:t>102558</w:t>
            </w:r>
          </w:p>
        </w:tc>
        <w:tc>
          <w:tcPr>
            <w:tcW w:w="3621" w:type="dxa"/>
          </w:tcPr>
          <w:p>
            <w:pPr>
              <w:pStyle w:val="TableText"/>
              <w:spacing w:before="195" w:line="183" w:lineRule="auto"/>
              <w:ind w:left="1346"/>
            </w:pPr>
            <w:r>
              <w:rPr>
                <w:spacing w:val="-2"/>
              </w:rPr>
              <w:t>3.2～5.3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9"/>
        </w:trPr>
        <w:tc>
          <w:tcPr>
            <w:tcW w:w="1793" w:type="dxa"/>
            <w:vMerge w:val="restart"/>
            <w:tcBorders>
              <w:bottom w:val="nil"/>
            </w:tcBorders>
          </w:tcPr>
          <w:p>
            <w:pPr>
              <w:spacing w:line="269" w:lineRule="auto"/>
            </w:pPr>
          </w:p>
          <w:p>
            <w:pPr>
              <w:spacing w:line="270" w:lineRule="auto"/>
            </w:pPr>
          </w:p>
          <w:p>
            <w:pPr>
              <w:pStyle w:val="TableText"/>
              <w:spacing w:before="74" w:line="220" w:lineRule="auto"/>
              <w:ind w:left="424"/>
            </w:pPr>
            <w:r>
              <w:rPr>
                <w:spacing w:val="3"/>
              </w:rPr>
              <w:t>卡巴料场</w:t>
            </w:r>
          </w:p>
        </w:tc>
        <w:tc>
          <w:tcPr>
            <w:tcW w:w="1048" w:type="dxa"/>
          </w:tcPr>
          <w:p>
            <w:pPr>
              <w:pStyle w:val="TableText"/>
              <w:spacing w:before="133" w:line="224" w:lineRule="auto"/>
              <w:ind w:left="341"/>
            </w:pPr>
            <w:r>
              <w:rPr>
                <w:spacing w:val="-1"/>
              </w:rPr>
              <w:t>A区</w:t>
            </w:r>
          </w:p>
        </w:tc>
        <w:tc>
          <w:tcPr>
            <w:tcW w:w="2557" w:type="dxa"/>
          </w:tcPr>
          <w:p>
            <w:pPr>
              <w:pStyle w:val="TableText"/>
              <w:spacing w:before="184" w:line="184" w:lineRule="auto"/>
              <w:ind w:left="863"/>
            </w:pPr>
            <w:r>
              <w:rPr>
                <w:spacing w:val="-4"/>
              </w:rPr>
              <w:t>1535525</w:t>
            </w:r>
          </w:p>
        </w:tc>
        <w:tc>
          <w:tcPr>
            <w:tcW w:w="3621" w:type="dxa"/>
          </w:tcPr>
          <w:p>
            <w:pPr>
              <w:pStyle w:val="TableText"/>
              <w:spacing w:before="184" w:line="184" w:lineRule="auto"/>
              <w:ind w:left="1346"/>
            </w:pPr>
            <w:r>
              <w:rPr>
                <w:spacing w:val="-4"/>
              </w:rPr>
              <w:t>1.6～6.1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0"/>
        </w:trPr>
        <w:tc>
          <w:tcPr>
            <w:tcW w:w="179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048" w:type="dxa"/>
          </w:tcPr>
          <w:p>
            <w:pPr>
              <w:pStyle w:val="TableText"/>
              <w:spacing w:before="144" w:line="224" w:lineRule="auto"/>
              <w:ind w:left="341"/>
            </w:pPr>
            <w:r>
              <w:rPr>
                <w:spacing w:val="-1"/>
              </w:rPr>
              <w:t>B区</w:t>
            </w:r>
          </w:p>
        </w:tc>
        <w:tc>
          <w:tcPr>
            <w:tcW w:w="2557" w:type="dxa"/>
          </w:tcPr>
          <w:p>
            <w:pPr>
              <w:pStyle w:val="TableText"/>
              <w:spacing w:before="195" w:line="184" w:lineRule="auto"/>
              <w:ind w:left="863"/>
            </w:pPr>
            <w:r>
              <w:rPr>
                <w:spacing w:val="-4"/>
              </w:rPr>
              <w:t>1762587</w:t>
            </w:r>
          </w:p>
        </w:tc>
        <w:tc>
          <w:tcPr>
            <w:tcW w:w="3621" w:type="dxa"/>
          </w:tcPr>
          <w:p>
            <w:pPr>
              <w:pStyle w:val="TableText"/>
              <w:spacing w:before="195" w:line="184" w:lineRule="auto"/>
              <w:ind w:left="1396"/>
            </w:pPr>
            <w:r>
              <w:rPr>
                <w:spacing w:val="-5"/>
              </w:rPr>
              <w:t>15～4.4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9"/>
        </w:trPr>
        <w:tc>
          <w:tcPr>
            <w:tcW w:w="1793" w:type="dxa"/>
            <w:vMerge/>
            <w:tcBorders>
              <w:top w:val="nil"/>
            </w:tcBorders>
          </w:tcPr>
          <w:p/>
        </w:tc>
        <w:tc>
          <w:tcPr>
            <w:tcW w:w="1048" w:type="dxa"/>
          </w:tcPr>
          <w:p>
            <w:pPr>
              <w:pStyle w:val="TableText"/>
              <w:spacing w:before="134" w:line="224" w:lineRule="auto"/>
              <w:ind w:left="341"/>
            </w:pPr>
            <w:r>
              <w:rPr>
                <w:spacing w:val="7"/>
              </w:rPr>
              <w:t>C区</w:t>
            </w:r>
          </w:p>
        </w:tc>
        <w:tc>
          <w:tcPr>
            <w:tcW w:w="2557" w:type="dxa"/>
          </w:tcPr>
          <w:p>
            <w:pPr>
              <w:pStyle w:val="TableText"/>
              <w:spacing w:before="186" w:line="183" w:lineRule="auto"/>
              <w:ind w:left="923"/>
            </w:pPr>
            <w:r>
              <w:rPr>
                <w:spacing w:val="-2"/>
              </w:rPr>
              <w:t>574830</w:t>
            </w:r>
          </w:p>
        </w:tc>
        <w:tc>
          <w:tcPr>
            <w:tcW w:w="3621" w:type="dxa"/>
          </w:tcPr>
          <w:p>
            <w:pPr>
              <w:pStyle w:val="TableText"/>
              <w:spacing w:before="185" w:line="184" w:lineRule="auto"/>
              <w:ind w:left="1346"/>
            </w:pPr>
            <w:r>
              <w:rPr>
                <w:spacing w:val="-4"/>
              </w:rPr>
              <w:t>1.5～3.8</w:t>
            </w:r>
          </w:p>
        </w:tc>
      </w:tr>
      <w:tr>
        <w:tblPrEx>
          <w:tblInd w:w="4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4"/>
        </w:trPr>
        <w:tc>
          <w:tcPr>
            <w:tcW w:w="2841" w:type="dxa"/>
            <w:gridSpan w:val="2"/>
          </w:tcPr>
          <w:p>
            <w:pPr>
              <w:pStyle w:val="TableText"/>
              <w:spacing w:before="139" w:line="221" w:lineRule="auto"/>
              <w:ind w:left="1004"/>
            </w:pPr>
            <w:r>
              <w:rPr>
                <w:spacing w:val="-5"/>
              </w:rPr>
              <w:t>合</w:t>
            </w:r>
            <w:r>
              <w:rPr>
                <w:spacing w:val="11"/>
              </w:rPr>
              <w:t xml:space="preserve">   </w:t>
            </w:r>
            <w:r>
              <w:rPr>
                <w:spacing w:val="-5"/>
              </w:rPr>
              <w:t>计</w:t>
            </w:r>
          </w:p>
        </w:tc>
        <w:tc>
          <w:tcPr>
            <w:tcW w:w="2557" w:type="dxa"/>
          </w:tcPr>
          <w:p>
            <w:pPr>
              <w:pStyle w:val="TableText"/>
              <w:spacing w:before="196" w:line="184" w:lineRule="auto"/>
              <w:ind w:left="863"/>
            </w:pPr>
            <w:r>
              <w:rPr>
                <w:spacing w:val="-2"/>
              </w:rPr>
              <w:t>6215902</w:t>
            </w:r>
          </w:p>
        </w:tc>
        <w:tc>
          <w:tcPr>
            <w:tcW w:w="3621" w:type="dxa"/>
          </w:tcPr>
          <w:p/>
        </w:tc>
      </w:tr>
    </w:tbl>
    <w:p>
      <w:pPr>
        <w:spacing w:before="235" w:line="631" w:lineRule="exact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position w:val="30"/>
          <w:sz w:val="24"/>
          <w:szCs w:val="24"/>
        </w:rPr>
        <w:t>通过对坝上料场和丛毛料场勘探试验，料场土</w:t>
      </w:r>
      <w:r>
        <w:rPr>
          <w:rFonts w:ascii="宋体" w:eastAsia="宋体" w:hAnsi="宋体" w:cs="宋体"/>
          <w:spacing w:val="-3"/>
          <w:position w:val="30"/>
          <w:sz w:val="24"/>
          <w:szCs w:val="24"/>
        </w:rPr>
        <w:t>料技术性质均能满足</w:t>
      </w:r>
      <w:r>
        <w:rPr>
          <w:rFonts w:ascii="宋体" w:eastAsia="宋体" w:hAnsi="宋体" w:cs="宋体"/>
          <w:spacing w:val="-70"/>
          <w:position w:val="3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position w:val="30"/>
          <w:sz w:val="24"/>
          <w:szCs w:val="24"/>
        </w:rPr>
        <w:t>I</w:t>
      </w:r>
      <w:r>
        <w:rPr>
          <w:rFonts w:ascii="宋体" w:eastAsia="宋体" w:hAnsi="宋体" w:cs="宋体"/>
          <w:spacing w:val="-37"/>
          <w:position w:val="3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position w:val="30"/>
          <w:sz w:val="24"/>
          <w:szCs w:val="24"/>
        </w:rPr>
        <w:t>区防渗土料回</w:t>
      </w:r>
    </w:p>
    <w:p>
      <w:pPr>
        <w:spacing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填规定。</w:t>
      </w:r>
    </w:p>
    <w:p>
      <w:pPr>
        <w:pStyle w:val="BodyText"/>
        <w:spacing w:line="282" w:lineRule="auto"/>
      </w:pPr>
    </w:p>
    <w:p>
      <w:pPr>
        <w:spacing w:before="78"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7"/>
          <w:sz w:val="24"/>
          <w:szCs w:val="24"/>
        </w:rPr>
        <w:t>2.1.2料场开采规划</w:t>
      </w:r>
    </w:p>
    <w:p>
      <w:pPr>
        <w:pStyle w:val="BodyText"/>
        <w:spacing w:line="260" w:lineRule="auto"/>
      </w:pPr>
    </w:p>
    <w:p>
      <w:pPr>
        <w:spacing w:before="78" w:line="212" w:lineRule="auto"/>
        <w:ind w:right="12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7"/>
          <w:sz w:val="24"/>
          <w:szCs w:val="24"/>
        </w:rPr>
        <w:t>防渗土料开采重要以坝上料场为主(贮量为128.</w:t>
      </w:r>
      <w:r>
        <w:rPr>
          <w:rFonts w:ascii="宋体" w:eastAsia="宋体" w:hAnsi="宋体" w:cs="宋体"/>
          <w:spacing w:val="6"/>
          <w:sz w:val="24"/>
          <w:szCs w:val="24"/>
        </w:rPr>
        <w:t>4万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m³),   </w:t>
      </w:r>
      <w:r>
        <w:rPr>
          <w:rFonts w:ascii="宋体" w:eastAsia="宋体" w:hAnsi="宋体" w:cs="宋体"/>
          <w:spacing w:val="6"/>
          <w:sz w:val="24"/>
          <w:szCs w:val="24"/>
        </w:rPr>
        <w:t>丛毛料场(贮量为105.9</w:t>
      </w:r>
    </w:p>
    <w:p>
      <w:pPr>
        <w:spacing w:line="212" w:lineRule="auto"/>
        <w:rPr>
          <w:rFonts w:ascii="宋体" w:eastAsia="宋体" w:hAnsi="宋体" w:cs="宋体"/>
          <w:sz w:val="24"/>
          <w:szCs w:val="24"/>
        </w:rPr>
        <w:sectPr>
          <w:pgSz w:w="11910" w:h="16840"/>
          <w:pgMar w:top="1431" w:right="1143" w:bottom="0" w:left="1690" w:header="0" w:footer="0" w:gutter="0"/>
          <w:pgNumType w:start="3"/>
          <w:cols w:space="708"/>
        </w:sectPr>
      </w:pPr>
    </w:p>
    <w:p>
      <w:pPr>
        <w:spacing w:before="142" w:line="518" w:lineRule="auto"/>
        <w:ind w:right="12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8"/>
          <w:sz w:val="24"/>
          <w:szCs w:val="24"/>
        </w:rPr>
        <w:t>万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m³)  </w:t>
      </w:r>
      <w:r>
        <w:rPr>
          <w:rFonts w:ascii="宋体" w:eastAsia="宋体" w:hAnsi="宋体" w:cs="宋体"/>
          <w:spacing w:val="8"/>
          <w:sz w:val="24"/>
          <w:szCs w:val="24"/>
        </w:rPr>
        <w:t>和卡巴料场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8"/>
          <w:sz w:val="24"/>
          <w:szCs w:val="24"/>
        </w:rPr>
        <w:t>区(贮量为153.</w:t>
      </w:r>
      <w:r>
        <w:rPr>
          <w:rFonts w:ascii="宋体" w:eastAsia="宋体" w:hAnsi="宋体" w:cs="宋体"/>
          <w:spacing w:val="7"/>
          <w:sz w:val="24"/>
          <w:szCs w:val="24"/>
        </w:rPr>
        <w:t>6万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m³)  </w:t>
      </w:r>
      <w:r>
        <w:rPr>
          <w:rFonts w:ascii="宋体" w:eastAsia="宋体" w:hAnsi="宋体" w:cs="宋体"/>
          <w:spacing w:val="7"/>
          <w:sz w:val="24"/>
          <w:szCs w:val="24"/>
        </w:rPr>
        <w:t>为补充。防渗土料填筑总量为262万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m³,  </w:t>
      </w:r>
      <w:r>
        <w:rPr>
          <w:rFonts w:ascii="宋体" w:eastAsia="宋体" w:hAnsi="宋体" w:cs="宋体"/>
          <w:spacing w:val="1"/>
          <w:sz w:val="24"/>
          <w:szCs w:val="24"/>
        </w:rPr>
        <w:t>考虑到自然方和压实方的换算系数(0.85),上述料场防渗土料贮量完全满足大坝填筑规</w:t>
      </w:r>
    </w:p>
    <w:p>
      <w:pPr>
        <w:spacing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3"/>
          <w:sz w:val="24"/>
          <w:szCs w:val="24"/>
        </w:rPr>
        <w:t>定。</w:t>
      </w:r>
    </w:p>
    <w:p>
      <w:pPr>
        <w:pStyle w:val="BodyText"/>
        <w:spacing w:line="261" w:lineRule="auto"/>
      </w:pPr>
    </w:p>
    <w:p>
      <w:pPr>
        <w:spacing w:before="78" w:line="508" w:lineRule="auto"/>
        <w:ind w:right="12" w:firstLine="499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为保护环境，减少征地，节省工程成本，确定料场开采原则为：以坝上料场为主，</w:t>
      </w:r>
      <w:r>
        <w:rPr>
          <w:rFonts w:ascii="宋体" w:eastAsia="宋体" w:hAnsi="宋体" w:cs="宋体"/>
          <w:spacing w:val="16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丛毛料场</w:t>
      </w:r>
      <w:r>
        <w:rPr>
          <w:rFonts w:ascii="宋体" w:eastAsia="宋体" w:hAnsi="宋体" w:cs="宋体"/>
          <w:spacing w:val="-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B </w:t>
      </w:r>
      <w:r>
        <w:rPr>
          <w:rFonts w:ascii="宋体" w:eastAsia="宋体" w:hAnsi="宋体" w:cs="宋体"/>
          <w:spacing w:val="-1"/>
          <w:sz w:val="24"/>
          <w:szCs w:val="24"/>
        </w:rPr>
        <w:t>区和卡巴料场</w:t>
      </w:r>
      <w:r>
        <w:rPr>
          <w:rFonts w:ascii="宋体" w:eastAsia="宋体" w:hAnsi="宋体" w:cs="宋体"/>
          <w:spacing w:val="-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A </w:t>
      </w:r>
      <w:r>
        <w:rPr>
          <w:rFonts w:ascii="宋体" w:eastAsia="宋体" w:hAnsi="宋体" w:cs="宋体"/>
          <w:spacing w:val="-1"/>
          <w:sz w:val="24"/>
          <w:szCs w:val="24"/>
        </w:rPr>
        <w:t>区为补充，原</w:t>
      </w:r>
      <w:r>
        <w:rPr>
          <w:rFonts w:ascii="宋体" w:eastAsia="宋体" w:hAnsi="宋体" w:cs="宋体"/>
          <w:spacing w:val="-2"/>
          <w:sz w:val="24"/>
          <w:szCs w:val="24"/>
        </w:rPr>
        <w:t>则上不进行卡巴料场</w:t>
      </w:r>
      <w:r>
        <w:rPr>
          <w:rFonts w:ascii="宋体" w:eastAsia="宋体" w:hAnsi="宋体" w:cs="宋体"/>
          <w:spacing w:val="-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(B  </w:t>
      </w:r>
      <w:r>
        <w:rPr>
          <w:rFonts w:ascii="宋体" w:eastAsia="宋体" w:hAnsi="宋体" w:cs="宋体"/>
          <w:spacing w:val="-2"/>
          <w:sz w:val="24"/>
          <w:szCs w:val="24"/>
        </w:rPr>
        <w:t>区、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29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区)和丛毛料</w:t>
      </w:r>
    </w:p>
    <w:p>
      <w:pPr>
        <w:spacing w:line="218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场 (A</w:t>
      </w:r>
      <w:r>
        <w:rPr>
          <w:rFonts w:ascii="宋体" w:eastAsia="宋体" w:hAnsi="宋体" w:cs="宋体"/>
          <w:spacing w:val="6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区、C 区)的土料开采。</w:t>
      </w:r>
    </w:p>
    <w:p>
      <w:pPr>
        <w:pStyle w:val="BodyText"/>
        <w:spacing w:line="250" w:lineRule="auto"/>
      </w:pPr>
    </w:p>
    <w:p>
      <w:pPr>
        <w:spacing w:before="78" w:line="506" w:lineRule="auto"/>
        <w:ind w:right="11" w:firstLine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8"/>
          <w:sz w:val="24"/>
          <w:szCs w:val="24"/>
        </w:rPr>
        <w:t>大坝防渗土料</w:t>
      </w:r>
      <w:r>
        <w:rPr>
          <w:rFonts w:ascii="宋体" w:eastAsia="宋体" w:hAnsi="宋体" w:cs="宋体"/>
          <w:spacing w:val="-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46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8"/>
          <w:sz w:val="24"/>
          <w:szCs w:val="24"/>
        </w:rPr>
        <w:t>区填筑工程量为161万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m³,Ⅱ    </w:t>
      </w:r>
      <w:r>
        <w:rPr>
          <w:rFonts w:ascii="宋体" w:eastAsia="宋体" w:hAnsi="宋体" w:cs="宋体"/>
          <w:spacing w:val="8"/>
          <w:sz w:val="24"/>
          <w:szCs w:val="24"/>
        </w:rPr>
        <w:t>区填筑工程量为101</w:t>
      </w:r>
      <w:r>
        <w:rPr>
          <w:rFonts w:ascii="宋体" w:eastAsia="宋体" w:hAnsi="宋体" w:cs="宋体"/>
          <w:spacing w:val="7"/>
          <w:sz w:val="24"/>
          <w:szCs w:val="24"/>
        </w:rPr>
        <w:t>万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>m³</w:t>
      </w:r>
      <w:r>
        <w:rPr>
          <w:rFonts w:ascii="Times New Roman" w:eastAsia="Times New Roman" w:hAnsi="Times New Roman" w:cs="Times New Roman"/>
          <w:spacing w:val="-2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7"/>
          <w:sz w:val="24"/>
          <w:szCs w:val="24"/>
        </w:rPr>
        <w:t>。坝上料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5"/>
          <w:sz w:val="24"/>
          <w:szCs w:val="24"/>
        </w:rPr>
        <w:t>场、丛毛料场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5"/>
          <w:sz w:val="24"/>
          <w:szCs w:val="24"/>
        </w:rPr>
        <w:t>区和卡巴料场</w:t>
      </w:r>
      <w:r>
        <w:rPr>
          <w:rFonts w:ascii="宋体" w:eastAsia="宋体" w:hAnsi="宋体" w:cs="宋体"/>
          <w:spacing w:val="-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A </w:t>
      </w:r>
      <w:r>
        <w:rPr>
          <w:rFonts w:ascii="宋体" w:eastAsia="宋体" w:hAnsi="宋体" w:cs="宋体"/>
          <w:spacing w:val="5"/>
          <w:sz w:val="24"/>
          <w:szCs w:val="24"/>
        </w:rPr>
        <w:t>区共有防渗土料贮量305万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m³</w:t>
      </w:r>
      <w:r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5"/>
          <w:sz w:val="24"/>
          <w:szCs w:val="24"/>
        </w:rPr>
        <w:t>(自然方),其技术指标</w:t>
      </w:r>
    </w:p>
    <w:p>
      <w:pPr>
        <w:spacing w:before="1" w:line="218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满足大坝防渗土料</w:t>
      </w:r>
      <w:r>
        <w:rPr>
          <w:rFonts w:ascii="宋体" w:eastAsia="宋体" w:hAnsi="宋体" w:cs="宋体"/>
          <w:spacing w:val="-6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I</w:t>
      </w:r>
      <w:r>
        <w:rPr>
          <w:rFonts w:ascii="宋体" w:eastAsia="宋体" w:hAnsi="宋体" w:cs="宋体"/>
          <w:spacing w:val="-48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区填筑规定，基本能满足大坝</w:t>
      </w:r>
      <w:r>
        <w:rPr>
          <w:rFonts w:ascii="宋体" w:eastAsia="宋体" w:hAnsi="宋体" w:cs="宋体"/>
          <w:spacing w:val="-2"/>
          <w:sz w:val="24"/>
          <w:szCs w:val="24"/>
        </w:rPr>
        <w:t>防渗土料I</w:t>
      </w:r>
      <w:r>
        <w:rPr>
          <w:rFonts w:ascii="宋体" w:eastAsia="宋体" w:hAnsi="宋体" w:cs="宋体"/>
          <w:spacing w:val="-2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区和Ⅱ区填筑量规定。</w:t>
      </w:r>
    </w:p>
    <w:p>
      <w:pPr>
        <w:pStyle w:val="BodyText"/>
        <w:spacing w:line="303" w:lineRule="auto"/>
      </w:pPr>
    </w:p>
    <w:p>
      <w:pPr>
        <w:spacing w:before="78" w:line="493" w:lineRule="auto"/>
        <w:ind w:right="4" w:firstLine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根据大坝填筑施工时间安排，确定土料场开采规划如下：枯水季节重要开采坝上料</w:t>
      </w:r>
      <w:r>
        <w:rPr>
          <w:rFonts w:ascii="宋体" w:eastAsia="宋体" w:hAnsi="宋体" w:cs="宋体"/>
          <w:spacing w:val="15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场，合适开采丛毛料场；汛期在土料场含水量满足填筑规定时，运用洪中枯开采坝上料</w:t>
      </w:r>
      <w:r>
        <w:rPr>
          <w:rFonts w:ascii="宋体" w:eastAsia="宋体" w:hAnsi="宋体" w:cs="宋体"/>
          <w:spacing w:val="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场和丛毛料场，洪峰来临或洪峰过后料场含水量偏大时，为保证施工生产的正常进行，</w:t>
      </w:r>
      <w:r>
        <w:rPr>
          <w:rFonts w:ascii="宋体" w:eastAsia="宋体" w:hAnsi="宋体" w:cs="宋体"/>
          <w:spacing w:val="1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开采卡巴料场</w:t>
      </w:r>
      <w:r>
        <w:rPr>
          <w:rFonts w:ascii="宋体" w:eastAsia="宋体" w:hAnsi="宋体" w:cs="宋体"/>
          <w:spacing w:val="-19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A</w:t>
      </w:r>
      <w:r>
        <w:rPr>
          <w:rFonts w:ascii="宋体" w:eastAsia="宋体" w:hAnsi="宋体" w:cs="宋体"/>
          <w:spacing w:val="4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区；水库蓄水后，大坝上部防渗土料所有从卡巴料场</w:t>
      </w:r>
      <w:r>
        <w:rPr>
          <w:rFonts w:ascii="宋体" w:eastAsia="宋体" w:hAnsi="宋体" w:cs="宋体"/>
          <w:spacing w:val="-5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A</w:t>
      </w:r>
      <w:r>
        <w:rPr>
          <w:rFonts w:ascii="宋体" w:eastAsia="宋体" w:hAnsi="宋体" w:cs="宋体"/>
          <w:spacing w:val="4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区开采。根据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设计意见，坝上料场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24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区土料渗透系数相比</w:t>
      </w:r>
      <w:r>
        <w:rPr>
          <w:rFonts w:ascii="宋体" w:eastAsia="宋体" w:hAnsi="宋体" w:cs="宋体"/>
          <w:spacing w:val="-3"/>
          <w:sz w:val="24"/>
          <w:szCs w:val="24"/>
        </w:rPr>
        <w:t>其他料场更低，优先考虑用于高塑性土附近</w:t>
      </w:r>
    </w:p>
    <w:p>
      <w:pPr>
        <w:spacing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6"/>
          <w:sz w:val="24"/>
          <w:szCs w:val="24"/>
        </w:rPr>
        <w:t>填筑区的</w:t>
      </w:r>
      <w:r>
        <w:rPr>
          <w:rFonts w:ascii="宋体" w:eastAsia="宋体" w:hAnsi="宋体" w:cs="宋体"/>
          <w:spacing w:val="-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36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6"/>
          <w:sz w:val="24"/>
          <w:szCs w:val="24"/>
        </w:rPr>
        <w:t>区防渗土料填筑。</w:t>
      </w:r>
    </w:p>
    <w:p>
      <w:pPr>
        <w:pStyle w:val="BodyText"/>
        <w:spacing w:line="334" w:lineRule="auto"/>
      </w:pPr>
    </w:p>
    <w:p>
      <w:pPr>
        <w:spacing w:before="78" w:line="492" w:lineRule="auto"/>
        <w:ind w:right="2" w:firstLine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5"/>
          <w:sz w:val="24"/>
          <w:szCs w:val="24"/>
        </w:rPr>
        <w:t>为防止出现料场(坝上料场、卡巴料场</w:t>
      </w:r>
      <w:r>
        <w:rPr>
          <w:rFonts w:ascii="宋体" w:eastAsia="宋体" w:hAnsi="宋体" w:cs="宋体"/>
          <w:spacing w:val="-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39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5"/>
          <w:sz w:val="24"/>
          <w:szCs w:val="24"/>
        </w:rPr>
        <w:t>区、丛毛料场</w:t>
      </w:r>
      <w:r>
        <w:rPr>
          <w:rFonts w:ascii="宋体" w:eastAsia="宋体" w:hAnsi="宋体" w:cs="宋体"/>
          <w:spacing w:val="-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34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5"/>
          <w:sz w:val="24"/>
          <w:szCs w:val="24"/>
        </w:rPr>
        <w:t>区)防渗土料贮量局限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2"/>
          <w:sz w:val="24"/>
          <w:szCs w:val="24"/>
        </w:rPr>
        <w:t>性的状况，应加强丛毛施工道路沿线的土料勘探</w:t>
      </w:r>
      <w:r>
        <w:rPr>
          <w:rFonts w:ascii="宋体" w:eastAsia="宋体" w:hAnsi="宋体" w:cs="宋体"/>
          <w:spacing w:val="1"/>
          <w:sz w:val="24"/>
          <w:szCs w:val="24"/>
        </w:rPr>
        <w:t>，增长可开采面积(由于防渗土料Ⅱ区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对土料的技术指标规定相对较低，根据目前我部对丛毛道路沿线土料的勘探试验，其技</w:t>
      </w:r>
    </w:p>
    <w:p>
      <w:pPr>
        <w:spacing w:before="1"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术指标均能满足Ⅱ区填筑料规定)。</w:t>
      </w:r>
    </w:p>
    <w:p>
      <w:pPr>
        <w:pStyle w:val="BodyText"/>
        <w:spacing w:line="304" w:lineRule="auto"/>
      </w:pPr>
    </w:p>
    <w:p>
      <w:pPr>
        <w:spacing w:before="78" w:line="508" w:lineRule="auto"/>
        <w:ind w:firstLine="49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在施工组织安排上，首先开采坝上料场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31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区、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28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区、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8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区，将土料用于Ⅱ区防渗土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3"/>
          <w:sz w:val="24"/>
          <w:szCs w:val="24"/>
        </w:rPr>
        <w:t>料如下(25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m </w:t>
      </w:r>
      <w:r>
        <w:rPr>
          <w:rFonts w:ascii="宋体" w:eastAsia="宋体" w:hAnsi="宋体" w:cs="宋体"/>
          <w:spacing w:val="3"/>
          <w:sz w:val="24"/>
          <w:szCs w:val="24"/>
        </w:rPr>
        <w:t>高程如下)的</w:t>
      </w:r>
      <w:r>
        <w:rPr>
          <w:rFonts w:ascii="宋体" w:eastAsia="宋体" w:hAnsi="宋体" w:cs="宋体"/>
          <w:spacing w:val="-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36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3"/>
          <w:sz w:val="24"/>
          <w:szCs w:val="24"/>
        </w:rPr>
        <w:t>区防渗土料填筑，然后从坝上料场</w:t>
      </w:r>
      <w:r>
        <w:rPr>
          <w:rFonts w:ascii="宋体" w:eastAsia="宋体" w:hAnsi="宋体" w:cs="宋体"/>
          <w:spacing w:val="-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D </w:t>
      </w:r>
      <w:r>
        <w:rPr>
          <w:rFonts w:ascii="宋体" w:eastAsia="宋体" w:hAnsi="宋体" w:cs="宋体"/>
          <w:spacing w:val="3"/>
          <w:sz w:val="24"/>
          <w:szCs w:val="24"/>
        </w:rPr>
        <w:t>区开始，向上</w:t>
      </w:r>
      <w:r>
        <w:rPr>
          <w:rFonts w:ascii="宋体" w:eastAsia="宋体" w:hAnsi="宋体" w:cs="宋体"/>
          <w:spacing w:val="2"/>
          <w:sz w:val="24"/>
          <w:szCs w:val="24"/>
        </w:rPr>
        <w:t>游沿丛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2"/>
          <w:sz w:val="24"/>
          <w:szCs w:val="24"/>
        </w:rPr>
        <w:t>毛施工道路沿线开挖土料用于防渗土料Ⅱ区填筑(保留坝上料</w:t>
      </w:r>
      <w:r>
        <w:rPr>
          <w:rFonts w:ascii="宋体" w:eastAsia="宋体" w:hAnsi="宋体" w:cs="宋体"/>
          <w:spacing w:val="1"/>
          <w:sz w:val="24"/>
          <w:szCs w:val="24"/>
        </w:rPr>
        <w:t>场</w:t>
      </w:r>
      <w:r>
        <w:rPr>
          <w:rFonts w:ascii="宋体" w:eastAsia="宋体" w:hAnsi="宋体" w:cs="宋体"/>
          <w:spacing w:val="-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>区土料)。根据料场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  <w:sectPr>
          <w:pgSz w:w="11910" w:h="16840"/>
          <w:pgMar w:top="1431" w:right="1147" w:bottom="0" w:left="1700" w:header="0" w:footer="0" w:gutter="0"/>
          <w:pgNumType w:start="4"/>
          <w:cols w:space="708"/>
        </w:sectPr>
      </w:pPr>
    </w:p>
    <w:p>
      <w:pPr>
        <w:spacing w:before="177" w:line="652" w:lineRule="exact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position w:val="32"/>
          <w:sz w:val="24"/>
          <w:szCs w:val="24"/>
        </w:rPr>
        <w:t>土料的分层状况，对土料场进行分层开采，从上至下依次用于</w:t>
      </w:r>
      <w:r>
        <w:rPr>
          <w:rFonts w:ascii="Times New Roman" w:eastAsia="Times New Roman" w:hAnsi="Times New Roman" w:cs="Times New Roman"/>
          <w:spacing w:val="-1"/>
          <w:position w:val="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62"/>
          <w:w w:val="101"/>
          <w:position w:val="3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position w:val="32"/>
          <w:sz w:val="24"/>
          <w:szCs w:val="24"/>
        </w:rPr>
        <w:t>区防渗土料填筑、Ⅱ区</w:t>
      </w:r>
    </w:p>
    <w:p>
      <w:pPr>
        <w:spacing w:line="220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6"/>
          <w:sz w:val="24"/>
          <w:szCs w:val="24"/>
        </w:rPr>
        <w:t>防渗土料填筑、Ⅲ区风化料填筑。</w:t>
      </w:r>
    </w:p>
    <w:p>
      <w:pPr>
        <w:pStyle w:val="BodyText"/>
        <w:spacing w:line="281" w:lineRule="auto"/>
      </w:pPr>
    </w:p>
    <w:p>
      <w:pPr>
        <w:spacing w:before="81" w:line="213" w:lineRule="auto"/>
        <w:ind w:left="127"/>
        <w:outlineLvl w:val="0"/>
        <w:rPr>
          <w:rFonts w:ascii="仿宋" w:eastAsia="仿宋" w:hAnsi="仿宋" w:cs="仿宋"/>
          <w:sz w:val="25"/>
          <w:szCs w:val="25"/>
        </w:rPr>
      </w:pPr>
      <w:r>
        <w:rPr>
          <w:rFonts w:ascii="仿宋" w:eastAsia="仿宋" w:hAnsi="仿宋" w:cs="仿宋"/>
          <w:b/>
          <w:bCs/>
          <w:i/>
          <w:iCs/>
          <w:spacing w:val="-8"/>
          <w:sz w:val="25"/>
          <w:szCs w:val="25"/>
        </w:rPr>
        <w:t>2.2施工道路布置</w:t>
      </w:r>
    </w:p>
    <w:p>
      <w:pPr>
        <w:pStyle w:val="BodyText"/>
        <w:spacing w:line="300" w:lineRule="auto"/>
      </w:pPr>
    </w:p>
    <w:p>
      <w:pPr>
        <w:spacing w:before="78" w:line="639" w:lineRule="exact"/>
        <w:ind w:left="58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position w:val="30"/>
          <w:sz w:val="24"/>
          <w:szCs w:val="24"/>
        </w:rPr>
        <w:t>为保证施工道路满足高强度施工车辆运送需要，在已经有施工道路</w:t>
      </w:r>
      <w:r>
        <w:rPr>
          <w:rFonts w:ascii="宋体" w:eastAsia="宋体" w:hAnsi="宋体" w:cs="宋体"/>
          <w:spacing w:val="-3"/>
          <w:position w:val="30"/>
          <w:sz w:val="24"/>
          <w:szCs w:val="24"/>
        </w:rPr>
        <w:t>的基础上，部分</w:t>
      </w:r>
    </w:p>
    <w:p>
      <w:pPr>
        <w:spacing w:line="218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进行加宽、取直、降坡，此外必须增设部分施工道路，详细施工道路平面布置见附图1。</w:t>
      </w:r>
    </w:p>
    <w:p>
      <w:pPr>
        <w:pStyle w:val="BodyText"/>
        <w:spacing w:line="276" w:lineRule="auto"/>
      </w:pPr>
    </w:p>
    <w:p>
      <w:pPr>
        <w:spacing w:before="79" w:line="500" w:lineRule="auto"/>
        <w:ind w:left="115" w:right="139" w:firstLine="46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1*施工道路：从坝趾修筑至丛毛料场的施工道路，全长约6.5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km </w:t>
      </w:r>
      <w:r>
        <w:rPr>
          <w:rFonts w:ascii="宋体" w:eastAsia="宋体" w:hAnsi="宋体" w:cs="宋体"/>
          <w:spacing w:val="-2"/>
          <w:sz w:val="24"/>
          <w:szCs w:val="24"/>
        </w:rPr>
        <w:t>左右</w:t>
      </w:r>
      <w:r>
        <w:rPr>
          <w:rFonts w:ascii="宋体" w:eastAsia="宋体" w:hAnsi="宋体" w:cs="宋体"/>
          <w:spacing w:val="-3"/>
          <w:sz w:val="24"/>
          <w:szCs w:val="24"/>
        </w:rPr>
        <w:t>，其中坝趾至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>坝上料场</w:t>
      </w:r>
      <w:r>
        <w:rPr>
          <w:rFonts w:ascii="宋体" w:eastAsia="宋体" w:hAnsi="宋体" w:cs="宋体"/>
          <w:spacing w:val="-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A </w:t>
      </w:r>
      <w:r>
        <w:rPr>
          <w:rFonts w:ascii="宋体" w:eastAsia="宋体" w:hAnsi="宋体" w:cs="宋体"/>
          <w:spacing w:val="1"/>
          <w:sz w:val="24"/>
          <w:szCs w:val="24"/>
        </w:rPr>
        <w:t>区3.5</w:t>
      </w:r>
      <w:r>
        <w:rPr>
          <w:rFonts w:ascii="Times New Roman" w:eastAsia="Times New Roman" w:hAnsi="Times New Roman" w:cs="Times New Roman"/>
          <w:sz w:val="24"/>
          <w:szCs w:val="24"/>
        </w:rPr>
        <w:t>Km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>路面宽9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m,  </w:t>
      </w:r>
      <w:r>
        <w:rPr>
          <w:rFonts w:ascii="宋体" w:eastAsia="宋体" w:hAnsi="宋体" w:cs="宋体"/>
          <w:spacing w:val="1"/>
          <w:sz w:val="24"/>
          <w:szCs w:val="24"/>
        </w:rPr>
        <w:t>在施工过程中对部分路段进行加宽，以满足高</w:t>
      </w:r>
      <w:r>
        <w:rPr>
          <w:rFonts w:ascii="宋体" w:eastAsia="宋体" w:hAnsi="宋体" w:cs="宋体"/>
          <w:sz w:val="24"/>
          <w:szCs w:val="24"/>
        </w:rPr>
        <w:t>强度运 送为原则，坝上料场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9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>区至丛毛料场3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Km </w:t>
      </w:r>
      <w:r>
        <w:rPr>
          <w:rFonts w:ascii="宋体" w:eastAsia="宋体" w:hAnsi="宋体" w:cs="宋体"/>
          <w:sz w:val="24"/>
          <w:szCs w:val="24"/>
        </w:rPr>
        <w:t>路面宽7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。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1*</w:t>
      </w:r>
      <w:r>
        <w:rPr>
          <w:rFonts w:ascii="宋体" w:eastAsia="宋体" w:hAnsi="宋体" w:cs="宋体"/>
          <w:spacing w:val="-1"/>
          <w:sz w:val="24"/>
          <w:szCs w:val="24"/>
        </w:rPr>
        <w:t>施工道路为泥结碎石路面，作</w:t>
      </w:r>
    </w:p>
    <w:p>
      <w:pPr>
        <w:spacing w:line="219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为汛前和洪中枯时段丛毛和坝上料场取料填筑坝体的运送道路。</w:t>
      </w:r>
    </w:p>
    <w:p>
      <w:pPr>
        <w:pStyle w:val="BodyText"/>
        <w:spacing w:line="269" w:lineRule="auto"/>
      </w:pPr>
    </w:p>
    <w:p>
      <w:pPr>
        <w:spacing w:before="79" w:line="665" w:lineRule="exact"/>
        <w:ind w:left="58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position w:val="33"/>
          <w:sz w:val="24"/>
          <w:szCs w:val="24"/>
        </w:rPr>
        <w:t>2*施工道路：从坝上料场路填筑至左岸岸坡51</w:t>
      </w:r>
      <w:r>
        <w:rPr>
          <w:rFonts w:ascii="Times New Roman" w:eastAsia="Times New Roman" w:hAnsi="Times New Roman" w:cs="Times New Roman"/>
          <w:spacing w:val="3"/>
          <w:position w:val="33"/>
          <w:sz w:val="24"/>
          <w:szCs w:val="24"/>
        </w:rPr>
        <w:t xml:space="preserve">m </w:t>
      </w:r>
      <w:r>
        <w:rPr>
          <w:rFonts w:ascii="宋体" w:eastAsia="宋体" w:hAnsi="宋体" w:cs="宋体"/>
          <w:spacing w:val="3"/>
          <w:position w:val="33"/>
          <w:sz w:val="24"/>
          <w:szCs w:val="24"/>
        </w:rPr>
        <w:t>高程的施工道</w:t>
      </w:r>
      <w:r>
        <w:rPr>
          <w:rFonts w:ascii="宋体" w:eastAsia="宋体" w:hAnsi="宋体" w:cs="宋体"/>
          <w:spacing w:val="2"/>
          <w:position w:val="33"/>
          <w:sz w:val="24"/>
          <w:szCs w:val="24"/>
        </w:rPr>
        <w:t>路，全长300</w:t>
      </w:r>
      <w:r>
        <w:rPr>
          <w:rFonts w:ascii="Times New Roman" w:eastAsia="Times New Roman" w:hAnsi="Times New Roman" w:cs="Times New Roman"/>
          <w:spacing w:val="2"/>
          <w:position w:val="33"/>
          <w:sz w:val="24"/>
          <w:szCs w:val="24"/>
        </w:rPr>
        <w:t>m,</w:t>
      </w:r>
      <w:r>
        <w:rPr>
          <w:rFonts w:ascii="Times New Roman" w:eastAsia="Times New Roman" w:hAnsi="Times New Roman" w:cs="Times New Roman"/>
          <w:spacing w:val="22"/>
          <w:w w:val="101"/>
          <w:position w:val="33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2"/>
          <w:position w:val="33"/>
          <w:sz w:val="24"/>
          <w:szCs w:val="24"/>
        </w:rPr>
        <w:t>为</w:t>
      </w:r>
    </w:p>
    <w:p>
      <w:pPr>
        <w:spacing w:before="1" w:line="219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泥结碎石路面，宽9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宋体" w:eastAsia="宋体" w:hAnsi="宋体" w:cs="宋体"/>
          <w:sz w:val="24"/>
          <w:szCs w:val="24"/>
        </w:rPr>
        <w:t>。作为坝体填筑运送道路。</w:t>
      </w:r>
    </w:p>
    <w:p>
      <w:pPr>
        <w:pStyle w:val="BodyText"/>
        <w:spacing w:line="285" w:lineRule="auto"/>
      </w:pPr>
    </w:p>
    <w:p>
      <w:pPr>
        <w:spacing w:before="78" w:line="634" w:lineRule="exact"/>
        <w:ind w:left="58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position w:val="30"/>
          <w:sz w:val="24"/>
          <w:szCs w:val="24"/>
        </w:rPr>
        <w:t>3#施工道路：从下游进厂公路 (K0+850)</w:t>
      </w:r>
      <w:r>
        <w:rPr>
          <w:rFonts w:ascii="宋体" w:eastAsia="宋体" w:hAnsi="宋体" w:cs="宋体"/>
          <w:spacing w:val="102"/>
          <w:position w:val="30"/>
          <w:sz w:val="24"/>
          <w:szCs w:val="24"/>
        </w:rPr>
        <w:t xml:space="preserve"> </w:t>
      </w:r>
      <w:r>
        <w:rPr>
          <w:rFonts w:ascii="宋体" w:eastAsia="宋体" w:hAnsi="宋体" w:cs="宋体"/>
          <w:position w:val="30"/>
          <w:sz w:val="24"/>
          <w:szCs w:val="24"/>
        </w:rPr>
        <w:t>填筑至下游左岸岸坡51</w:t>
      </w:r>
      <w:r>
        <w:rPr>
          <w:rFonts w:ascii="Times New Roman" w:eastAsia="Times New Roman" w:hAnsi="Times New Roman" w:cs="Times New Roman"/>
          <w:position w:val="30"/>
          <w:sz w:val="24"/>
          <w:szCs w:val="24"/>
        </w:rPr>
        <w:t xml:space="preserve">m  </w:t>
      </w:r>
      <w:r>
        <w:rPr>
          <w:rFonts w:ascii="宋体" w:eastAsia="宋体" w:hAnsi="宋体" w:cs="宋体"/>
          <w:position w:val="30"/>
          <w:sz w:val="24"/>
          <w:szCs w:val="24"/>
        </w:rPr>
        <w:t>高程的</w:t>
      </w:r>
      <w:r>
        <w:rPr>
          <w:rFonts w:ascii="宋体" w:eastAsia="宋体" w:hAnsi="宋体" w:cs="宋体"/>
          <w:spacing w:val="-1"/>
          <w:position w:val="30"/>
          <w:sz w:val="24"/>
          <w:szCs w:val="24"/>
        </w:rPr>
        <w:t>施工道</w:t>
      </w:r>
    </w:p>
    <w:p>
      <w:pPr>
        <w:spacing w:line="212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sz w:val="24"/>
          <w:szCs w:val="24"/>
        </w:rPr>
        <w:t>路，全长300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m,  </w:t>
      </w:r>
      <w:r>
        <w:rPr>
          <w:rFonts w:ascii="宋体" w:eastAsia="宋体" w:hAnsi="宋体" w:cs="宋体"/>
          <w:spacing w:val="3"/>
          <w:sz w:val="24"/>
          <w:szCs w:val="24"/>
        </w:rPr>
        <w:t>为泥结碎石路面，宽9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m</w:t>
      </w:r>
      <w:r>
        <w:rPr>
          <w:rFonts w:ascii="宋体" w:eastAsia="宋体" w:hAnsi="宋体" w:cs="宋体"/>
          <w:spacing w:val="3"/>
          <w:sz w:val="24"/>
          <w:szCs w:val="24"/>
        </w:rPr>
        <w:t>。作为汛后坝体填筑</w:t>
      </w:r>
      <w:r>
        <w:rPr>
          <w:rFonts w:ascii="宋体" w:eastAsia="宋体" w:hAnsi="宋体" w:cs="宋体"/>
          <w:spacing w:val="2"/>
          <w:sz w:val="24"/>
          <w:szCs w:val="24"/>
        </w:rPr>
        <w:t>运送道路。</w:t>
      </w:r>
    </w:p>
    <w:p>
      <w:pPr>
        <w:pStyle w:val="BodyText"/>
        <w:spacing w:line="319" w:lineRule="auto"/>
      </w:pPr>
    </w:p>
    <w:p>
      <w:pPr>
        <w:spacing w:before="79" w:line="635" w:lineRule="exact"/>
        <w:ind w:left="58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position w:val="30"/>
          <w:sz w:val="24"/>
          <w:szCs w:val="24"/>
        </w:rPr>
        <w:t>4*施工道路：从左岸卡巴道路72</w:t>
      </w:r>
      <w:r>
        <w:rPr>
          <w:rFonts w:ascii="Times New Roman" w:eastAsia="Times New Roman" w:hAnsi="Times New Roman" w:cs="Times New Roman"/>
          <w:spacing w:val="3"/>
          <w:position w:val="30"/>
          <w:sz w:val="24"/>
          <w:szCs w:val="24"/>
        </w:rPr>
        <w:t xml:space="preserve">m </w:t>
      </w:r>
      <w:r>
        <w:rPr>
          <w:rFonts w:ascii="宋体" w:eastAsia="宋体" w:hAnsi="宋体" w:cs="宋体"/>
          <w:spacing w:val="3"/>
          <w:position w:val="30"/>
          <w:sz w:val="24"/>
          <w:szCs w:val="24"/>
        </w:rPr>
        <w:t>高程修筑至左岸岸坡51</w:t>
      </w:r>
      <w:r>
        <w:rPr>
          <w:rFonts w:ascii="Times New Roman" w:eastAsia="Times New Roman" w:hAnsi="Times New Roman" w:cs="Times New Roman"/>
          <w:spacing w:val="3"/>
          <w:position w:val="3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45"/>
          <w:position w:val="3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3"/>
          <w:position w:val="30"/>
          <w:sz w:val="24"/>
          <w:szCs w:val="24"/>
        </w:rPr>
        <w:t>高程的施工道路，全</w:t>
      </w:r>
    </w:p>
    <w:p>
      <w:pPr>
        <w:spacing w:line="212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长600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m,</w:t>
      </w:r>
      <w:r>
        <w:rPr>
          <w:rFonts w:ascii="Times New Roman" w:eastAsia="Times New Roman" w:hAnsi="Times New Roman" w:cs="Times New Roman"/>
          <w:spacing w:val="28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-3"/>
          <w:sz w:val="24"/>
          <w:szCs w:val="24"/>
        </w:rPr>
        <w:t>宽 8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m,</w:t>
      </w:r>
      <w:r>
        <w:rPr>
          <w:rFonts w:ascii="Times New Roman" w:eastAsia="Times New Roman" w:hAnsi="Times New Roman" w:cs="Times New Roman"/>
          <w:spacing w:val="27"/>
          <w:w w:val="101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-3"/>
          <w:sz w:val="24"/>
          <w:szCs w:val="24"/>
        </w:rPr>
        <w:t>作为坝体上部填筑的运送</w:t>
      </w:r>
      <w:r>
        <w:rPr>
          <w:rFonts w:ascii="宋体" w:eastAsia="宋体" w:hAnsi="宋体" w:cs="宋体"/>
          <w:spacing w:val="-4"/>
          <w:sz w:val="24"/>
          <w:szCs w:val="24"/>
        </w:rPr>
        <w:t>道路。</w:t>
      </w:r>
    </w:p>
    <w:p>
      <w:pPr>
        <w:pStyle w:val="BodyText"/>
        <w:spacing w:line="294" w:lineRule="auto"/>
      </w:pPr>
    </w:p>
    <w:p>
      <w:pPr>
        <w:spacing w:before="78" w:line="652" w:lineRule="exact"/>
        <w:ind w:left="58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2"/>
          <w:position w:val="32"/>
          <w:sz w:val="24"/>
          <w:szCs w:val="24"/>
        </w:rPr>
        <w:t>5*施工道路：从卡巴土料场</w:t>
      </w:r>
      <w:r>
        <w:rPr>
          <w:rFonts w:ascii="宋体" w:eastAsia="宋体" w:hAnsi="宋体" w:cs="宋体"/>
          <w:spacing w:val="-42"/>
          <w:position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32"/>
          <w:sz w:val="24"/>
          <w:szCs w:val="24"/>
        </w:rPr>
        <w:t xml:space="preserve">A </w:t>
      </w:r>
      <w:r>
        <w:rPr>
          <w:rFonts w:ascii="宋体" w:eastAsia="宋体" w:hAnsi="宋体" w:cs="宋体"/>
          <w:spacing w:val="2"/>
          <w:position w:val="32"/>
          <w:sz w:val="24"/>
          <w:szCs w:val="24"/>
        </w:rPr>
        <w:t>区修筑至卡巴路72</w:t>
      </w:r>
      <w:r>
        <w:rPr>
          <w:rFonts w:ascii="Times New Roman" w:eastAsia="Times New Roman" w:hAnsi="Times New Roman" w:cs="Times New Roman"/>
          <w:spacing w:val="2"/>
          <w:position w:val="32"/>
          <w:sz w:val="24"/>
          <w:szCs w:val="24"/>
        </w:rPr>
        <w:t xml:space="preserve">m </w:t>
      </w:r>
      <w:r>
        <w:rPr>
          <w:rFonts w:ascii="宋体" w:eastAsia="宋体" w:hAnsi="宋体" w:cs="宋体"/>
          <w:spacing w:val="2"/>
          <w:position w:val="32"/>
          <w:sz w:val="24"/>
          <w:szCs w:val="24"/>
        </w:rPr>
        <w:t>高程的施工道路，全长800</w:t>
      </w:r>
      <w:r>
        <w:rPr>
          <w:rFonts w:ascii="Times New Roman" w:eastAsia="Times New Roman" w:hAnsi="Times New Roman" w:cs="Times New Roman"/>
          <w:spacing w:val="2"/>
          <w:position w:val="32"/>
          <w:sz w:val="24"/>
          <w:szCs w:val="24"/>
        </w:rPr>
        <w:t>m,</w:t>
      </w:r>
    </w:p>
    <w:p>
      <w:pPr>
        <w:spacing w:before="1" w:line="216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宽9m,</w:t>
      </w:r>
      <w:r>
        <w:rPr>
          <w:rFonts w:ascii="宋体" w:eastAsia="宋体" w:hAnsi="宋体" w:cs="宋体"/>
          <w:spacing w:val="54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作为汛后坝体填筑运送道路。</w:t>
      </w:r>
    </w:p>
    <w:p>
      <w:pPr>
        <w:pStyle w:val="BodyText"/>
        <w:spacing w:line="301" w:lineRule="auto"/>
      </w:pPr>
    </w:p>
    <w:p>
      <w:pPr>
        <w:spacing w:before="78" w:line="641" w:lineRule="exact"/>
        <w:ind w:left="58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position w:val="31"/>
          <w:sz w:val="24"/>
          <w:szCs w:val="24"/>
        </w:rPr>
        <w:t>现场进行开挖和填筑施工时，从以上布置的施工道路上，修筑分支道</w:t>
      </w:r>
      <w:r>
        <w:rPr>
          <w:rFonts w:ascii="宋体" w:eastAsia="宋体" w:hAnsi="宋体" w:cs="宋体"/>
          <w:spacing w:val="-3"/>
          <w:position w:val="31"/>
          <w:sz w:val="24"/>
          <w:szCs w:val="24"/>
        </w:rPr>
        <w:t>路至开挖和填</w:t>
      </w:r>
    </w:p>
    <w:p>
      <w:pPr>
        <w:spacing w:before="1" w:line="219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筑部位。施工道路特性见表2-2。</w:t>
      </w:r>
    </w:p>
    <w:p>
      <w:pPr>
        <w:pStyle w:val="BodyText"/>
        <w:spacing w:line="286" w:lineRule="auto"/>
      </w:pPr>
    </w:p>
    <w:p>
      <w:pPr>
        <w:spacing w:before="78" w:line="226" w:lineRule="auto"/>
        <w:ind w:left="35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2"/>
          <w:sz w:val="24"/>
          <w:szCs w:val="24"/>
        </w:rPr>
        <w:t>表2-2</w:t>
      </w:r>
      <w:r>
        <w:rPr>
          <w:rFonts w:ascii="宋体" w:eastAsia="宋体" w:hAnsi="宋体" w:cs="宋体"/>
          <w:spacing w:val="1"/>
          <w:sz w:val="24"/>
          <w:szCs w:val="24"/>
        </w:rPr>
        <w:t xml:space="preserve">                  </w:t>
      </w:r>
      <w:r>
        <w:rPr>
          <w:rFonts w:ascii="宋体" w:eastAsia="宋体" w:hAnsi="宋体" w:cs="宋体"/>
          <w:spacing w:val="2"/>
          <w:sz w:val="24"/>
          <w:szCs w:val="24"/>
        </w:rPr>
        <w:t>临时施工道路特性表</w:t>
      </w:r>
    </w:p>
    <w:p>
      <w:pPr>
        <w:spacing w:line="170" w:lineRule="exact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54"/>
        <w:gridCol w:w="1288"/>
        <w:gridCol w:w="1289"/>
        <w:gridCol w:w="1269"/>
        <w:gridCol w:w="1099"/>
        <w:gridCol w:w="1698"/>
        <w:gridCol w:w="19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0"/>
        </w:trPr>
        <w:tc>
          <w:tcPr>
            <w:tcW w:w="654" w:type="dxa"/>
          </w:tcPr>
          <w:p>
            <w:pPr>
              <w:pStyle w:val="TableText"/>
              <w:spacing w:before="55" w:line="221" w:lineRule="auto"/>
              <w:ind w:left="95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序号</w:t>
            </w:r>
          </w:p>
        </w:tc>
        <w:tc>
          <w:tcPr>
            <w:tcW w:w="1288" w:type="dxa"/>
          </w:tcPr>
          <w:p>
            <w:pPr>
              <w:pStyle w:val="TableText"/>
              <w:spacing w:before="36" w:line="221" w:lineRule="auto"/>
              <w:ind w:left="330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名</w:t>
            </w:r>
            <w:r>
              <w:rPr>
                <w:spacing w:val="80"/>
                <w:sz w:val="22"/>
                <w:szCs w:val="22"/>
              </w:rPr>
              <w:t xml:space="preserve"> </w:t>
            </w:r>
            <w:r>
              <w:rPr>
                <w:spacing w:val="-6"/>
                <w:sz w:val="22"/>
                <w:szCs w:val="22"/>
              </w:rPr>
              <w:t>称</w:t>
            </w:r>
          </w:p>
        </w:tc>
        <w:tc>
          <w:tcPr>
            <w:tcW w:w="1289" w:type="dxa"/>
          </w:tcPr>
          <w:p>
            <w:pPr>
              <w:pStyle w:val="TableText"/>
              <w:spacing w:before="54" w:line="219" w:lineRule="auto"/>
              <w:ind w:left="253"/>
              <w:rPr>
                <w:sz w:val="22"/>
                <w:szCs w:val="22"/>
              </w:rPr>
            </w:pPr>
            <w:r>
              <w:rPr>
                <w:spacing w:val="9"/>
                <w:sz w:val="22"/>
                <w:szCs w:val="22"/>
              </w:rPr>
              <w:t>路长(m)</w:t>
            </w:r>
          </w:p>
        </w:tc>
        <w:tc>
          <w:tcPr>
            <w:tcW w:w="1269" w:type="dxa"/>
          </w:tcPr>
          <w:p>
            <w:pPr>
              <w:pStyle w:val="TableText"/>
              <w:spacing w:before="44" w:line="219" w:lineRule="auto"/>
              <w:ind w:left="124"/>
              <w:rPr>
                <w:sz w:val="22"/>
                <w:szCs w:val="22"/>
              </w:rPr>
            </w:pPr>
            <w:r>
              <w:rPr>
                <w:spacing w:val="9"/>
                <w:sz w:val="22"/>
                <w:szCs w:val="22"/>
              </w:rPr>
              <w:t>路宽(m)</w:t>
            </w:r>
          </w:p>
        </w:tc>
        <w:tc>
          <w:tcPr>
            <w:tcW w:w="1099" w:type="dxa"/>
          </w:tcPr>
          <w:p>
            <w:pPr>
              <w:pStyle w:val="TableText"/>
              <w:spacing w:before="34" w:line="220" w:lineRule="auto"/>
              <w:ind w:left="10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构造型式</w:t>
            </w:r>
          </w:p>
        </w:tc>
        <w:tc>
          <w:tcPr>
            <w:tcW w:w="1698" w:type="dxa"/>
          </w:tcPr>
          <w:p>
            <w:pPr>
              <w:pStyle w:val="TableText"/>
              <w:spacing w:before="54" w:line="219" w:lineRule="auto"/>
              <w:ind w:left="156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起讫高程(m)</w:t>
            </w:r>
          </w:p>
        </w:tc>
        <w:tc>
          <w:tcPr>
            <w:tcW w:w="1983" w:type="dxa"/>
          </w:tcPr>
          <w:p>
            <w:pPr>
              <w:pStyle w:val="TableText"/>
              <w:spacing w:before="55" w:line="221" w:lineRule="auto"/>
              <w:ind w:left="598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用</w:t>
            </w:r>
            <w:r>
              <w:rPr>
                <w:spacing w:val="9"/>
                <w:sz w:val="22"/>
                <w:szCs w:val="22"/>
              </w:rPr>
              <w:t xml:space="preserve">   </w:t>
            </w:r>
            <w:r>
              <w:rPr>
                <w:spacing w:val="-6"/>
                <w:sz w:val="22"/>
                <w:szCs w:val="22"/>
              </w:rPr>
              <w:t>途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0"/>
        </w:trPr>
        <w:tc>
          <w:tcPr>
            <w:tcW w:w="654" w:type="dxa"/>
          </w:tcPr>
          <w:p/>
        </w:tc>
        <w:tc>
          <w:tcPr>
            <w:tcW w:w="1288" w:type="dxa"/>
          </w:tcPr>
          <w:p>
            <w:pPr>
              <w:pStyle w:val="TableText"/>
              <w:spacing w:before="84" w:line="219" w:lineRule="auto"/>
              <w:ind w:left="8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1*施工道路</w:t>
            </w:r>
          </w:p>
        </w:tc>
        <w:tc>
          <w:tcPr>
            <w:tcW w:w="1289" w:type="dxa"/>
          </w:tcPr>
          <w:p>
            <w:pPr>
              <w:pStyle w:val="TableText"/>
              <w:spacing w:before="150" w:line="183" w:lineRule="auto"/>
              <w:ind w:left="41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6500</w:t>
            </w:r>
          </w:p>
        </w:tc>
        <w:tc>
          <w:tcPr>
            <w:tcW w:w="1269" w:type="dxa"/>
          </w:tcPr>
          <w:p>
            <w:pPr>
              <w:pStyle w:val="TableText"/>
              <w:spacing w:before="137" w:line="222" w:lineRule="auto"/>
              <w:ind w:left="243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7m以上</w:t>
            </w:r>
          </w:p>
        </w:tc>
        <w:tc>
          <w:tcPr>
            <w:tcW w:w="1099" w:type="dxa"/>
          </w:tcPr>
          <w:p>
            <w:pPr>
              <w:pStyle w:val="TableText"/>
              <w:spacing w:before="85" w:line="221" w:lineRule="auto"/>
              <w:ind w:left="215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泥结石</w:t>
            </w:r>
          </w:p>
        </w:tc>
        <w:tc>
          <w:tcPr>
            <w:tcW w:w="1698" w:type="dxa"/>
          </w:tcPr>
          <w:p>
            <w:pPr>
              <w:pStyle w:val="TableText"/>
              <w:spacing w:before="202" w:line="183" w:lineRule="auto"/>
              <w:ind w:left="545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25～25</w:t>
            </w:r>
          </w:p>
        </w:tc>
        <w:tc>
          <w:tcPr>
            <w:tcW w:w="1983" w:type="dxa"/>
          </w:tcPr>
          <w:p>
            <w:pPr>
              <w:pStyle w:val="TableText"/>
              <w:spacing w:before="64" w:line="219" w:lineRule="auto"/>
              <w:ind w:left="10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坝体下部填筑运送</w:t>
            </w:r>
          </w:p>
        </w:tc>
      </w:tr>
    </w:tbl>
    <w:p>
      <w:pPr>
        <w:pStyle w:val="BodyText"/>
      </w:pPr>
    </w:p>
    <w:p>
      <w:pPr>
        <w:sectPr>
          <w:pgSz w:w="11910" w:h="16840"/>
          <w:pgMar w:top="1431" w:right="1034" w:bottom="0" w:left="1584" w:header="0" w:footer="0" w:gutter="0"/>
          <w:pgNumType w:start="5"/>
          <w:cols w:space="708"/>
        </w:sectPr>
      </w:pPr>
    </w:p>
    <w:tbl>
      <w:tblPr>
        <w:tblStyle w:val="TableNormal2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74"/>
        <w:gridCol w:w="1288"/>
        <w:gridCol w:w="1269"/>
        <w:gridCol w:w="1279"/>
        <w:gridCol w:w="1099"/>
        <w:gridCol w:w="1698"/>
        <w:gridCol w:w="1983"/>
      </w:tblGrid>
      <w:tr>
        <w:tblPrEx>
          <w:tblInd w:w="1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3"/>
        </w:trPr>
        <w:tc>
          <w:tcPr>
            <w:tcW w:w="674" w:type="dxa"/>
          </w:tcPr>
          <w:p>
            <w:pPr>
              <w:pStyle w:val="TableText"/>
              <w:spacing w:before="34" w:line="221" w:lineRule="auto"/>
              <w:ind w:left="115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</w:rPr>
              <w:t>序号</w:t>
            </w:r>
          </w:p>
        </w:tc>
        <w:tc>
          <w:tcPr>
            <w:tcW w:w="1288" w:type="dxa"/>
          </w:tcPr>
          <w:p>
            <w:pPr>
              <w:pStyle w:val="TableText"/>
              <w:spacing w:before="56" w:line="221" w:lineRule="auto"/>
              <w:ind w:left="320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名</w:t>
            </w:r>
            <w:r>
              <w:rPr>
                <w:spacing w:val="14"/>
                <w:sz w:val="21"/>
                <w:szCs w:val="21"/>
              </w:rPr>
              <w:t xml:space="preserve">  </w:t>
            </w:r>
            <w:r>
              <w:rPr>
                <w:spacing w:val="-6"/>
                <w:sz w:val="21"/>
                <w:szCs w:val="21"/>
              </w:rPr>
              <w:t>称</w:t>
            </w:r>
          </w:p>
        </w:tc>
        <w:tc>
          <w:tcPr>
            <w:tcW w:w="1269" w:type="dxa"/>
          </w:tcPr>
          <w:p>
            <w:pPr>
              <w:pStyle w:val="TableText"/>
              <w:spacing w:before="43" w:line="219" w:lineRule="auto"/>
              <w:ind w:left="253"/>
              <w:rPr>
                <w:sz w:val="21"/>
                <w:szCs w:val="21"/>
              </w:rPr>
            </w:pPr>
            <w:r>
              <w:rPr>
                <w:spacing w:val="10"/>
                <w:sz w:val="21"/>
                <w:szCs w:val="21"/>
              </w:rPr>
              <w:t>路长(m)</w:t>
            </w:r>
          </w:p>
        </w:tc>
        <w:tc>
          <w:tcPr>
            <w:tcW w:w="1279" w:type="dxa"/>
          </w:tcPr>
          <w:p>
            <w:pPr>
              <w:pStyle w:val="TableText"/>
              <w:spacing w:before="33" w:line="219" w:lineRule="auto"/>
              <w:ind w:left="114"/>
              <w:rPr>
                <w:sz w:val="21"/>
                <w:szCs w:val="21"/>
              </w:rPr>
            </w:pPr>
            <w:r>
              <w:rPr>
                <w:spacing w:val="8"/>
                <w:sz w:val="21"/>
                <w:szCs w:val="21"/>
              </w:rPr>
              <w:t>路宽(m)</w:t>
            </w:r>
          </w:p>
        </w:tc>
        <w:tc>
          <w:tcPr>
            <w:tcW w:w="1099" w:type="dxa"/>
          </w:tcPr>
          <w:p>
            <w:pPr>
              <w:pStyle w:val="TableText"/>
              <w:spacing w:before="54" w:line="220" w:lineRule="auto"/>
              <w:ind w:left="125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构造型式</w:t>
            </w:r>
          </w:p>
        </w:tc>
        <w:tc>
          <w:tcPr>
            <w:tcW w:w="1698" w:type="dxa"/>
          </w:tcPr>
          <w:p>
            <w:pPr>
              <w:pStyle w:val="TableText"/>
              <w:spacing w:before="53" w:line="219" w:lineRule="auto"/>
              <w:ind w:left="156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起讫高程(m)</w:t>
            </w:r>
          </w:p>
        </w:tc>
        <w:tc>
          <w:tcPr>
            <w:tcW w:w="1983" w:type="dxa"/>
          </w:tcPr>
          <w:p>
            <w:pPr>
              <w:pStyle w:val="TableText"/>
              <w:spacing w:before="44" w:line="221" w:lineRule="auto"/>
              <w:ind w:left="618"/>
              <w:rPr>
                <w:sz w:val="21"/>
                <w:szCs w:val="21"/>
              </w:rPr>
            </w:pPr>
            <w:r>
              <w:rPr>
                <w:spacing w:val="-5"/>
                <w:sz w:val="21"/>
                <w:szCs w:val="21"/>
              </w:rPr>
              <w:t>用</w:t>
            </w:r>
            <w:r>
              <w:rPr>
                <w:spacing w:val="2"/>
                <w:sz w:val="21"/>
                <w:szCs w:val="21"/>
              </w:rPr>
              <w:t xml:space="preserve">   </w:t>
            </w:r>
            <w:r>
              <w:rPr>
                <w:spacing w:val="-5"/>
                <w:sz w:val="21"/>
                <w:szCs w:val="21"/>
              </w:rPr>
              <w:t>途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8"/>
        </w:trPr>
        <w:tc>
          <w:tcPr>
            <w:tcW w:w="674" w:type="dxa"/>
          </w:tcPr>
          <w:p>
            <w:pPr>
              <w:pStyle w:val="TableText"/>
              <w:spacing w:before="154" w:line="183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288" w:type="dxa"/>
          </w:tcPr>
          <w:p>
            <w:pPr>
              <w:pStyle w:val="TableText"/>
              <w:spacing w:before="40" w:line="219" w:lineRule="auto"/>
              <w:ind w:left="110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2*施工道路</w:t>
            </w:r>
          </w:p>
        </w:tc>
        <w:tc>
          <w:tcPr>
            <w:tcW w:w="1269" w:type="dxa"/>
          </w:tcPr>
          <w:p>
            <w:pPr>
              <w:pStyle w:val="TableText"/>
              <w:spacing w:before="154" w:line="183" w:lineRule="auto"/>
              <w:ind w:left="462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300</w:t>
            </w:r>
          </w:p>
        </w:tc>
        <w:tc>
          <w:tcPr>
            <w:tcW w:w="1279" w:type="dxa"/>
          </w:tcPr>
          <w:p>
            <w:pPr>
              <w:pStyle w:val="TableText"/>
              <w:spacing w:before="154" w:line="183" w:lineRule="auto"/>
              <w:ind w:left="57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</w:p>
        </w:tc>
        <w:tc>
          <w:tcPr>
            <w:tcW w:w="1099" w:type="dxa"/>
          </w:tcPr>
          <w:p>
            <w:pPr>
              <w:pStyle w:val="TableText"/>
              <w:spacing w:before="50" w:line="219" w:lineRule="auto"/>
              <w:ind w:left="334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碎石</w:t>
            </w:r>
          </w:p>
        </w:tc>
        <w:tc>
          <w:tcPr>
            <w:tcW w:w="1698" w:type="dxa"/>
          </w:tcPr>
          <w:p>
            <w:pPr>
              <w:pStyle w:val="TableText"/>
              <w:spacing w:before="153" w:line="184" w:lineRule="auto"/>
              <w:ind w:left="52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25～51</w:t>
            </w:r>
          </w:p>
        </w:tc>
        <w:tc>
          <w:tcPr>
            <w:tcW w:w="1983" w:type="dxa"/>
          </w:tcPr>
          <w:p>
            <w:pPr>
              <w:pStyle w:val="TableText"/>
              <w:spacing w:before="100" w:line="219" w:lineRule="auto"/>
              <w:ind w:left="14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坝体下部填筑运送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7"/>
        </w:trPr>
        <w:tc>
          <w:tcPr>
            <w:tcW w:w="674" w:type="dxa"/>
          </w:tcPr>
          <w:p>
            <w:pPr>
              <w:pStyle w:val="TableText"/>
              <w:spacing w:before="166" w:line="183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288" w:type="dxa"/>
          </w:tcPr>
          <w:p>
            <w:pPr>
              <w:pStyle w:val="TableText"/>
              <w:spacing w:before="62" w:line="219" w:lineRule="auto"/>
              <w:ind w:left="110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3*施工道路</w:t>
            </w:r>
          </w:p>
        </w:tc>
        <w:tc>
          <w:tcPr>
            <w:tcW w:w="1269" w:type="dxa"/>
          </w:tcPr>
          <w:p>
            <w:pPr>
              <w:pStyle w:val="TableText"/>
              <w:spacing w:before="166" w:line="183" w:lineRule="auto"/>
              <w:ind w:left="462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300</w:t>
            </w:r>
          </w:p>
        </w:tc>
        <w:tc>
          <w:tcPr>
            <w:tcW w:w="1279" w:type="dxa"/>
          </w:tcPr>
          <w:p>
            <w:pPr>
              <w:pStyle w:val="TableText"/>
              <w:spacing w:before="166" w:line="183" w:lineRule="auto"/>
              <w:ind w:left="57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</w:p>
        </w:tc>
        <w:tc>
          <w:tcPr>
            <w:tcW w:w="1099" w:type="dxa"/>
          </w:tcPr>
          <w:p>
            <w:pPr>
              <w:pStyle w:val="TableText"/>
              <w:spacing w:before="63" w:line="221" w:lineRule="auto"/>
              <w:ind w:left="225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泥结石</w:t>
            </w:r>
          </w:p>
        </w:tc>
        <w:tc>
          <w:tcPr>
            <w:tcW w:w="1698" w:type="dxa"/>
          </w:tcPr>
          <w:p>
            <w:pPr>
              <w:pStyle w:val="TableText"/>
              <w:spacing w:before="125" w:line="184" w:lineRule="auto"/>
              <w:ind w:left="52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25～51</w:t>
            </w:r>
          </w:p>
        </w:tc>
        <w:tc>
          <w:tcPr>
            <w:tcW w:w="1983" w:type="dxa"/>
          </w:tcPr>
          <w:p>
            <w:pPr>
              <w:pStyle w:val="TableText"/>
              <w:spacing w:before="72" w:line="219" w:lineRule="auto"/>
              <w:ind w:left="14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坝体下部填筑运送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8"/>
        </w:trPr>
        <w:tc>
          <w:tcPr>
            <w:tcW w:w="674" w:type="dxa"/>
          </w:tcPr>
          <w:p>
            <w:pPr>
              <w:pStyle w:val="TableText"/>
              <w:spacing w:before="119" w:line="183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288" w:type="dxa"/>
          </w:tcPr>
          <w:p>
            <w:pPr>
              <w:pStyle w:val="TableText"/>
              <w:spacing w:before="25" w:line="219" w:lineRule="auto"/>
              <w:ind w:left="11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4*施工道路</w:t>
            </w:r>
          </w:p>
        </w:tc>
        <w:tc>
          <w:tcPr>
            <w:tcW w:w="1269" w:type="dxa"/>
          </w:tcPr>
          <w:p>
            <w:pPr>
              <w:pStyle w:val="TableText"/>
              <w:spacing w:before="119" w:line="183" w:lineRule="auto"/>
              <w:ind w:left="462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600</w:t>
            </w:r>
          </w:p>
        </w:tc>
        <w:tc>
          <w:tcPr>
            <w:tcW w:w="1279" w:type="dxa"/>
          </w:tcPr>
          <w:p>
            <w:pPr>
              <w:pStyle w:val="TableText"/>
              <w:spacing w:before="119" w:line="183" w:lineRule="auto"/>
              <w:ind w:left="57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</w:p>
        </w:tc>
        <w:tc>
          <w:tcPr>
            <w:tcW w:w="1099" w:type="dxa"/>
          </w:tcPr>
          <w:p>
            <w:pPr>
              <w:pStyle w:val="TableText"/>
              <w:spacing w:before="56" w:line="221" w:lineRule="auto"/>
              <w:ind w:left="225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泥结石</w:t>
            </w:r>
          </w:p>
        </w:tc>
        <w:tc>
          <w:tcPr>
            <w:tcW w:w="1698" w:type="dxa"/>
          </w:tcPr>
          <w:p>
            <w:pPr>
              <w:pStyle w:val="TableText"/>
              <w:spacing w:before="118" w:line="184" w:lineRule="auto"/>
              <w:ind w:left="525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72～51</w:t>
            </w:r>
          </w:p>
        </w:tc>
        <w:tc>
          <w:tcPr>
            <w:tcW w:w="1983" w:type="dxa"/>
          </w:tcPr>
          <w:p>
            <w:pPr>
              <w:pStyle w:val="TableText"/>
              <w:spacing w:before="55" w:line="219" w:lineRule="auto"/>
              <w:ind w:left="14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坝体上部填筑运送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3"/>
        </w:trPr>
        <w:tc>
          <w:tcPr>
            <w:tcW w:w="674" w:type="dxa"/>
          </w:tcPr>
          <w:p>
            <w:pPr>
              <w:pStyle w:val="TableText"/>
              <w:spacing w:before="172" w:line="182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1288" w:type="dxa"/>
          </w:tcPr>
          <w:p>
            <w:pPr>
              <w:pStyle w:val="TableText"/>
              <w:spacing w:before="57" w:line="219" w:lineRule="auto"/>
              <w:ind w:left="110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5*施工道路</w:t>
            </w:r>
          </w:p>
        </w:tc>
        <w:tc>
          <w:tcPr>
            <w:tcW w:w="1269" w:type="dxa"/>
          </w:tcPr>
          <w:p>
            <w:pPr>
              <w:pStyle w:val="TableText"/>
              <w:spacing w:before="171" w:line="183" w:lineRule="auto"/>
              <w:ind w:left="462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800</w:t>
            </w:r>
          </w:p>
        </w:tc>
        <w:tc>
          <w:tcPr>
            <w:tcW w:w="1279" w:type="dxa"/>
          </w:tcPr>
          <w:p>
            <w:pPr>
              <w:pStyle w:val="TableText"/>
              <w:spacing w:before="171" w:line="183" w:lineRule="auto"/>
              <w:ind w:left="57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</w:p>
        </w:tc>
        <w:tc>
          <w:tcPr>
            <w:tcW w:w="1099" w:type="dxa"/>
          </w:tcPr>
          <w:p>
            <w:pPr>
              <w:pStyle w:val="TableText"/>
              <w:spacing w:before="58" w:line="221" w:lineRule="auto"/>
              <w:ind w:left="225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泥结石</w:t>
            </w:r>
          </w:p>
        </w:tc>
        <w:tc>
          <w:tcPr>
            <w:tcW w:w="1698" w:type="dxa"/>
          </w:tcPr>
          <w:p>
            <w:pPr>
              <w:pStyle w:val="TableText"/>
              <w:spacing w:before="138"/>
              <w:ind w:left="525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135~72</w:t>
            </w:r>
          </w:p>
        </w:tc>
        <w:tc>
          <w:tcPr>
            <w:tcW w:w="1983" w:type="dxa"/>
          </w:tcPr>
          <w:p>
            <w:pPr>
              <w:pStyle w:val="TableText"/>
              <w:spacing w:before="47" w:line="219" w:lineRule="auto"/>
              <w:ind w:left="14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坝体上部填筑运送</w:t>
            </w:r>
          </w:p>
        </w:tc>
      </w:tr>
    </w:tbl>
    <w:p>
      <w:pPr>
        <w:spacing w:before="230" w:line="212" w:lineRule="auto"/>
        <w:ind w:left="134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i/>
          <w:iCs/>
          <w:spacing w:val="1"/>
          <w:sz w:val="24"/>
          <w:szCs w:val="24"/>
        </w:rPr>
        <w:t>2.3施工机械设备布置</w:t>
      </w:r>
    </w:p>
    <w:p>
      <w:pPr>
        <w:pStyle w:val="BodyText"/>
        <w:spacing w:line="293" w:lineRule="auto"/>
      </w:pPr>
    </w:p>
    <w:p>
      <w:pPr>
        <w:spacing w:before="75" w:line="221" w:lineRule="auto"/>
        <w:ind w:left="13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-14"/>
          <w:sz w:val="23"/>
          <w:szCs w:val="23"/>
        </w:rPr>
        <w:t>2.3.1</w:t>
      </w:r>
      <w:r>
        <w:rPr>
          <w:rFonts w:ascii="宋体" w:eastAsia="宋体" w:hAnsi="宋体" w:cs="宋体"/>
          <w:spacing w:val="-45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14"/>
          <w:sz w:val="23"/>
          <w:szCs w:val="23"/>
        </w:rPr>
        <w:t>设备选型</w:t>
      </w:r>
    </w:p>
    <w:p>
      <w:pPr>
        <w:pStyle w:val="BodyText"/>
        <w:spacing w:line="298" w:lineRule="auto"/>
      </w:pPr>
    </w:p>
    <w:p>
      <w:pPr>
        <w:spacing w:before="74" w:line="221" w:lineRule="auto"/>
        <w:ind w:left="60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2"/>
          <w:sz w:val="23"/>
          <w:szCs w:val="23"/>
        </w:rPr>
        <w:t>(1)碾压设备</w:t>
      </w:r>
    </w:p>
    <w:p>
      <w:pPr>
        <w:pStyle w:val="BodyText"/>
        <w:spacing w:line="315" w:lineRule="auto"/>
      </w:pPr>
    </w:p>
    <w:p>
      <w:pPr>
        <w:spacing w:before="75" w:line="632" w:lineRule="exact"/>
        <w:ind w:left="62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7"/>
          <w:position w:val="31"/>
          <w:sz w:val="23"/>
          <w:szCs w:val="23"/>
        </w:rPr>
        <w:t>为保证碾压到达设计规定，采用18</w:t>
      </w:r>
      <w:r>
        <w:rPr>
          <w:rFonts w:ascii="Times New Roman" w:eastAsia="Times New Roman" w:hAnsi="Times New Roman" w:cs="Times New Roman"/>
          <w:spacing w:val="7"/>
          <w:position w:val="3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9"/>
          <w:position w:val="31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7"/>
          <w:position w:val="31"/>
          <w:sz w:val="23"/>
          <w:szCs w:val="23"/>
        </w:rPr>
        <w:t>和</w:t>
      </w:r>
      <w:r>
        <w:rPr>
          <w:rFonts w:ascii="宋体" w:eastAsia="宋体" w:hAnsi="宋体" w:cs="宋体"/>
          <w:spacing w:val="-47"/>
          <w:position w:val="31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7"/>
          <w:position w:val="31"/>
          <w:sz w:val="23"/>
          <w:szCs w:val="23"/>
        </w:rPr>
        <w:t>2</w:t>
      </w:r>
      <w:r>
        <w:rPr>
          <w:rFonts w:ascii="宋体" w:eastAsia="宋体" w:hAnsi="宋体" w:cs="宋体"/>
          <w:spacing w:val="-44"/>
          <w:position w:val="31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7"/>
          <w:position w:val="31"/>
          <w:sz w:val="23"/>
          <w:szCs w:val="23"/>
        </w:rPr>
        <w:t>5</w:t>
      </w:r>
      <w:r>
        <w:rPr>
          <w:rFonts w:ascii="Times New Roman" w:eastAsia="Times New Roman" w:hAnsi="Times New Roman" w:cs="Times New Roman"/>
          <w:spacing w:val="7"/>
          <w:position w:val="3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9"/>
          <w:position w:val="31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7"/>
          <w:position w:val="31"/>
          <w:sz w:val="23"/>
          <w:szCs w:val="23"/>
        </w:rPr>
        <w:t>振动碾进行</w:t>
      </w:r>
      <w:r>
        <w:rPr>
          <w:rFonts w:ascii="宋体" w:eastAsia="宋体" w:hAnsi="宋体" w:cs="宋体"/>
          <w:spacing w:val="6"/>
          <w:position w:val="31"/>
          <w:sz w:val="23"/>
          <w:szCs w:val="23"/>
        </w:rPr>
        <w:t>碾压。</w:t>
      </w:r>
    </w:p>
    <w:p>
      <w:pPr>
        <w:spacing w:before="1" w:line="220" w:lineRule="auto"/>
        <w:ind w:left="60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2"/>
          <w:sz w:val="23"/>
          <w:szCs w:val="23"/>
        </w:rPr>
        <w:t>(2)运送设备</w:t>
      </w:r>
    </w:p>
    <w:p>
      <w:pPr>
        <w:pStyle w:val="BodyText"/>
        <w:spacing w:line="315" w:lineRule="auto"/>
      </w:pPr>
    </w:p>
    <w:p>
      <w:pPr>
        <w:spacing w:before="75" w:line="633" w:lineRule="exact"/>
        <w:ind w:left="62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4"/>
          <w:position w:val="31"/>
          <w:sz w:val="23"/>
          <w:szCs w:val="23"/>
        </w:rPr>
        <w:t>运送设备采用不不不小于13.5</w:t>
      </w:r>
      <w:r>
        <w:rPr>
          <w:rFonts w:ascii="Times New Roman" w:eastAsia="Times New Roman" w:hAnsi="Times New Roman" w:cs="Times New Roman"/>
          <w:spacing w:val="4"/>
          <w:position w:val="3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34"/>
          <w:position w:val="31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4"/>
          <w:position w:val="31"/>
          <w:sz w:val="23"/>
          <w:szCs w:val="23"/>
        </w:rPr>
        <w:t>的自卸汽车。</w:t>
      </w:r>
    </w:p>
    <w:p>
      <w:pPr>
        <w:spacing w:before="1" w:line="220" w:lineRule="auto"/>
        <w:ind w:left="61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3"/>
          <w:sz w:val="23"/>
          <w:szCs w:val="23"/>
        </w:rPr>
        <w:t>(3)平整设备</w:t>
      </w:r>
    </w:p>
    <w:p>
      <w:pPr>
        <w:pStyle w:val="BodyText"/>
        <w:spacing w:line="315" w:lineRule="auto"/>
      </w:pPr>
    </w:p>
    <w:p>
      <w:pPr>
        <w:spacing w:before="75" w:line="219" w:lineRule="auto"/>
        <w:ind w:left="61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3"/>
          <w:sz w:val="23"/>
          <w:szCs w:val="23"/>
        </w:rPr>
        <w:t>采用推土机 (</w:t>
      </w:r>
      <w:r>
        <w:rPr>
          <w:rFonts w:ascii="宋体" w:eastAsia="宋体" w:hAnsi="宋体" w:cs="宋体"/>
          <w:sz w:val="23"/>
          <w:szCs w:val="23"/>
        </w:rPr>
        <w:t>TY</w:t>
      </w:r>
      <w:r>
        <w:rPr>
          <w:rFonts w:ascii="宋体" w:eastAsia="宋体" w:hAnsi="宋体" w:cs="宋体"/>
          <w:spacing w:val="3"/>
          <w:sz w:val="23"/>
          <w:szCs w:val="23"/>
        </w:rPr>
        <w:t>220、</w:t>
      </w:r>
      <w:r>
        <w:rPr>
          <w:rFonts w:ascii="宋体" w:eastAsia="宋体" w:hAnsi="宋体" w:cs="宋体"/>
          <w:sz w:val="23"/>
          <w:szCs w:val="23"/>
        </w:rPr>
        <w:t>TY</w:t>
      </w:r>
      <w:r>
        <w:rPr>
          <w:rFonts w:ascii="宋体" w:eastAsia="宋体" w:hAnsi="宋体" w:cs="宋体"/>
          <w:spacing w:val="3"/>
          <w:sz w:val="23"/>
          <w:szCs w:val="23"/>
        </w:rPr>
        <w:t>230、</w:t>
      </w:r>
      <w:r>
        <w:rPr>
          <w:rFonts w:ascii="宋体" w:eastAsia="宋体" w:hAnsi="宋体" w:cs="宋体"/>
          <w:sz w:val="23"/>
          <w:szCs w:val="23"/>
        </w:rPr>
        <w:t>TY</w:t>
      </w:r>
      <w:r>
        <w:rPr>
          <w:rFonts w:ascii="宋体" w:eastAsia="宋体" w:hAnsi="宋体" w:cs="宋体"/>
          <w:spacing w:val="3"/>
          <w:sz w:val="23"/>
          <w:szCs w:val="23"/>
        </w:rPr>
        <w:t>320)    进行填筑过程中的平整工作。</w:t>
      </w:r>
    </w:p>
    <w:p>
      <w:pPr>
        <w:pStyle w:val="BodyText"/>
        <w:spacing w:line="283" w:lineRule="auto"/>
      </w:pPr>
    </w:p>
    <w:p>
      <w:pPr>
        <w:spacing w:before="75" w:line="221" w:lineRule="auto"/>
        <w:ind w:left="61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3"/>
          <w:sz w:val="23"/>
          <w:szCs w:val="23"/>
        </w:rPr>
        <w:t>(4)刨毛设备</w:t>
      </w:r>
    </w:p>
    <w:p>
      <w:pPr>
        <w:pStyle w:val="BodyText"/>
        <w:spacing w:line="315" w:lineRule="auto"/>
      </w:pPr>
    </w:p>
    <w:p>
      <w:pPr>
        <w:spacing w:before="75" w:line="219" w:lineRule="auto"/>
        <w:ind w:left="59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3"/>
          <w:sz w:val="23"/>
          <w:szCs w:val="23"/>
        </w:rPr>
        <w:t>采用</w:t>
      </w:r>
      <w:r>
        <w:rPr>
          <w:rFonts w:ascii="宋体" w:eastAsia="宋体" w:hAnsi="宋体" w:cs="宋体"/>
          <w:spacing w:val="-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TY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220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 </w:t>
      </w:r>
      <w:r>
        <w:rPr>
          <w:rFonts w:ascii="宋体" w:eastAsia="宋体" w:hAnsi="宋体" w:cs="宋体"/>
          <w:spacing w:val="3"/>
          <w:sz w:val="23"/>
          <w:szCs w:val="23"/>
        </w:rPr>
        <w:t>推土机或</w:t>
      </w:r>
      <w:r>
        <w:rPr>
          <w:rFonts w:ascii="宋体" w:eastAsia="宋体" w:hAnsi="宋体" w:cs="宋体"/>
          <w:spacing w:val="-5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LT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218</w:t>
      </w:r>
      <w:r>
        <w:rPr>
          <w:rFonts w:ascii="Times New Roman" w:eastAsia="Times New Roman" w:hAnsi="Times New Roman" w:cs="Times New Roman"/>
          <w:spacing w:val="41"/>
          <w:w w:val="101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3"/>
          <w:sz w:val="23"/>
          <w:szCs w:val="23"/>
        </w:rPr>
        <w:t>凸块碾进行填筑过程中的刨毛工作。</w:t>
      </w:r>
    </w:p>
    <w:p>
      <w:pPr>
        <w:pStyle w:val="BodyText"/>
        <w:spacing w:line="283" w:lineRule="auto"/>
      </w:pPr>
    </w:p>
    <w:p>
      <w:pPr>
        <w:spacing w:before="75" w:line="221" w:lineRule="auto"/>
        <w:ind w:left="12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"/>
          <w:sz w:val="23"/>
          <w:szCs w:val="23"/>
        </w:rPr>
        <w:t>2.3.2设备配置</w:t>
      </w:r>
    </w:p>
    <w:p>
      <w:pPr>
        <w:pStyle w:val="BodyText"/>
        <w:spacing w:line="315" w:lineRule="auto"/>
      </w:pPr>
    </w:p>
    <w:p>
      <w:pPr>
        <w:spacing w:before="75" w:line="219" w:lineRule="auto"/>
        <w:ind w:left="301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6"/>
          <w:sz w:val="23"/>
          <w:szCs w:val="23"/>
        </w:rPr>
        <w:t>大坝防渗土料填筑机械设备配置</w:t>
      </w:r>
    </w:p>
    <w:p>
      <w:pPr>
        <w:spacing w:line="164" w:lineRule="exact"/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24"/>
        <w:gridCol w:w="1408"/>
        <w:gridCol w:w="1399"/>
        <w:gridCol w:w="2437"/>
        <w:gridCol w:w="1379"/>
        <w:gridCol w:w="183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4"/>
        </w:trPr>
        <w:tc>
          <w:tcPr>
            <w:tcW w:w="824" w:type="dxa"/>
          </w:tcPr>
          <w:p>
            <w:pPr>
              <w:pStyle w:val="TableText"/>
              <w:spacing w:before="106" w:line="198" w:lineRule="auto"/>
              <w:ind w:left="165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序号</w:t>
            </w:r>
          </w:p>
        </w:tc>
        <w:tc>
          <w:tcPr>
            <w:tcW w:w="1408" w:type="dxa"/>
          </w:tcPr>
          <w:p>
            <w:pPr>
              <w:pStyle w:val="TableText"/>
              <w:spacing w:before="106" w:line="198" w:lineRule="auto"/>
              <w:ind w:left="21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设备名称</w:t>
            </w:r>
          </w:p>
        </w:tc>
        <w:tc>
          <w:tcPr>
            <w:tcW w:w="1399" w:type="dxa"/>
          </w:tcPr>
          <w:p>
            <w:pPr>
              <w:pStyle w:val="TableText"/>
              <w:spacing w:before="106" w:line="198" w:lineRule="auto"/>
              <w:ind w:left="21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设备型号</w:t>
            </w:r>
          </w:p>
        </w:tc>
        <w:tc>
          <w:tcPr>
            <w:tcW w:w="2437" w:type="dxa"/>
          </w:tcPr>
          <w:p>
            <w:pPr>
              <w:pStyle w:val="TableText"/>
              <w:spacing w:before="103" w:line="200" w:lineRule="auto"/>
              <w:ind w:left="734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设备能力</w:t>
            </w:r>
          </w:p>
        </w:tc>
        <w:tc>
          <w:tcPr>
            <w:tcW w:w="1379" w:type="dxa"/>
          </w:tcPr>
          <w:p>
            <w:pPr>
              <w:pStyle w:val="TableText"/>
              <w:spacing w:before="74" w:line="219" w:lineRule="auto"/>
              <w:ind w:left="207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设备数量</w:t>
            </w:r>
          </w:p>
        </w:tc>
        <w:tc>
          <w:tcPr>
            <w:tcW w:w="1833" w:type="dxa"/>
          </w:tcPr>
          <w:p>
            <w:pPr>
              <w:pStyle w:val="TableText"/>
              <w:spacing w:before="106" w:line="198" w:lineRule="auto"/>
              <w:ind w:left="558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备</w:t>
            </w:r>
            <w:r>
              <w:rPr>
                <w:spacing w:val="7"/>
                <w:sz w:val="24"/>
                <w:szCs w:val="24"/>
              </w:rPr>
              <w:t xml:space="preserve">  </w:t>
            </w:r>
            <w:r>
              <w:rPr>
                <w:spacing w:val="-7"/>
                <w:sz w:val="24"/>
                <w:szCs w:val="24"/>
              </w:rPr>
              <w:t>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89"/>
        </w:trPr>
        <w:tc>
          <w:tcPr>
            <w:tcW w:w="824" w:type="dxa"/>
          </w:tcPr>
          <w:p/>
        </w:tc>
        <w:tc>
          <w:tcPr>
            <w:tcW w:w="1408" w:type="dxa"/>
          </w:tcPr>
          <w:p>
            <w:pPr>
              <w:pStyle w:val="TableText"/>
              <w:spacing w:before="139" w:line="184" w:lineRule="auto"/>
              <w:ind w:left="33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挖掘机</w:t>
            </w:r>
          </w:p>
        </w:tc>
        <w:tc>
          <w:tcPr>
            <w:tcW w:w="1399" w:type="dxa"/>
          </w:tcPr>
          <w:p/>
        </w:tc>
        <w:tc>
          <w:tcPr>
            <w:tcW w:w="2437" w:type="dxa"/>
          </w:tcPr>
          <w:p>
            <w:pPr>
              <w:pStyle w:val="TableText"/>
              <w:spacing w:before="178" w:line="200" w:lineRule="exact"/>
              <w:ind w:left="494"/>
              <w:rPr>
                <w:sz w:val="24"/>
                <w:szCs w:val="24"/>
              </w:rPr>
            </w:pPr>
            <w:r>
              <w:rPr>
                <w:spacing w:val="-4"/>
                <w:position w:val="-3"/>
                <w:sz w:val="24"/>
                <w:szCs w:val="24"/>
              </w:rPr>
              <w:t>1.0～2.8</w:t>
            </w:r>
            <w:r>
              <w:rPr>
                <w:spacing w:val="47"/>
                <w:position w:val="-3"/>
                <w:sz w:val="24"/>
                <w:szCs w:val="24"/>
              </w:rPr>
              <w:t xml:space="preserve">  </w:t>
            </w:r>
            <w:r>
              <w:rPr>
                <w:spacing w:val="-4"/>
                <w:position w:val="-3"/>
                <w:sz w:val="24"/>
                <w:szCs w:val="24"/>
              </w:rPr>
              <w:t>m³</w:t>
            </w:r>
          </w:p>
        </w:tc>
        <w:tc>
          <w:tcPr>
            <w:tcW w:w="1379" w:type="dxa"/>
          </w:tcPr>
          <w:p>
            <w:pPr>
              <w:pStyle w:val="TableText"/>
              <w:spacing w:before="182" w:line="196" w:lineRule="exact"/>
              <w:ind w:left="567"/>
              <w:rPr>
                <w:sz w:val="24"/>
                <w:szCs w:val="24"/>
              </w:rPr>
            </w:pPr>
            <w:r>
              <w:rPr>
                <w:spacing w:val="-4"/>
                <w:position w:val="-3"/>
                <w:sz w:val="24"/>
                <w:szCs w:val="24"/>
              </w:rPr>
              <w:t>25</w:t>
            </w:r>
          </w:p>
        </w:tc>
        <w:tc>
          <w:tcPr>
            <w:tcW w:w="1833" w:type="dxa"/>
          </w:tcPr>
          <w:p>
            <w:pPr>
              <w:pStyle w:val="TableText"/>
              <w:spacing w:before="121" w:line="198" w:lineRule="auto"/>
              <w:ind w:left="548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已进场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9"/>
        </w:trPr>
        <w:tc>
          <w:tcPr>
            <w:tcW w:w="824" w:type="dxa"/>
          </w:tcPr>
          <w:p>
            <w:pPr>
              <w:pStyle w:val="TableText"/>
              <w:spacing w:before="173" w:line="195" w:lineRule="exact"/>
              <w:ind w:left="345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2</w:t>
            </w:r>
          </w:p>
        </w:tc>
        <w:tc>
          <w:tcPr>
            <w:tcW w:w="1408" w:type="dxa"/>
          </w:tcPr>
          <w:p>
            <w:pPr>
              <w:pStyle w:val="TableText"/>
              <w:spacing w:before="111" w:line="198" w:lineRule="auto"/>
              <w:ind w:left="21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自卸汽车</w:t>
            </w:r>
          </w:p>
        </w:tc>
        <w:tc>
          <w:tcPr>
            <w:tcW w:w="1399" w:type="dxa"/>
          </w:tcPr>
          <w:p/>
        </w:tc>
        <w:tc>
          <w:tcPr>
            <w:tcW w:w="2437" w:type="dxa"/>
          </w:tcPr>
          <w:p>
            <w:pPr>
              <w:pStyle w:val="TableText"/>
              <w:spacing w:before="134" w:line="180" w:lineRule="auto"/>
              <w:ind w:left="673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13.5t以上</w:t>
            </w:r>
          </w:p>
        </w:tc>
        <w:tc>
          <w:tcPr>
            <w:tcW w:w="1379" w:type="dxa"/>
          </w:tcPr>
          <w:p>
            <w:pPr>
              <w:pStyle w:val="TableText"/>
              <w:spacing w:before="172" w:line="196" w:lineRule="exact"/>
              <w:ind w:left="507"/>
              <w:rPr>
                <w:sz w:val="24"/>
                <w:szCs w:val="24"/>
              </w:rPr>
            </w:pPr>
            <w:r>
              <w:rPr>
                <w:spacing w:val="-7"/>
                <w:position w:val="-3"/>
                <w:sz w:val="24"/>
                <w:szCs w:val="24"/>
              </w:rPr>
              <w:t>120</w:t>
            </w:r>
          </w:p>
        </w:tc>
        <w:tc>
          <w:tcPr>
            <w:tcW w:w="1833" w:type="dxa"/>
          </w:tcPr>
          <w:p>
            <w:pPr>
              <w:pStyle w:val="TableText"/>
              <w:spacing w:before="112" w:line="197" w:lineRule="auto"/>
              <w:ind w:left="307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已进场96台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89"/>
        </w:trPr>
        <w:tc>
          <w:tcPr>
            <w:tcW w:w="824" w:type="dxa"/>
          </w:tcPr>
          <w:p>
            <w:pPr>
              <w:pStyle w:val="TableText"/>
              <w:spacing w:before="184" w:line="194" w:lineRule="exact"/>
              <w:ind w:left="345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3</w:t>
            </w:r>
          </w:p>
        </w:tc>
        <w:tc>
          <w:tcPr>
            <w:tcW w:w="1408" w:type="dxa"/>
          </w:tcPr>
          <w:p>
            <w:pPr>
              <w:pStyle w:val="TableText"/>
              <w:spacing w:before="142" w:line="182" w:lineRule="auto"/>
              <w:ind w:left="331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洒水车</w:t>
            </w:r>
          </w:p>
        </w:tc>
        <w:tc>
          <w:tcPr>
            <w:tcW w:w="1399" w:type="dxa"/>
          </w:tcPr>
          <w:p>
            <w:pPr>
              <w:pStyle w:val="TableText"/>
              <w:spacing w:before="122" w:line="197" w:lineRule="auto"/>
              <w:ind w:left="452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东风</w:t>
            </w:r>
          </w:p>
        </w:tc>
        <w:tc>
          <w:tcPr>
            <w:tcW w:w="2437" w:type="dxa"/>
          </w:tcPr>
          <w:p>
            <w:pPr>
              <w:pStyle w:val="TableText"/>
              <w:spacing w:before="186" w:line="192" w:lineRule="exact"/>
              <w:ind w:left="1094"/>
              <w:rPr>
                <w:sz w:val="24"/>
                <w:szCs w:val="24"/>
              </w:rPr>
            </w:pPr>
            <w:r>
              <w:rPr>
                <w:spacing w:val="-4"/>
                <w:position w:val="-3"/>
                <w:sz w:val="24"/>
                <w:szCs w:val="24"/>
              </w:rPr>
              <w:t>5t</w:t>
            </w:r>
          </w:p>
        </w:tc>
        <w:tc>
          <w:tcPr>
            <w:tcW w:w="1379" w:type="dxa"/>
          </w:tcPr>
          <w:p>
            <w:pPr>
              <w:pStyle w:val="TableText"/>
              <w:spacing w:before="184" w:line="194" w:lineRule="exact"/>
              <w:ind w:left="626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2</w:t>
            </w:r>
          </w:p>
        </w:tc>
        <w:tc>
          <w:tcPr>
            <w:tcW w:w="1833" w:type="dxa"/>
          </w:tcPr>
          <w:p>
            <w:pPr>
              <w:pStyle w:val="TableText"/>
              <w:spacing w:before="143" w:line="181" w:lineRule="auto"/>
              <w:ind w:left="367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已进场1台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9"/>
        </w:trPr>
        <w:tc>
          <w:tcPr>
            <w:tcW w:w="824" w:type="dxa"/>
          </w:tcPr>
          <w:p>
            <w:pPr>
              <w:pStyle w:val="TableText"/>
              <w:spacing w:before="175" w:line="193" w:lineRule="exact"/>
              <w:ind w:left="345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4</w:t>
            </w:r>
          </w:p>
        </w:tc>
        <w:tc>
          <w:tcPr>
            <w:tcW w:w="1408" w:type="dxa"/>
          </w:tcPr>
          <w:p>
            <w:pPr>
              <w:pStyle w:val="TableText"/>
              <w:spacing w:before="112" w:line="197" w:lineRule="auto"/>
              <w:ind w:left="331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洒水车</w:t>
            </w:r>
          </w:p>
        </w:tc>
        <w:tc>
          <w:tcPr>
            <w:tcW w:w="1399" w:type="dxa"/>
          </w:tcPr>
          <w:p/>
        </w:tc>
        <w:tc>
          <w:tcPr>
            <w:tcW w:w="2437" w:type="dxa"/>
          </w:tcPr>
          <w:p>
            <w:pPr>
              <w:pStyle w:val="TableText"/>
              <w:spacing w:before="174" w:line="194" w:lineRule="exact"/>
              <w:ind w:left="1034"/>
              <w:rPr>
                <w:sz w:val="24"/>
                <w:szCs w:val="24"/>
              </w:rPr>
            </w:pPr>
            <w:r>
              <w:rPr>
                <w:spacing w:val="-7"/>
                <w:position w:val="-3"/>
                <w:sz w:val="24"/>
                <w:szCs w:val="24"/>
              </w:rPr>
              <w:t>10t</w:t>
            </w:r>
          </w:p>
        </w:tc>
        <w:tc>
          <w:tcPr>
            <w:tcW w:w="1379" w:type="dxa"/>
          </w:tcPr>
          <w:p>
            <w:pPr>
              <w:pStyle w:val="TableText"/>
              <w:spacing w:before="174" w:line="194" w:lineRule="exact"/>
              <w:ind w:left="626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1</w:t>
            </w:r>
          </w:p>
        </w:tc>
        <w:tc>
          <w:tcPr>
            <w:tcW w:w="1833" w:type="dxa"/>
          </w:tcPr>
          <w:p>
            <w:pPr>
              <w:pStyle w:val="TableText"/>
              <w:spacing w:before="114" w:line="196" w:lineRule="auto"/>
              <w:ind w:left="548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已进场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9"/>
        </w:trPr>
        <w:tc>
          <w:tcPr>
            <w:tcW w:w="824" w:type="dxa"/>
          </w:tcPr>
          <w:p>
            <w:pPr>
              <w:pStyle w:val="TableText"/>
              <w:spacing w:before="198" w:line="190" w:lineRule="exact"/>
              <w:ind w:left="345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5</w:t>
            </w:r>
          </w:p>
        </w:tc>
        <w:tc>
          <w:tcPr>
            <w:tcW w:w="1408" w:type="dxa"/>
          </w:tcPr>
          <w:p>
            <w:pPr>
              <w:pStyle w:val="TableText"/>
              <w:spacing w:before="134" w:line="196" w:lineRule="auto"/>
              <w:ind w:left="331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推土机</w:t>
            </w:r>
          </w:p>
        </w:tc>
        <w:tc>
          <w:tcPr>
            <w:tcW w:w="1399" w:type="dxa"/>
          </w:tcPr>
          <w:p/>
        </w:tc>
        <w:tc>
          <w:tcPr>
            <w:tcW w:w="2437" w:type="dxa"/>
          </w:tcPr>
          <w:p>
            <w:pPr>
              <w:pStyle w:val="TableText"/>
              <w:spacing w:before="195" w:line="193" w:lineRule="exact"/>
              <w:ind w:left="434"/>
              <w:rPr>
                <w:sz w:val="24"/>
                <w:szCs w:val="24"/>
              </w:rPr>
            </w:pPr>
            <w:r>
              <w:rPr>
                <w:spacing w:val="-3"/>
                <w:position w:val="-3"/>
                <w:sz w:val="24"/>
                <w:szCs w:val="24"/>
              </w:rPr>
              <w:t>162KW～235</w:t>
            </w:r>
            <w:r>
              <w:rPr>
                <w:spacing w:val="36"/>
                <w:position w:val="-3"/>
                <w:sz w:val="24"/>
                <w:szCs w:val="24"/>
              </w:rPr>
              <w:t xml:space="preserve"> </w:t>
            </w:r>
            <w:r>
              <w:rPr>
                <w:spacing w:val="-3"/>
                <w:position w:val="-3"/>
                <w:sz w:val="24"/>
                <w:szCs w:val="24"/>
              </w:rPr>
              <w:t>KW</w:t>
            </w:r>
          </w:p>
        </w:tc>
        <w:tc>
          <w:tcPr>
            <w:tcW w:w="1379" w:type="dxa"/>
          </w:tcPr>
          <w:p>
            <w:pPr>
              <w:pStyle w:val="TableText"/>
              <w:spacing w:before="195" w:line="193" w:lineRule="exact"/>
              <w:ind w:left="567"/>
              <w:rPr>
                <w:sz w:val="24"/>
                <w:szCs w:val="24"/>
              </w:rPr>
            </w:pPr>
            <w:r>
              <w:rPr>
                <w:spacing w:val="-7"/>
                <w:position w:val="-3"/>
                <w:sz w:val="24"/>
                <w:szCs w:val="24"/>
              </w:rPr>
              <w:t>10</w:t>
            </w:r>
          </w:p>
        </w:tc>
        <w:tc>
          <w:tcPr>
            <w:tcW w:w="1833" w:type="dxa"/>
          </w:tcPr>
          <w:p>
            <w:pPr>
              <w:pStyle w:val="TableText"/>
              <w:spacing w:before="145" w:line="187" w:lineRule="auto"/>
              <w:ind w:left="367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已进场7台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89"/>
        </w:trPr>
        <w:tc>
          <w:tcPr>
            <w:tcW w:w="824" w:type="dxa"/>
          </w:tcPr>
          <w:p>
            <w:pPr>
              <w:pStyle w:val="TableText"/>
              <w:spacing w:before="187" w:line="191" w:lineRule="exact"/>
              <w:ind w:left="345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6</w:t>
            </w:r>
          </w:p>
        </w:tc>
        <w:tc>
          <w:tcPr>
            <w:tcW w:w="1408" w:type="dxa"/>
          </w:tcPr>
          <w:p>
            <w:pPr>
              <w:pStyle w:val="TableText"/>
              <w:spacing w:before="144" w:line="180" w:lineRule="auto"/>
              <w:ind w:left="331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装载机</w:t>
            </w:r>
          </w:p>
        </w:tc>
        <w:tc>
          <w:tcPr>
            <w:tcW w:w="1399" w:type="dxa"/>
          </w:tcPr>
          <w:p>
            <w:pPr>
              <w:pStyle w:val="TableText"/>
              <w:spacing w:before="187" w:line="191" w:lineRule="exact"/>
              <w:ind w:left="333"/>
              <w:rPr>
                <w:sz w:val="24"/>
                <w:szCs w:val="24"/>
              </w:rPr>
            </w:pPr>
            <w:r>
              <w:rPr>
                <w:spacing w:val="-1"/>
                <w:position w:val="-3"/>
                <w:sz w:val="24"/>
                <w:szCs w:val="24"/>
              </w:rPr>
              <w:t>KLD85Z</w:t>
            </w:r>
          </w:p>
        </w:tc>
        <w:tc>
          <w:tcPr>
            <w:tcW w:w="2437" w:type="dxa"/>
          </w:tcPr>
          <w:p>
            <w:pPr>
              <w:pStyle w:val="TableText"/>
              <w:spacing w:before="186" w:line="192" w:lineRule="exact"/>
              <w:ind w:left="854"/>
              <w:rPr>
                <w:sz w:val="24"/>
                <w:szCs w:val="24"/>
              </w:rPr>
            </w:pPr>
            <w:r>
              <w:rPr>
                <w:spacing w:val="-6"/>
                <w:position w:val="-3"/>
                <w:sz w:val="24"/>
                <w:szCs w:val="24"/>
              </w:rPr>
              <w:t>158</w:t>
            </w:r>
            <w:r>
              <w:rPr>
                <w:spacing w:val="34"/>
                <w:position w:val="-3"/>
                <w:sz w:val="24"/>
                <w:szCs w:val="24"/>
              </w:rPr>
              <w:t xml:space="preserve"> </w:t>
            </w:r>
            <w:r>
              <w:rPr>
                <w:spacing w:val="-6"/>
                <w:position w:val="-3"/>
                <w:sz w:val="24"/>
                <w:szCs w:val="24"/>
              </w:rPr>
              <w:t>KW</w:t>
            </w:r>
          </w:p>
        </w:tc>
        <w:tc>
          <w:tcPr>
            <w:tcW w:w="1379" w:type="dxa"/>
          </w:tcPr>
          <w:p>
            <w:pPr>
              <w:pStyle w:val="TableText"/>
              <w:spacing w:before="186" w:line="192" w:lineRule="exact"/>
              <w:ind w:left="626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1</w:t>
            </w:r>
          </w:p>
        </w:tc>
        <w:tc>
          <w:tcPr>
            <w:tcW w:w="1833" w:type="dxa"/>
          </w:tcPr>
          <w:p>
            <w:pPr>
              <w:pStyle w:val="TableText"/>
              <w:spacing w:before="146" w:line="179" w:lineRule="auto"/>
              <w:ind w:left="548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已进场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9"/>
        </w:trPr>
        <w:tc>
          <w:tcPr>
            <w:tcW w:w="824" w:type="dxa"/>
          </w:tcPr>
          <w:p>
            <w:pPr>
              <w:pStyle w:val="TableText"/>
              <w:spacing w:before="180" w:line="188" w:lineRule="exact"/>
              <w:ind w:left="345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7</w:t>
            </w:r>
          </w:p>
        </w:tc>
        <w:tc>
          <w:tcPr>
            <w:tcW w:w="1408" w:type="dxa"/>
          </w:tcPr>
          <w:p>
            <w:pPr>
              <w:pStyle w:val="TableText"/>
              <w:spacing w:before="115" w:line="195" w:lineRule="auto"/>
              <w:ind w:left="331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装载机</w:t>
            </w:r>
          </w:p>
        </w:tc>
        <w:tc>
          <w:tcPr>
            <w:tcW w:w="1399" w:type="dxa"/>
          </w:tcPr>
          <w:p>
            <w:pPr>
              <w:pStyle w:val="TableText"/>
              <w:spacing w:before="178" w:line="190" w:lineRule="exact"/>
              <w:ind w:left="452"/>
              <w:rPr>
                <w:sz w:val="24"/>
                <w:szCs w:val="24"/>
              </w:rPr>
            </w:pPr>
            <w:r>
              <w:rPr>
                <w:spacing w:val="-2"/>
                <w:position w:val="-3"/>
                <w:sz w:val="24"/>
                <w:szCs w:val="24"/>
              </w:rPr>
              <w:t>ZL50</w:t>
            </w:r>
          </w:p>
        </w:tc>
        <w:tc>
          <w:tcPr>
            <w:tcW w:w="2437" w:type="dxa"/>
          </w:tcPr>
          <w:p>
            <w:pPr>
              <w:pStyle w:val="TableText"/>
              <w:spacing w:before="178" w:line="190" w:lineRule="exact"/>
              <w:ind w:left="974"/>
              <w:rPr>
                <w:sz w:val="24"/>
                <w:szCs w:val="24"/>
              </w:rPr>
            </w:pPr>
            <w:r>
              <w:rPr>
                <w:spacing w:val="-2"/>
                <w:position w:val="-3"/>
                <w:sz w:val="24"/>
                <w:szCs w:val="24"/>
              </w:rPr>
              <w:t>88KW</w:t>
            </w:r>
          </w:p>
        </w:tc>
        <w:tc>
          <w:tcPr>
            <w:tcW w:w="1379" w:type="dxa"/>
          </w:tcPr>
          <w:p>
            <w:pPr>
              <w:pStyle w:val="TableText"/>
              <w:spacing w:before="177" w:line="191" w:lineRule="exact"/>
              <w:ind w:left="626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1</w:t>
            </w:r>
          </w:p>
        </w:tc>
        <w:tc>
          <w:tcPr>
            <w:tcW w:w="1833" w:type="dxa"/>
          </w:tcPr>
          <w:p>
            <w:pPr>
              <w:pStyle w:val="TableText"/>
              <w:spacing w:before="118" w:line="193" w:lineRule="auto"/>
              <w:ind w:left="548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已进场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89"/>
        </w:trPr>
        <w:tc>
          <w:tcPr>
            <w:tcW w:w="824" w:type="dxa"/>
          </w:tcPr>
          <w:p>
            <w:pPr>
              <w:pStyle w:val="TableText"/>
              <w:spacing w:before="189" w:line="189" w:lineRule="exact"/>
              <w:ind w:left="345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8</w:t>
            </w:r>
          </w:p>
        </w:tc>
        <w:tc>
          <w:tcPr>
            <w:tcW w:w="1408" w:type="dxa"/>
          </w:tcPr>
          <w:p>
            <w:pPr>
              <w:pStyle w:val="TableText"/>
              <w:spacing w:before="128" w:line="193" w:lineRule="auto"/>
              <w:ind w:left="33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振动碾</w:t>
            </w:r>
          </w:p>
        </w:tc>
        <w:tc>
          <w:tcPr>
            <w:tcW w:w="1399" w:type="dxa"/>
          </w:tcPr>
          <w:p>
            <w:pPr>
              <w:pStyle w:val="TableText"/>
              <w:spacing w:before="189" w:line="189" w:lineRule="exact"/>
              <w:ind w:left="392"/>
              <w:rPr>
                <w:sz w:val="24"/>
                <w:szCs w:val="24"/>
              </w:rPr>
            </w:pPr>
            <w:r>
              <w:rPr>
                <w:spacing w:val="-1"/>
                <w:position w:val="-3"/>
                <w:sz w:val="24"/>
                <w:szCs w:val="24"/>
              </w:rPr>
              <w:t>YZ26E</w:t>
            </w:r>
          </w:p>
        </w:tc>
        <w:tc>
          <w:tcPr>
            <w:tcW w:w="2437" w:type="dxa"/>
          </w:tcPr>
          <w:p>
            <w:pPr>
              <w:pStyle w:val="TableText"/>
              <w:spacing w:before="189" w:line="189" w:lineRule="exact"/>
              <w:ind w:left="1034"/>
              <w:rPr>
                <w:sz w:val="24"/>
                <w:szCs w:val="24"/>
              </w:rPr>
            </w:pPr>
            <w:r>
              <w:rPr>
                <w:spacing w:val="-3"/>
                <w:position w:val="-3"/>
                <w:sz w:val="24"/>
                <w:szCs w:val="24"/>
              </w:rPr>
              <w:t>26t</w:t>
            </w:r>
          </w:p>
        </w:tc>
        <w:tc>
          <w:tcPr>
            <w:tcW w:w="1379" w:type="dxa"/>
          </w:tcPr>
          <w:p>
            <w:pPr>
              <w:pStyle w:val="TableText"/>
              <w:spacing w:before="189" w:line="189" w:lineRule="exact"/>
              <w:ind w:left="626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2</w:t>
            </w:r>
          </w:p>
        </w:tc>
        <w:tc>
          <w:tcPr>
            <w:tcW w:w="1833" w:type="dxa"/>
          </w:tcPr>
          <w:p>
            <w:pPr>
              <w:pStyle w:val="TableText"/>
              <w:spacing w:before="128" w:line="193" w:lineRule="auto"/>
              <w:ind w:left="367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已进场1台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3"/>
        </w:trPr>
        <w:tc>
          <w:tcPr>
            <w:tcW w:w="824" w:type="dxa"/>
          </w:tcPr>
          <w:p>
            <w:pPr>
              <w:pStyle w:val="TableText"/>
              <w:spacing w:before="200" w:line="193" w:lineRule="exact"/>
              <w:ind w:left="345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9</w:t>
            </w:r>
          </w:p>
        </w:tc>
        <w:tc>
          <w:tcPr>
            <w:tcW w:w="1408" w:type="dxa"/>
          </w:tcPr>
          <w:p>
            <w:pPr>
              <w:pStyle w:val="TableText"/>
              <w:spacing w:before="139" w:line="195" w:lineRule="auto"/>
              <w:ind w:left="33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振动碾</w:t>
            </w:r>
          </w:p>
        </w:tc>
        <w:tc>
          <w:tcPr>
            <w:tcW w:w="1399" w:type="dxa"/>
          </w:tcPr>
          <w:p>
            <w:pPr>
              <w:pStyle w:val="TableText"/>
              <w:spacing w:before="199" w:line="194" w:lineRule="exact"/>
              <w:ind w:left="392"/>
              <w:rPr>
                <w:sz w:val="24"/>
                <w:szCs w:val="24"/>
              </w:rPr>
            </w:pPr>
            <w:r>
              <w:rPr>
                <w:spacing w:val="-2"/>
                <w:position w:val="-3"/>
                <w:sz w:val="24"/>
                <w:szCs w:val="24"/>
              </w:rPr>
              <w:t>Y-18G</w:t>
            </w:r>
          </w:p>
        </w:tc>
        <w:tc>
          <w:tcPr>
            <w:tcW w:w="2437" w:type="dxa"/>
          </w:tcPr>
          <w:p>
            <w:pPr>
              <w:pStyle w:val="TableText"/>
              <w:spacing w:before="199" w:line="194" w:lineRule="exact"/>
              <w:ind w:left="1034"/>
              <w:rPr>
                <w:sz w:val="24"/>
                <w:szCs w:val="24"/>
              </w:rPr>
            </w:pPr>
            <w:r>
              <w:rPr>
                <w:spacing w:val="-7"/>
                <w:position w:val="-3"/>
                <w:sz w:val="24"/>
                <w:szCs w:val="24"/>
              </w:rPr>
              <w:t>18t</w:t>
            </w:r>
          </w:p>
        </w:tc>
        <w:tc>
          <w:tcPr>
            <w:tcW w:w="1379" w:type="dxa"/>
          </w:tcPr>
          <w:p>
            <w:pPr>
              <w:pStyle w:val="TableText"/>
              <w:spacing w:before="200" w:line="193" w:lineRule="exact"/>
              <w:ind w:left="626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4</w:t>
            </w:r>
          </w:p>
        </w:tc>
        <w:tc>
          <w:tcPr>
            <w:tcW w:w="1833" w:type="dxa"/>
          </w:tcPr>
          <w:p>
            <w:pPr>
              <w:pStyle w:val="TableText"/>
              <w:spacing w:before="159" w:line="180" w:lineRule="auto"/>
              <w:ind w:left="367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已进场1台</w:t>
            </w:r>
          </w:p>
        </w:tc>
      </w:tr>
    </w:tbl>
    <w:p>
      <w:pPr>
        <w:pStyle w:val="BodyText"/>
      </w:pPr>
    </w:p>
    <w:p>
      <w:pPr>
        <w:sectPr>
          <w:pgSz w:w="11910" w:h="16840"/>
          <w:pgMar w:top="1425" w:right="1024" w:bottom="0" w:left="1574" w:header="0" w:footer="0" w:gutter="0"/>
          <w:pgNumType w:start="6"/>
          <w:cols w:space="708"/>
        </w:sectPr>
      </w:pP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44"/>
        <w:gridCol w:w="1399"/>
        <w:gridCol w:w="1399"/>
        <w:gridCol w:w="2417"/>
        <w:gridCol w:w="1408"/>
        <w:gridCol w:w="183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1"/>
        </w:trPr>
        <w:tc>
          <w:tcPr>
            <w:tcW w:w="844" w:type="dxa"/>
          </w:tcPr>
          <w:p>
            <w:pPr>
              <w:pStyle w:val="TableText"/>
              <w:spacing w:before="126" w:line="180" w:lineRule="auto"/>
              <w:ind w:left="174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序号</w:t>
            </w:r>
          </w:p>
        </w:tc>
        <w:tc>
          <w:tcPr>
            <w:tcW w:w="1399" w:type="dxa"/>
          </w:tcPr>
          <w:p>
            <w:pPr>
              <w:pStyle w:val="TableText"/>
              <w:spacing w:before="106" w:line="196" w:lineRule="auto"/>
              <w:ind w:left="21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设备名称</w:t>
            </w:r>
          </w:p>
        </w:tc>
        <w:tc>
          <w:tcPr>
            <w:tcW w:w="1399" w:type="dxa"/>
          </w:tcPr>
          <w:p>
            <w:pPr>
              <w:pStyle w:val="TableText"/>
              <w:spacing w:before="106" w:line="196" w:lineRule="auto"/>
              <w:ind w:left="212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设备型号</w:t>
            </w:r>
          </w:p>
        </w:tc>
        <w:tc>
          <w:tcPr>
            <w:tcW w:w="2417" w:type="dxa"/>
          </w:tcPr>
          <w:p>
            <w:pPr>
              <w:pStyle w:val="TableText"/>
              <w:spacing w:before="113" w:line="190" w:lineRule="auto"/>
              <w:ind w:left="723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设备能力</w:t>
            </w:r>
          </w:p>
        </w:tc>
        <w:tc>
          <w:tcPr>
            <w:tcW w:w="1408" w:type="dxa"/>
          </w:tcPr>
          <w:p>
            <w:pPr>
              <w:pStyle w:val="TableText"/>
              <w:spacing w:before="113" w:line="190" w:lineRule="auto"/>
              <w:ind w:left="216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设备数量</w:t>
            </w:r>
          </w:p>
        </w:tc>
        <w:tc>
          <w:tcPr>
            <w:tcW w:w="1833" w:type="dxa"/>
          </w:tcPr>
          <w:p>
            <w:pPr>
              <w:pStyle w:val="TableText"/>
              <w:spacing w:before="106" w:line="196" w:lineRule="auto"/>
              <w:ind w:left="547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备</w:t>
            </w:r>
            <w:r>
              <w:rPr>
                <w:spacing w:val="17"/>
                <w:sz w:val="24"/>
                <w:szCs w:val="24"/>
              </w:rPr>
              <w:t xml:space="preserve">  </w:t>
            </w:r>
            <w:r>
              <w:rPr>
                <w:spacing w:val="-7"/>
                <w:sz w:val="24"/>
                <w:szCs w:val="24"/>
              </w:rPr>
              <w:t>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7"/>
        </w:trPr>
        <w:tc>
          <w:tcPr>
            <w:tcW w:w="844" w:type="dxa"/>
          </w:tcPr>
          <w:p>
            <w:pPr>
              <w:pStyle w:val="TableText"/>
              <w:spacing w:before="174" w:line="192" w:lineRule="exact"/>
              <w:ind w:left="295"/>
              <w:rPr>
                <w:sz w:val="24"/>
                <w:szCs w:val="24"/>
              </w:rPr>
            </w:pPr>
            <w:r>
              <w:rPr>
                <w:spacing w:val="-7"/>
                <w:position w:val="-3"/>
                <w:sz w:val="24"/>
                <w:szCs w:val="24"/>
              </w:rPr>
              <w:t>10</w:t>
            </w:r>
          </w:p>
        </w:tc>
        <w:tc>
          <w:tcPr>
            <w:tcW w:w="1399" w:type="dxa"/>
          </w:tcPr>
          <w:p>
            <w:pPr>
              <w:pStyle w:val="TableText"/>
              <w:spacing w:before="74" w:line="220" w:lineRule="auto"/>
              <w:ind w:left="331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凸块碾</w:t>
            </w:r>
          </w:p>
        </w:tc>
        <w:tc>
          <w:tcPr>
            <w:tcW w:w="1399" w:type="dxa"/>
          </w:tcPr>
          <w:p>
            <w:pPr>
              <w:pStyle w:val="TableText"/>
              <w:spacing w:before="174" w:line="192" w:lineRule="exact"/>
              <w:ind w:left="391"/>
              <w:rPr>
                <w:sz w:val="24"/>
                <w:szCs w:val="24"/>
              </w:rPr>
            </w:pPr>
            <w:r>
              <w:rPr>
                <w:spacing w:val="-2"/>
                <w:position w:val="-3"/>
                <w:sz w:val="24"/>
                <w:szCs w:val="24"/>
              </w:rPr>
              <w:t>LT218</w:t>
            </w:r>
          </w:p>
        </w:tc>
        <w:tc>
          <w:tcPr>
            <w:tcW w:w="2417" w:type="dxa"/>
          </w:tcPr>
          <w:p>
            <w:pPr>
              <w:pStyle w:val="TableText"/>
              <w:spacing w:before="174" w:line="192" w:lineRule="exact"/>
              <w:ind w:left="1023"/>
              <w:rPr>
                <w:sz w:val="24"/>
                <w:szCs w:val="24"/>
              </w:rPr>
            </w:pPr>
            <w:r>
              <w:rPr>
                <w:spacing w:val="-7"/>
                <w:position w:val="-3"/>
                <w:sz w:val="24"/>
                <w:szCs w:val="24"/>
              </w:rPr>
              <w:t>18t</w:t>
            </w:r>
          </w:p>
        </w:tc>
        <w:tc>
          <w:tcPr>
            <w:tcW w:w="1408" w:type="dxa"/>
          </w:tcPr>
          <w:p>
            <w:pPr>
              <w:pStyle w:val="TableText"/>
              <w:spacing w:before="174" w:line="192" w:lineRule="exact"/>
              <w:ind w:left="635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1</w:t>
            </w:r>
          </w:p>
        </w:tc>
        <w:tc>
          <w:tcPr>
            <w:tcW w:w="1833" w:type="dxa"/>
          </w:tcPr>
          <w:p>
            <w:pPr>
              <w:pStyle w:val="TableText"/>
              <w:spacing w:before="134" w:line="179" w:lineRule="auto"/>
              <w:ind w:left="547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已进场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1"/>
        </w:trPr>
        <w:tc>
          <w:tcPr>
            <w:tcW w:w="844" w:type="dxa"/>
          </w:tcPr>
          <w:p>
            <w:pPr>
              <w:pStyle w:val="TableText"/>
              <w:spacing w:before="197" w:line="193" w:lineRule="exact"/>
              <w:ind w:left="295"/>
              <w:rPr>
                <w:sz w:val="24"/>
                <w:szCs w:val="24"/>
              </w:rPr>
            </w:pPr>
            <w:r>
              <w:rPr>
                <w:spacing w:val="-7"/>
                <w:position w:val="-3"/>
                <w:sz w:val="24"/>
                <w:szCs w:val="24"/>
              </w:rPr>
              <w:t>11</w:t>
            </w:r>
          </w:p>
        </w:tc>
        <w:tc>
          <w:tcPr>
            <w:tcW w:w="1399" w:type="dxa"/>
          </w:tcPr>
          <w:p>
            <w:pPr>
              <w:pStyle w:val="TableText"/>
              <w:spacing w:before="136" w:line="196" w:lineRule="auto"/>
              <w:ind w:left="331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蛙夯机</w:t>
            </w:r>
          </w:p>
        </w:tc>
        <w:tc>
          <w:tcPr>
            <w:tcW w:w="1399" w:type="dxa"/>
          </w:tcPr>
          <w:p>
            <w:pPr>
              <w:pStyle w:val="TableText"/>
              <w:spacing w:before="198" w:line="192" w:lineRule="exact"/>
              <w:ind w:left="451"/>
              <w:rPr>
                <w:sz w:val="24"/>
                <w:szCs w:val="24"/>
              </w:rPr>
            </w:pPr>
            <w:r>
              <w:rPr>
                <w:spacing w:val="-1"/>
                <w:position w:val="-3"/>
                <w:sz w:val="24"/>
                <w:szCs w:val="24"/>
              </w:rPr>
              <w:t>HW60</w:t>
            </w:r>
          </w:p>
        </w:tc>
        <w:tc>
          <w:tcPr>
            <w:tcW w:w="2417" w:type="dxa"/>
          </w:tcPr>
          <w:p/>
        </w:tc>
        <w:tc>
          <w:tcPr>
            <w:tcW w:w="1408" w:type="dxa"/>
          </w:tcPr>
          <w:p>
            <w:pPr>
              <w:pStyle w:val="TableText"/>
              <w:spacing w:before="198" w:line="192" w:lineRule="exact"/>
              <w:ind w:left="635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8</w:t>
            </w:r>
          </w:p>
        </w:tc>
        <w:tc>
          <w:tcPr>
            <w:tcW w:w="1833" w:type="dxa"/>
          </w:tcPr>
          <w:p/>
        </w:tc>
      </w:tr>
    </w:tbl>
    <w:p>
      <w:pPr>
        <w:spacing w:before="209" w:line="221" w:lineRule="auto"/>
        <w:ind w:left="118"/>
        <w:outlineLvl w:val="0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b/>
          <w:bCs/>
          <w:spacing w:val="-7"/>
          <w:sz w:val="24"/>
          <w:szCs w:val="24"/>
        </w:rPr>
        <w:t>3、坝体填筑施工方案</w:t>
      </w:r>
    </w:p>
    <w:p>
      <w:pPr>
        <w:pStyle w:val="BodyText"/>
        <w:spacing w:line="291" w:lineRule="auto"/>
      </w:pPr>
    </w:p>
    <w:p>
      <w:pPr>
        <w:spacing w:before="81" w:line="211" w:lineRule="auto"/>
        <w:ind w:left="127"/>
        <w:outlineLvl w:val="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b/>
          <w:bCs/>
          <w:i/>
          <w:iCs/>
          <w:spacing w:val="-9"/>
          <w:sz w:val="25"/>
          <w:szCs w:val="25"/>
        </w:rPr>
        <w:t>3.1料场开采施工措施</w:t>
      </w:r>
    </w:p>
    <w:p>
      <w:pPr>
        <w:pStyle w:val="BodyText"/>
        <w:spacing w:line="289" w:lineRule="auto"/>
      </w:pPr>
    </w:p>
    <w:p>
      <w:pPr>
        <w:spacing w:before="78" w:line="220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7"/>
          <w:sz w:val="24"/>
          <w:szCs w:val="24"/>
        </w:rPr>
        <w:t>3.1.1</w:t>
      </w:r>
      <w:r>
        <w:rPr>
          <w:rFonts w:ascii="宋体" w:eastAsia="宋体" w:hAnsi="宋体" w:cs="宋体"/>
          <w:spacing w:val="-25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7"/>
          <w:sz w:val="24"/>
          <w:szCs w:val="24"/>
        </w:rPr>
        <w:t>施工程序</w:t>
      </w:r>
    </w:p>
    <w:p>
      <w:pPr>
        <w:pStyle w:val="BodyText"/>
        <w:spacing w:line="273" w:lineRule="auto"/>
      </w:pPr>
    </w:p>
    <w:p>
      <w:pPr>
        <w:spacing w:before="78" w:line="219" w:lineRule="auto"/>
        <w:ind w:left="5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料场取料施工程序为：地形测量→清表→料场分层开</w:t>
      </w:r>
      <w:r>
        <w:rPr>
          <w:rFonts w:ascii="宋体" w:eastAsia="宋体" w:hAnsi="宋体" w:cs="宋体"/>
          <w:spacing w:val="-2"/>
          <w:sz w:val="24"/>
          <w:szCs w:val="24"/>
        </w:rPr>
        <w:t>挖→运送至回填区。</w:t>
      </w:r>
    </w:p>
    <w:p>
      <w:pPr>
        <w:pStyle w:val="BodyText"/>
        <w:spacing w:line="285" w:lineRule="auto"/>
      </w:pPr>
    </w:p>
    <w:p>
      <w:pPr>
        <w:spacing w:before="78" w:line="220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8"/>
          <w:sz w:val="24"/>
          <w:szCs w:val="24"/>
        </w:rPr>
        <w:t>3.1.2清表施工措施</w:t>
      </w:r>
    </w:p>
    <w:p>
      <w:pPr>
        <w:pStyle w:val="BodyText"/>
        <w:spacing w:line="283" w:lineRule="auto"/>
      </w:pPr>
    </w:p>
    <w:p>
      <w:pPr>
        <w:spacing w:before="79" w:line="219" w:lineRule="auto"/>
        <w:ind w:left="5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清表包括植被清理和表土清挖，清表范围应至少延伸至施工区域边线外侧3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距离。</w:t>
      </w:r>
    </w:p>
    <w:p>
      <w:pPr>
        <w:pStyle w:val="BodyText"/>
        <w:spacing w:line="294" w:lineRule="auto"/>
      </w:pPr>
    </w:p>
    <w:p>
      <w:pPr>
        <w:spacing w:before="78" w:line="641" w:lineRule="exact"/>
        <w:ind w:left="5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4"/>
          <w:position w:val="31"/>
          <w:sz w:val="24"/>
          <w:szCs w:val="24"/>
        </w:rPr>
        <w:t>植被清理重要清除施工区域内的杂草、树木(含树根)、灌木等，树木采用人工砍</w:t>
      </w:r>
    </w:p>
    <w:p>
      <w:pPr>
        <w:spacing w:line="219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伐或移植，树根用1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m³ </w:t>
      </w:r>
      <w:r>
        <w:rPr>
          <w:rFonts w:ascii="宋体" w:eastAsia="宋体" w:hAnsi="宋体" w:cs="宋体"/>
          <w:spacing w:val="-1"/>
          <w:sz w:val="24"/>
          <w:szCs w:val="24"/>
        </w:rPr>
        <w:t>反铲逐一挖出。</w:t>
      </w:r>
    </w:p>
    <w:p>
      <w:pPr>
        <w:pStyle w:val="BodyText"/>
        <w:spacing w:line="294" w:lineRule="auto"/>
      </w:pPr>
    </w:p>
    <w:p>
      <w:pPr>
        <w:spacing w:before="79" w:line="660" w:lineRule="exact"/>
        <w:ind w:left="5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position w:val="32"/>
          <w:sz w:val="24"/>
          <w:szCs w:val="24"/>
        </w:rPr>
        <w:t>表土清挖系指含细根须、草本植物及覆盖草等植物的表层有机土壤</w:t>
      </w:r>
      <w:r>
        <w:rPr>
          <w:rFonts w:ascii="宋体" w:eastAsia="宋体" w:hAnsi="宋体" w:cs="宋体"/>
          <w:spacing w:val="-3"/>
          <w:position w:val="32"/>
          <w:sz w:val="24"/>
          <w:szCs w:val="24"/>
        </w:rPr>
        <w:t>，即植物土，采</w:t>
      </w:r>
    </w:p>
    <w:p>
      <w:pPr>
        <w:spacing w:before="1" w:line="218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2"/>
          <w:sz w:val="24"/>
          <w:szCs w:val="24"/>
        </w:rPr>
        <w:t>用推土机刮除，清除深度应为30~50</w:t>
      </w:r>
      <w:r>
        <w:rPr>
          <w:rFonts w:ascii="Times New Roman" w:eastAsia="Times New Roman" w:hAnsi="Times New Roman" w:cs="Times New Roman"/>
          <w:sz w:val="24"/>
          <w:szCs w:val="24"/>
        </w:rPr>
        <w:t>cm</w:t>
      </w:r>
      <w:r>
        <w:rPr>
          <w:rFonts w:ascii="宋体" w:eastAsia="宋体" w:hAnsi="宋体" w:cs="宋体"/>
          <w:spacing w:val="2"/>
          <w:sz w:val="24"/>
          <w:szCs w:val="24"/>
        </w:rPr>
        <w:t>。</w:t>
      </w:r>
    </w:p>
    <w:p>
      <w:pPr>
        <w:pStyle w:val="BodyText"/>
        <w:spacing w:line="266" w:lineRule="auto"/>
      </w:pPr>
    </w:p>
    <w:p>
      <w:pPr>
        <w:spacing w:before="78" w:line="651" w:lineRule="exact"/>
        <w:ind w:left="5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position w:val="31"/>
          <w:sz w:val="24"/>
          <w:szCs w:val="24"/>
        </w:rPr>
        <w:t>植被清理和表土清挖采用推土机集中成条堆放，在料场取料完</w:t>
      </w:r>
      <w:r>
        <w:rPr>
          <w:rFonts w:ascii="宋体" w:eastAsia="宋体" w:hAnsi="宋体" w:cs="宋体"/>
          <w:spacing w:val="-2"/>
          <w:position w:val="31"/>
          <w:sz w:val="24"/>
          <w:szCs w:val="24"/>
        </w:rPr>
        <w:t>毕后填于料场底部。</w:t>
      </w:r>
    </w:p>
    <w:p>
      <w:pPr>
        <w:spacing w:line="220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5"/>
          <w:sz w:val="24"/>
          <w:szCs w:val="24"/>
        </w:rPr>
        <w:t>3.1.3</w:t>
      </w:r>
      <w:r>
        <w:rPr>
          <w:rFonts w:ascii="宋体" w:eastAsia="宋体" w:hAnsi="宋体" w:cs="宋体"/>
          <w:spacing w:val="25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5"/>
          <w:sz w:val="24"/>
          <w:szCs w:val="24"/>
        </w:rPr>
        <w:t>开挖施工措施</w:t>
      </w:r>
    </w:p>
    <w:p>
      <w:pPr>
        <w:pStyle w:val="BodyText"/>
        <w:spacing w:line="292" w:lineRule="auto"/>
      </w:pPr>
    </w:p>
    <w:p>
      <w:pPr>
        <w:spacing w:before="79" w:line="219" w:lineRule="auto"/>
        <w:ind w:left="5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(1)土料开采时，先采用推土机配合装载机，将开采部位的表土及无用层剥离。</w:t>
      </w:r>
    </w:p>
    <w:p>
      <w:pPr>
        <w:pStyle w:val="BodyText"/>
        <w:spacing w:line="286" w:lineRule="auto"/>
      </w:pPr>
    </w:p>
    <w:p>
      <w:pPr>
        <w:spacing w:before="78" w:line="660" w:lineRule="exact"/>
        <w:ind w:left="5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"/>
          <w:position w:val="32"/>
          <w:sz w:val="24"/>
          <w:szCs w:val="24"/>
        </w:rPr>
        <w:t>(2)取土采用自上而下分层开挖的施工措施，反铲、装载机分层挖装，自卸汽车运</w:t>
      </w:r>
    </w:p>
    <w:p>
      <w:pPr>
        <w:spacing w:before="1" w:line="219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"/>
          <w:sz w:val="24"/>
          <w:szCs w:val="24"/>
        </w:rPr>
        <w:t>送的施工措施。分层厚度为3～4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宋体" w:eastAsia="宋体" w:hAnsi="宋体" w:cs="宋体"/>
          <w:spacing w:val="1"/>
          <w:sz w:val="24"/>
          <w:szCs w:val="24"/>
        </w:rPr>
        <w:t>。</w:t>
      </w:r>
    </w:p>
    <w:p>
      <w:pPr>
        <w:pStyle w:val="BodyText"/>
        <w:spacing w:line="274" w:lineRule="auto"/>
      </w:pPr>
    </w:p>
    <w:p>
      <w:pPr>
        <w:spacing w:before="78" w:line="500" w:lineRule="auto"/>
        <w:ind w:left="115" w:right="151" w:firstLine="4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"/>
          <w:sz w:val="24"/>
          <w:szCs w:val="24"/>
        </w:rPr>
        <w:t>(3)结合储料特点性质、设备型号能力、填筑时段品质规定及环境气候等原因，采</w:t>
      </w:r>
      <w:r>
        <w:rPr>
          <w:rFonts w:ascii="宋体" w:eastAsia="宋体" w:hAnsi="宋体" w:cs="宋体"/>
          <w:spacing w:val="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用立面或平面开采。如：当土料场通过设置排水沟等措施，使天然含水量靠近或略</w:t>
      </w:r>
      <w:r>
        <w:rPr>
          <w:rFonts w:ascii="宋体" w:eastAsia="宋体" w:hAnsi="宋体" w:cs="宋体"/>
          <w:spacing w:val="-3"/>
          <w:sz w:val="24"/>
          <w:szCs w:val="24"/>
        </w:rPr>
        <w:t>不不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小于施工控制的含水量下限时，则宜采用立面开采；假如天然含水量偏大，则采</w:t>
      </w:r>
      <w:r>
        <w:rPr>
          <w:rFonts w:ascii="宋体" w:eastAsia="宋体" w:hAnsi="宋体" w:cs="宋体"/>
          <w:spacing w:val="-3"/>
          <w:sz w:val="24"/>
          <w:szCs w:val="24"/>
        </w:rPr>
        <w:t>用平面</w:t>
      </w:r>
    </w:p>
    <w:p>
      <w:pPr>
        <w:spacing w:before="1" w:line="218" w:lineRule="auto"/>
        <w:ind w:left="11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1"/>
          <w:sz w:val="24"/>
          <w:szCs w:val="24"/>
        </w:rPr>
        <w:t>开采。</w:t>
      </w:r>
    </w:p>
    <w:p>
      <w:pPr>
        <w:pStyle w:val="BodyText"/>
        <w:spacing w:line="287" w:lineRule="auto"/>
      </w:pPr>
    </w:p>
    <w:p>
      <w:pPr>
        <w:spacing w:before="78" w:line="219" w:lineRule="auto"/>
        <w:ind w:left="5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根据我部对料场土料的勘察取样试验，除坝上土料场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C </w:t>
      </w:r>
      <w:r>
        <w:rPr>
          <w:rFonts w:ascii="宋体" w:eastAsia="宋体" w:hAnsi="宋体" w:cs="宋体"/>
          <w:spacing w:val="-1"/>
          <w:sz w:val="24"/>
          <w:szCs w:val="24"/>
        </w:rPr>
        <w:t>区外，</w:t>
      </w:r>
      <w:r>
        <w:rPr>
          <w:rFonts w:ascii="宋体" w:eastAsia="宋体" w:hAnsi="宋体" w:cs="宋体"/>
          <w:spacing w:val="-2"/>
          <w:sz w:val="24"/>
          <w:szCs w:val="24"/>
        </w:rPr>
        <w:t>其他料场土料天然含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  <w:sectPr>
          <w:pgSz w:w="11910" w:h="16840"/>
          <w:pgMar w:top="1425" w:right="1014" w:bottom="0" w:left="1584" w:header="0" w:footer="0" w:gutter="0"/>
          <w:pgNumType w:start="7"/>
          <w:cols w:space="708"/>
        </w:sectPr>
      </w:pPr>
    </w:p>
    <w:p>
      <w:pPr>
        <w:spacing w:before="196" w:line="219" w:lineRule="auto"/>
        <w:rPr>
          <w:rFonts w:ascii="宋体" w:eastAsia="宋体" w:hAnsi="宋体" w:cs="宋体"/>
          <w:sz w:val="23"/>
          <w:szCs w:val="23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25" type="#_x0000_t202" style="width:11.65pt;height:105.8pt;margin-top:238.55pt;margin-left:143.35pt;mso-position-horizontal-relative:page;mso-position-vertical-relative:page;position:absolute;z-index:251658240" o:allowincell="f" filled="f" stroked="f">
            <o:lock v:ext="edit" aspectratio="f"/>
            <v:textbox style="layout-flow:vertical-ideographic" inset="0,0,0,0">
              <w:txbxContent>
                <w:p>
                  <w:pPr>
                    <w:spacing w:before="20" w:line="216" w:lineRule="auto"/>
                    <w:ind w:left="20"/>
                    <w:rPr>
                      <w:rFonts w:ascii="宋体" w:eastAsia="宋体" w:hAnsi="宋体" w:cs="宋体"/>
                      <w:sz w:val="16"/>
                      <w:szCs w:val="16"/>
                    </w:rPr>
                  </w:pP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合</w:t>
                  </w:r>
                  <w:r>
                    <w:rPr>
                      <w:rFonts w:ascii="宋体" w:eastAsia="宋体" w:hAnsi="宋体" w:cs="宋体"/>
                      <w:spacing w:val="-28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格</w:t>
                  </w:r>
                  <w:r>
                    <w:rPr>
                      <w:rFonts w:ascii="宋体" w:eastAsia="宋体" w:hAnsi="宋体" w:cs="宋体"/>
                      <w:spacing w:val="-28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、</w:t>
                  </w:r>
                  <w:r>
                    <w:rPr>
                      <w:rFonts w:ascii="宋体" w:eastAsia="宋体" w:hAnsi="宋体" w:cs="宋体"/>
                      <w:spacing w:val="-2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转</w:t>
                  </w:r>
                  <w:r>
                    <w:rPr>
                      <w:rFonts w:ascii="宋体" w:eastAsia="宋体" w:hAnsi="宋体" w:cs="宋体"/>
                      <w:spacing w:val="-2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入</w:t>
                  </w:r>
                  <w:r>
                    <w:rPr>
                      <w:rFonts w:ascii="宋体" w:eastAsia="宋体" w:hAnsi="宋体" w:cs="宋体"/>
                      <w:spacing w:val="-28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下</w:t>
                  </w:r>
                  <w:r>
                    <w:rPr>
                      <w:rFonts w:ascii="宋体" w:eastAsia="宋体" w:hAnsi="宋体" w:cs="宋体"/>
                      <w:spacing w:val="-2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一</w:t>
                  </w:r>
                  <w:r>
                    <w:rPr>
                      <w:rFonts w:ascii="宋体" w:eastAsia="宋体" w:hAnsi="宋体" w:cs="宋体"/>
                      <w:spacing w:val="-2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层</w:t>
                  </w:r>
                  <w:r>
                    <w:rPr>
                      <w:rFonts w:ascii="宋体" w:eastAsia="宋体" w:hAnsi="宋体" w:cs="宋体"/>
                      <w:spacing w:val="-2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施</w:t>
                  </w:r>
                  <w:r>
                    <w:rPr>
                      <w:rFonts w:ascii="宋体" w:eastAsia="宋体" w:hAnsi="宋体" w:cs="宋体"/>
                      <w:spacing w:val="-2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工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spacing w:val="8"/>
          <w:sz w:val="23"/>
          <w:szCs w:val="23"/>
        </w:rPr>
        <w:t>水量均略低于最优含水量，在土料开采过程中</w:t>
      </w:r>
      <w:r>
        <w:rPr>
          <w:rFonts w:ascii="宋体" w:eastAsia="宋体" w:hAnsi="宋体" w:cs="宋体"/>
          <w:spacing w:val="7"/>
          <w:sz w:val="23"/>
          <w:szCs w:val="23"/>
        </w:rPr>
        <w:t>必须按上述原则进行开采。</w:t>
      </w:r>
    </w:p>
    <w:p>
      <w:pPr>
        <w:pStyle w:val="BodyText"/>
        <w:spacing w:line="281" w:lineRule="auto"/>
      </w:pPr>
    </w:p>
    <w:p>
      <w:pPr>
        <w:spacing w:before="74" w:line="661" w:lineRule="exact"/>
        <w:ind w:left="47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7"/>
          <w:position w:val="33"/>
          <w:sz w:val="23"/>
          <w:szCs w:val="23"/>
        </w:rPr>
        <w:t>(4)土场取料完毕后，开挖面用 D85 推土机进行合适平整，形成一定坡势，防止积</w:t>
      </w:r>
    </w:p>
    <w:p>
      <w:pPr>
        <w:spacing w:line="219" w:lineRule="auto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4"/>
          <w:sz w:val="23"/>
          <w:szCs w:val="23"/>
        </w:rPr>
        <w:t>水和冲刷导致边坡失稳和水土流失。</w:t>
      </w:r>
    </w:p>
    <w:p>
      <w:pPr>
        <w:pStyle w:val="BodyText"/>
        <w:spacing w:line="304" w:lineRule="auto"/>
      </w:pPr>
    </w:p>
    <w:p>
      <w:pPr>
        <w:spacing w:before="78" w:line="212" w:lineRule="auto"/>
        <w:ind w:left="11"/>
        <w:outlineLvl w:val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i/>
          <w:iCs/>
          <w:spacing w:val="-1"/>
          <w:sz w:val="24"/>
          <w:szCs w:val="24"/>
        </w:rPr>
        <w:t>3.2填筑施工工序流程图</w:t>
      </w:r>
    </w:p>
    <w:p>
      <w:pPr>
        <w:spacing w:before="22"/>
      </w:pPr>
    </w:p>
    <w:p>
      <w:pPr>
        <w:spacing w:before="22"/>
      </w:pPr>
    </w:p>
    <w:p>
      <w:pPr>
        <w:sectPr>
          <w:pgSz w:w="11910" w:h="16840"/>
          <w:pgMar w:top="1431" w:right="1080" w:bottom="0" w:left="1700" w:header="0" w:footer="0" w:gutter="0"/>
          <w:pgNumType w:start="8"/>
          <w:cols w:space="708"/>
        </w:sectPr>
      </w:pPr>
    </w:p>
    <w:p/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2989" w:lineRule="exact"/>
      </w:pPr>
      <w:r>
        <w:rPr>
          <w:position w:val="-59"/>
        </w:rPr>
        <w:pict>
          <v:group id="组合 3" o:spid="_x0000_i1026" style="width:315.55pt;height:149.5pt;mso-position-horizontal-relative:char;mso-position-vertical-relative:line" coordorigin="0,0" coordsize="6310,299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图片 4" o:spid="_x0000_s1027" type="#_x0000_t75" style="width:6310;height:2990;position:absolute" filled="f" stroked="f">
              <v:imagedata r:id="rId4" o:title=""/>
              <v:path o:extrusionok="f"/>
              <o:lock v:ext="edit" aspectratio="t"/>
            </v:shape>
            <v:shape id="文本框 5" o:spid="_x0000_s1028" type="#_x0000_t202" style="width:3808;height:2750;left:870;position:absolute;top:109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eastAsia="宋体" w:hAnsi="宋体" w:cs="宋体"/>
                        <w:spacing w:val="9"/>
                        <w:sz w:val="23"/>
                        <w:szCs w:val="23"/>
                      </w:rPr>
                      <w:t>填筑区段施工测量放样</w:t>
                    </w:r>
                  </w:p>
                  <w:p/>
                  <w:p>
                    <w:pPr>
                      <w:spacing w:before="75" w:line="219" w:lineRule="auto"/>
                      <w:ind w:left="20"/>
                      <w:rPr>
                        <w:rFonts w:ascii="宋体" w:eastAsia="宋体" w:hAnsi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eastAsia="宋体" w:hAnsi="宋体" w:cs="宋体"/>
                        <w:spacing w:val="-12"/>
                        <w:sz w:val="23"/>
                        <w:szCs w:val="23"/>
                      </w:rPr>
                      <w:t>设置填筑层高、边线标识</w:t>
                    </w:r>
                  </w:p>
                  <w:p>
                    <w:pPr>
                      <w:spacing w:line="270" w:lineRule="auto"/>
                    </w:pPr>
                  </w:p>
                  <w:p>
                    <w:pPr>
                      <w:spacing w:before="75" w:line="219" w:lineRule="auto"/>
                      <w:ind w:left="109"/>
                      <w:rPr>
                        <w:rFonts w:ascii="宋体" w:eastAsia="宋体" w:hAnsi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eastAsia="宋体" w:hAnsi="宋体" w:cs="宋体"/>
                        <w:spacing w:val="-10"/>
                        <w:sz w:val="23"/>
                        <w:szCs w:val="23"/>
                      </w:rPr>
                      <w:t>卸</w:t>
                    </w:r>
                    <w:r>
                      <w:rPr>
                        <w:rFonts w:ascii="宋体" w:eastAsia="宋体" w:hAnsi="宋体" w:cs="宋体"/>
                        <w:spacing w:val="22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0"/>
                        <w:sz w:val="23"/>
                        <w:szCs w:val="23"/>
                      </w:rPr>
                      <w:t>料</w:t>
                    </w:r>
                    <w:r>
                      <w:rPr>
                        <w:rFonts w:ascii="宋体" w:eastAsia="宋体" w:hAnsi="宋体" w:cs="宋体"/>
                        <w:spacing w:val="37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0"/>
                        <w:sz w:val="23"/>
                        <w:szCs w:val="23"/>
                      </w:rPr>
                      <w:t>、 平</w:t>
                    </w:r>
                    <w:r>
                      <w:rPr>
                        <w:rFonts w:ascii="宋体" w:eastAsia="宋体" w:hAnsi="宋体" w:cs="宋体"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0"/>
                        <w:sz w:val="23"/>
                        <w:szCs w:val="23"/>
                      </w:rPr>
                      <w:t>料</w:t>
                    </w:r>
                    <w:r>
                      <w:rPr>
                        <w:rFonts w:ascii="宋体" w:eastAsia="宋体" w:hAnsi="宋体" w:cs="宋体"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0"/>
                        <w:sz w:val="23"/>
                        <w:szCs w:val="23"/>
                      </w:rPr>
                      <w:t>摊</w:t>
                    </w:r>
                    <w:r>
                      <w:rPr>
                        <w:rFonts w:ascii="宋体" w:eastAsia="宋体" w:hAnsi="宋体" w:cs="宋体"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0"/>
                        <w:sz w:val="23"/>
                        <w:szCs w:val="23"/>
                      </w:rPr>
                      <w:t>铺</w:t>
                    </w:r>
                  </w:p>
                  <w:p>
                    <w:pPr>
                      <w:spacing w:line="279" w:lineRule="auto"/>
                    </w:pPr>
                  </w:p>
                  <w:p>
                    <w:pPr>
                      <w:spacing w:before="75" w:line="230" w:lineRule="auto"/>
                      <w:ind w:left="20"/>
                      <w:rPr>
                        <w:rFonts w:ascii="宋体" w:eastAsia="宋体" w:hAnsi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eastAsia="宋体" w:hAnsi="宋体" w:cs="宋体"/>
                        <w:spacing w:val="-9"/>
                        <w:sz w:val="23"/>
                        <w:szCs w:val="23"/>
                      </w:rPr>
                      <w:t>洒</w:t>
                    </w:r>
                    <w:r>
                      <w:rPr>
                        <w:rFonts w:ascii="宋体" w:eastAsia="宋体" w:hAnsi="宋体" w:cs="宋体"/>
                        <w:spacing w:val="42"/>
                        <w:sz w:val="23"/>
                        <w:szCs w:val="23"/>
                      </w:rPr>
                      <w:t xml:space="preserve">  </w:t>
                    </w:r>
                    <w:r>
                      <w:rPr>
                        <w:rFonts w:ascii="宋体" w:eastAsia="宋体" w:hAnsi="宋体" w:cs="宋体"/>
                        <w:spacing w:val="-9"/>
                        <w:sz w:val="23"/>
                        <w:szCs w:val="23"/>
                      </w:rPr>
                      <w:t>水</w:t>
                    </w:r>
                    <w:r>
                      <w:rPr>
                        <w:rFonts w:ascii="宋体" w:eastAsia="宋体" w:hAnsi="宋体" w:cs="宋体"/>
                        <w:spacing w:val="1"/>
                        <w:sz w:val="23"/>
                        <w:szCs w:val="23"/>
                      </w:rPr>
                      <w:t xml:space="preserve">        </w:t>
                    </w:r>
                    <w:r>
                      <w:rPr>
                        <w:rFonts w:ascii="宋体" w:eastAsia="宋体" w:hAnsi="宋体" w:cs="宋体"/>
                        <w:spacing w:val="-9"/>
                        <w:sz w:val="23"/>
                        <w:szCs w:val="23"/>
                      </w:rPr>
                      <w:t>碾</w:t>
                    </w:r>
                    <w:r>
                      <w:rPr>
                        <w:rFonts w:ascii="宋体" w:eastAsia="宋体" w:hAnsi="宋体" w:cs="宋体"/>
                        <w:spacing w:val="41"/>
                        <w:sz w:val="23"/>
                        <w:szCs w:val="23"/>
                      </w:rPr>
                      <w:t xml:space="preserve">  </w:t>
                    </w:r>
                    <w:r>
                      <w:rPr>
                        <w:rFonts w:ascii="宋体" w:eastAsia="宋体" w:hAnsi="宋体" w:cs="宋体"/>
                        <w:spacing w:val="-9"/>
                        <w:sz w:val="23"/>
                        <w:szCs w:val="23"/>
                      </w:rPr>
                      <w:t>压</w:t>
                    </w:r>
                  </w:p>
                  <w:p>
                    <w:pPr>
                      <w:spacing w:before="34" w:line="219" w:lineRule="auto"/>
                      <w:jc w:val="right"/>
                      <w:rPr>
                        <w:rFonts w:ascii="宋体" w:eastAsia="宋体" w:hAnsi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eastAsia="宋体" w:hAnsi="宋体" w:cs="宋体"/>
                        <w:spacing w:val="-25"/>
                        <w:w w:val="96"/>
                        <w:sz w:val="23"/>
                        <w:szCs w:val="23"/>
                      </w:rPr>
                      <w:t>不合</w:t>
                    </w:r>
                    <w:r>
                      <w:rPr>
                        <w:rFonts w:ascii="宋体" w:eastAsia="宋体" w:hAnsi="宋体" w:cs="宋体"/>
                        <w:spacing w:val="-10"/>
                        <w:w w:val="96"/>
                        <w:sz w:val="23"/>
                        <w:szCs w:val="23"/>
                      </w:rPr>
                      <w:t>格</w:t>
                    </w:r>
                  </w:p>
                  <w:p>
                    <w:pPr>
                      <w:spacing w:before="47" w:line="219" w:lineRule="auto"/>
                      <w:ind w:left="20"/>
                      <w:rPr>
                        <w:rFonts w:ascii="宋体" w:eastAsia="宋体" w:hAnsi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eastAsia="宋体" w:hAnsi="宋体" w:cs="宋体"/>
                        <w:spacing w:val="-15"/>
                        <w:sz w:val="23"/>
                        <w:szCs w:val="23"/>
                      </w:rPr>
                      <w:t>质</w:t>
                    </w:r>
                    <w:r>
                      <w:rPr>
                        <w:rFonts w:ascii="宋体" w:eastAsia="宋体" w:hAnsi="宋体" w:cs="宋体"/>
                        <w:spacing w:val="36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5"/>
                        <w:sz w:val="23"/>
                        <w:szCs w:val="23"/>
                      </w:rPr>
                      <w:t>量</w:t>
                    </w:r>
                    <w:r>
                      <w:rPr>
                        <w:rFonts w:ascii="宋体" w:eastAsia="宋体" w:hAnsi="宋体" w:cs="宋体"/>
                        <w:spacing w:val="32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5"/>
                        <w:sz w:val="23"/>
                        <w:szCs w:val="23"/>
                      </w:rPr>
                      <w:t>检</w:t>
                    </w:r>
                    <w:r>
                      <w:rPr>
                        <w:rFonts w:ascii="宋体" w:eastAsia="宋体" w:hAnsi="宋体" w:cs="宋体"/>
                        <w:spacing w:val="46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5"/>
                        <w:sz w:val="23"/>
                        <w:szCs w:val="23"/>
                      </w:rPr>
                      <w:t>查</w:t>
                    </w:r>
                    <w:r>
                      <w:rPr>
                        <w:rFonts w:ascii="宋体" w:eastAsia="宋体" w:hAnsi="宋体" w:cs="宋体"/>
                        <w:spacing w:val="36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5"/>
                        <w:sz w:val="23"/>
                        <w:szCs w:val="23"/>
                      </w:rPr>
                      <w:t>、</w:t>
                    </w:r>
                    <w:r>
                      <w:rPr>
                        <w:rFonts w:ascii="宋体" w:eastAsia="宋体" w:hAnsi="宋体" w:cs="宋体"/>
                        <w:spacing w:val="3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5"/>
                        <w:sz w:val="23"/>
                        <w:szCs w:val="23"/>
                      </w:rPr>
                      <w:t>验</w:t>
                    </w:r>
                    <w:r>
                      <w:rPr>
                        <w:rFonts w:ascii="宋体" w:eastAsia="宋体" w:hAnsi="宋体" w:cs="宋体"/>
                        <w:spacing w:val="29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5"/>
                        <w:sz w:val="23"/>
                        <w:szCs w:val="23"/>
                      </w:rPr>
                      <w:t>收</w:t>
                    </w:r>
                  </w:p>
                </w:txbxContent>
              </v:textbox>
            </v:shape>
            <v:shape id="文本框 6" o:spid="_x0000_s1029" type="#_x0000_t202" style="width:2073;height:890;left:4029;position:absolute;top:719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eastAsia="宋体" w:hAnsi="宋体" w:cs="宋体"/>
                        <w:spacing w:val="-5"/>
                        <w:sz w:val="23"/>
                        <w:szCs w:val="23"/>
                      </w:rPr>
                      <w:t>填筑部位基础面验收</w:t>
                    </w:r>
                  </w:p>
                  <w:p>
                    <w:pPr>
                      <w:spacing w:line="271" w:lineRule="auto"/>
                    </w:pPr>
                  </w:p>
                  <w:p>
                    <w:pPr>
                      <w:spacing w:before="75" w:line="220" w:lineRule="auto"/>
                      <w:jc w:val="right"/>
                      <w:rPr>
                        <w:rFonts w:ascii="宋体" w:eastAsia="宋体" w:hAnsi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eastAsia="宋体" w:hAnsi="宋体" w:cs="宋体"/>
                        <w:spacing w:val="-21"/>
                        <w:w w:val="97"/>
                        <w:sz w:val="23"/>
                        <w:szCs w:val="23"/>
                      </w:rPr>
                      <w:t>填筑料挖</w:t>
                    </w:r>
                    <w:r>
                      <w:rPr>
                        <w:rFonts w:ascii="宋体" w:eastAsia="宋体" w:hAnsi="宋体" w:cs="宋体"/>
                        <w:spacing w:val="-20"/>
                        <w:w w:val="97"/>
                        <w:sz w:val="23"/>
                        <w:szCs w:val="23"/>
                      </w:rPr>
                      <w:t>装、运送上</w:t>
                    </w:r>
                    <w:r>
                      <w:rPr>
                        <w:rFonts w:ascii="宋体" w:eastAsia="宋体" w:hAnsi="宋体" w:cs="宋体"/>
                        <w:spacing w:val="-16"/>
                        <w:w w:val="97"/>
                        <w:sz w:val="23"/>
                        <w:szCs w:val="23"/>
                      </w:rPr>
                      <w:t>坝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before="110" w:line="184" w:lineRule="auto"/>
        <w:ind w:left="1380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4"/>
          <w:sz w:val="23"/>
          <w:szCs w:val="23"/>
        </w:rPr>
        <w:t>分层填筑施工工序框图</w:t>
      </w:r>
    </w:p>
    <w:p>
      <w:pPr>
        <w:spacing w:line="184" w:lineRule="auto"/>
        <w:rPr>
          <w:rFonts w:ascii="宋体" w:eastAsia="宋体" w:hAnsi="宋体" w:cs="宋体"/>
          <w:sz w:val="23"/>
          <w:szCs w:val="23"/>
        </w:rPr>
        <w:sectPr>
          <w:type w:val="continuous"/>
          <w:pgSz w:w="11910" w:h="16840"/>
          <w:pgMar w:top="1431" w:right="1080" w:bottom="0" w:left="1700" w:header="0" w:footer="0" w:gutter="0"/>
          <w:pgNumType w:start="9"/>
          <w:cols w:num="2" w:space="100" w:equalWidth="0">
            <w:col w:w="1440" w:space="100"/>
            <w:col w:w="7590" w:space="0"/>
          </w:cols>
        </w:sectPr>
      </w:pPr>
    </w:p>
    <w:p>
      <w:pPr>
        <w:spacing w:before="258" w:line="212" w:lineRule="auto"/>
        <w:ind w:left="11"/>
        <w:outlineLvl w:val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i/>
          <w:iCs/>
          <w:sz w:val="24"/>
          <w:szCs w:val="24"/>
        </w:rPr>
        <w:t>3.3防渗土料填筑</w:t>
      </w:r>
    </w:p>
    <w:p>
      <w:pPr>
        <w:pStyle w:val="BodyText"/>
        <w:spacing w:line="289" w:lineRule="auto"/>
      </w:pPr>
    </w:p>
    <w:p>
      <w:pPr>
        <w:spacing w:before="75" w:line="522" w:lineRule="auto"/>
        <w:ind w:right="88" w:firstLine="479"/>
        <w:jc w:val="both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1"/>
          <w:sz w:val="23"/>
          <w:szCs w:val="23"/>
        </w:rPr>
        <w:t>(1)防渗土料与坝基结合部位铺土前，先将坝基洒水</w:t>
      </w:r>
      <w:r>
        <w:rPr>
          <w:rFonts w:ascii="宋体" w:eastAsia="宋体" w:hAnsi="宋体" w:cs="宋体"/>
          <w:spacing w:val="10"/>
          <w:sz w:val="23"/>
          <w:szCs w:val="23"/>
        </w:rPr>
        <w:t>压实，然后按照设计规定回填</w:t>
      </w:r>
      <w:r>
        <w:rPr>
          <w:rFonts w:ascii="宋体" w:eastAsia="宋体" w:hAnsi="宋体" w:cs="宋体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4"/>
          <w:sz w:val="23"/>
          <w:szCs w:val="23"/>
        </w:rPr>
        <w:t>一层(岸坡处为一条带)纯粘土料。铺土层厚合适减薄，并将土料含水率调至施</w:t>
      </w:r>
      <w:r>
        <w:rPr>
          <w:rFonts w:ascii="宋体" w:eastAsia="宋体" w:hAnsi="宋体" w:cs="宋体"/>
          <w:spacing w:val="13"/>
          <w:sz w:val="23"/>
          <w:szCs w:val="23"/>
        </w:rPr>
        <w:t>工含水</w:t>
      </w:r>
    </w:p>
    <w:p>
      <w:pPr>
        <w:spacing w:line="219" w:lineRule="auto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-1"/>
          <w:sz w:val="23"/>
          <w:szCs w:val="23"/>
        </w:rPr>
        <w:t>率上限。</w:t>
      </w:r>
    </w:p>
    <w:p>
      <w:pPr>
        <w:pStyle w:val="BodyText"/>
        <w:spacing w:line="299" w:lineRule="auto"/>
      </w:pPr>
    </w:p>
    <w:p>
      <w:pPr>
        <w:spacing w:before="76" w:line="524" w:lineRule="auto"/>
        <w:ind w:right="4" w:firstLine="479"/>
        <w:jc w:val="both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7"/>
          <w:sz w:val="23"/>
          <w:szCs w:val="23"/>
        </w:rPr>
        <w:t>(2)防渗土料填筑沿坝轴线方向进行，由自卸</w:t>
      </w:r>
      <w:r>
        <w:rPr>
          <w:rFonts w:ascii="宋体" w:eastAsia="宋体" w:hAnsi="宋体" w:cs="宋体"/>
          <w:spacing w:val="6"/>
          <w:sz w:val="23"/>
          <w:szCs w:val="23"/>
        </w:rPr>
        <w:t>汽车将开采的土料直接运送到填筑区，</w:t>
      </w:r>
      <w:r>
        <w:rPr>
          <w:rFonts w:ascii="宋体" w:eastAsia="宋体" w:hAnsi="宋体" w:cs="宋体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8"/>
          <w:sz w:val="23"/>
          <w:szCs w:val="23"/>
        </w:rPr>
        <w:t>采用进占法卸料。平料采用推土机进行平整，控制铺填土层厚度。土层铺</w:t>
      </w:r>
      <w:r>
        <w:rPr>
          <w:rFonts w:ascii="宋体" w:eastAsia="宋体" w:hAnsi="宋体" w:cs="宋体"/>
          <w:spacing w:val="7"/>
          <w:sz w:val="23"/>
          <w:szCs w:val="23"/>
        </w:rPr>
        <w:t>填厚度通过碾</w:t>
      </w:r>
    </w:p>
    <w:p>
      <w:pPr>
        <w:spacing w:line="212" w:lineRule="auto"/>
        <w:jc w:val="right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6"/>
          <w:sz w:val="23"/>
          <w:szCs w:val="23"/>
        </w:rPr>
        <w:t>压试验确定，采用26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6"/>
          <w:sz w:val="23"/>
          <w:szCs w:val="23"/>
        </w:rPr>
        <w:t>振动碾时，松铺厚度为40</w:t>
      </w:r>
      <w:r>
        <w:rPr>
          <w:rFonts w:ascii="Times New Roman" w:eastAsia="Times New Roman" w:hAnsi="Times New Roman" w:cs="Times New Roman"/>
          <w:sz w:val="23"/>
          <w:szCs w:val="23"/>
        </w:rPr>
        <w:t>cm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>,</w:t>
      </w:r>
      <w:r>
        <w:rPr>
          <w:rFonts w:ascii="宋体" w:eastAsia="宋体" w:hAnsi="宋体" w:cs="宋体"/>
          <w:spacing w:val="5"/>
          <w:sz w:val="23"/>
          <w:szCs w:val="23"/>
        </w:rPr>
        <w:t>采用18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5"/>
          <w:sz w:val="23"/>
          <w:szCs w:val="23"/>
        </w:rPr>
        <w:t>振动碾时，松铺厚度为30</w:t>
      </w:r>
      <w:r>
        <w:rPr>
          <w:rFonts w:ascii="Times New Roman" w:eastAsia="Times New Roman" w:hAnsi="Times New Roman" w:cs="Times New Roman"/>
          <w:sz w:val="23"/>
          <w:szCs w:val="23"/>
        </w:rPr>
        <w:t>cm</w:t>
      </w:r>
      <w:r>
        <w:rPr>
          <w:rFonts w:ascii="宋体" w:eastAsia="宋体" w:hAnsi="宋体" w:cs="宋体"/>
          <w:spacing w:val="5"/>
          <w:sz w:val="23"/>
          <w:szCs w:val="23"/>
        </w:rPr>
        <w:t>。</w:t>
      </w:r>
    </w:p>
    <w:p>
      <w:pPr>
        <w:pStyle w:val="BodyText"/>
        <w:spacing w:line="301" w:lineRule="auto"/>
      </w:pPr>
    </w:p>
    <w:p>
      <w:pPr>
        <w:spacing w:before="75" w:line="522" w:lineRule="auto"/>
        <w:ind w:right="24" w:firstLine="479"/>
        <w:jc w:val="both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1"/>
          <w:sz w:val="23"/>
          <w:szCs w:val="23"/>
        </w:rPr>
        <w:t>(3)防渗土料含水率调整重要在土料场进行。当上坝土料的含水率不小于</w:t>
      </w:r>
      <w:r>
        <w:rPr>
          <w:rFonts w:ascii="宋体" w:eastAsia="宋体" w:hAnsi="宋体" w:cs="宋体"/>
          <w:spacing w:val="10"/>
          <w:sz w:val="23"/>
          <w:szCs w:val="23"/>
        </w:rPr>
        <w:t>施工控制</w:t>
      </w:r>
      <w:r>
        <w:rPr>
          <w:rFonts w:ascii="宋体" w:eastAsia="宋体" w:hAnsi="宋体" w:cs="宋体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4"/>
          <w:sz w:val="23"/>
          <w:szCs w:val="23"/>
        </w:rPr>
        <w:t>含水率上限的1%以内时，碾压前用推土机</w:t>
      </w:r>
      <w:r>
        <w:rPr>
          <w:rFonts w:ascii="宋体" w:eastAsia="宋体" w:hAnsi="宋体" w:cs="宋体"/>
          <w:spacing w:val="13"/>
          <w:sz w:val="23"/>
          <w:szCs w:val="23"/>
        </w:rPr>
        <w:t>附设刨毛耙齿在填筑面进行翻松晾晒；上坝</w:t>
      </w:r>
      <w:r>
        <w:rPr>
          <w:rFonts w:ascii="宋体" w:eastAsia="宋体" w:hAnsi="宋体" w:cs="宋体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9"/>
          <w:sz w:val="23"/>
          <w:szCs w:val="23"/>
        </w:rPr>
        <w:t>土料的含水率低于施工控制含水率下限的1%～2%左右时，采用洒水汽车进行洒水调整，</w:t>
      </w:r>
      <w:r>
        <w:rPr>
          <w:rFonts w:ascii="宋体" w:eastAsia="宋体" w:hAnsi="宋体" w:cs="宋体"/>
          <w:spacing w:val="3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8"/>
          <w:sz w:val="23"/>
          <w:szCs w:val="23"/>
        </w:rPr>
        <w:t>局部狭小部位由人工辅助洒水。坝面加水后的土料采用推土机附设刨毛耙齿使其掺和均</w:t>
      </w:r>
    </w:p>
    <w:p>
      <w:pPr>
        <w:spacing w:before="1" w:line="184" w:lineRule="auto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8"/>
          <w:sz w:val="23"/>
          <w:szCs w:val="23"/>
        </w:rPr>
        <w:t>匀。在干燥和气温较高的天气，对铺填后的土层采用人工加水养护。</w:t>
      </w:r>
    </w:p>
    <w:p>
      <w:pPr>
        <w:spacing w:line="184" w:lineRule="auto"/>
        <w:rPr>
          <w:rFonts w:ascii="宋体" w:eastAsia="宋体" w:hAnsi="宋体" w:cs="宋体"/>
          <w:sz w:val="23"/>
          <w:szCs w:val="23"/>
        </w:rPr>
        <w:sectPr>
          <w:type w:val="continuous"/>
          <w:pgSz w:w="11910" w:h="16840"/>
          <w:pgMar w:top="1431" w:right="1080" w:bottom="0" w:left="1700" w:header="0" w:footer="0" w:gutter="0"/>
          <w:pgNumType w:start="10"/>
          <w:cols w:space="708"/>
        </w:sectPr>
      </w:pPr>
    </w:p>
    <w:p>
      <w:pPr>
        <w:spacing w:before="177" w:line="500" w:lineRule="auto"/>
        <w:ind w:right="18" w:firstLine="4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(4)防渗土料的压实采用18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 </w:t>
      </w:r>
      <w:r>
        <w:rPr>
          <w:rFonts w:ascii="宋体" w:eastAsia="宋体" w:hAnsi="宋体" w:cs="宋体"/>
          <w:sz w:val="24"/>
          <w:szCs w:val="24"/>
        </w:rPr>
        <w:t>或26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25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 xml:space="preserve">自行式振动碾沿坝轴线方向采用错距法进行，碾 </w:t>
      </w:r>
      <w:r>
        <w:rPr>
          <w:rFonts w:ascii="宋体" w:eastAsia="宋体" w:hAnsi="宋体" w:cs="宋体"/>
          <w:spacing w:val="7"/>
          <w:sz w:val="24"/>
          <w:szCs w:val="24"/>
        </w:rPr>
        <w:t>压遍数通过碾压试验确定为8遍，局部边角、料种搭接部位碾压遍数为10遍。局部狭</w:t>
      </w:r>
      <w:r>
        <w:rPr>
          <w:rFonts w:ascii="宋体" w:eastAsia="宋体" w:hAnsi="宋体" w:cs="宋体"/>
          <w:spacing w:val="14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小部位压实采用蛙夯机或平板夯贴边扎实；靠岸坡接触带粘土，采用满载的运</w:t>
      </w:r>
      <w:r>
        <w:rPr>
          <w:rFonts w:ascii="宋体" w:eastAsia="宋体" w:hAnsi="宋体" w:cs="宋体"/>
          <w:spacing w:val="-3"/>
          <w:sz w:val="24"/>
          <w:szCs w:val="24"/>
        </w:rPr>
        <w:t>料汽车或</w:t>
      </w:r>
    </w:p>
    <w:p>
      <w:pPr>
        <w:spacing w:line="218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装载机轮胎顺岸边进行压实。</w:t>
      </w:r>
    </w:p>
    <w:p>
      <w:pPr>
        <w:pStyle w:val="BodyText"/>
        <w:spacing w:line="285" w:lineRule="auto"/>
      </w:pPr>
    </w:p>
    <w:p>
      <w:pPr>
        <w:spacing w:before="78" w:line="500" w:lineRule="auto"/>
        <w:ind w:right="17" w:firstLine="4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"/>
          <w:sz w:val="24"/>
          <w:szCs w:val="24"/>
        </w:rPr>
        <w:t>(5)在填筑层压实检查合格后，下一层填</w:t>
      </w:r>
      <w:r>
        <w:rPr>
          <w:rFonts w:ascii="宋体" w:eastAsia="宋体" w:hAnsi="宋体" w:cs="宋体"/>
          <w:sz w:val="24"/>
          <w:szCs w:val="24"/>
        </w:rPr>
        <w:t xml:space="preserve">筑前，对上一层填筑表面进行刨毛处理。 </w:t>
      </w:r>
      <w:r>
        <w:rPr>
          <w:rFonts w:ascii="宋体" w:eastAsia="宋体" w:hAnsi="宋体" w:cs="宋体"/>
          <w:spacing w:val="-2"/>
          <w:sz w:val="24"/>
          <w:szCs w:val="24"/>
        </w:rPr>
        <w:t>刨毛采用推土机上附设刨毛耙齿，在填筑层面上反复行走进行刨毛，或采用凸块</w:t>
      </w:r>
      <w:r>
        <w:rPr>
          <w:rFonts w:ascii="宋体" w:eastAsia="宋体" w:hAnsi="宋体" w:cs="宋体"/>
          <w:spacing w:val="-3"/>
          <w:sz w:val="24"/>
          <w:szCs w:val="24"/>
        </w:rPr>
        <w:t>碾进行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>碾压刨毛，刨毛深度为1～2</w:t>
      </w:r>
      <w:r>
        <w:rPr>
          <w:rFonts w:ascii="宋体" w:eastAsia="宋体" w:hAnsi="宋体" w:cs="宋体"/>
          <w:sz w:val="24"/>
          <w:szCs w:val="24"/>
        </w:rPr>
        <w:t>cm</w:t>
      </w:r>
      <w:r>
        <w:rPr>
          <w:rFonts w:ascii="宋体" w:eastAsia="宋体" w:hAnsi="宋体" w:cs="宋体"/>
          <w:spacing w:val="1"/>
          <w:sz w:val="24"/>
          <w:szCs w:val="24"/>
        </w:rPr>
        <w:t>。 对填筑面进</w:t>
      </w:r>
      <w:r>
        <w:rPr>
          <w:rFonts w:ascii="宋体" w:eastAsia="宋体" w:hAnsi="宋体" w:cs="宋体"/>
          <w:sz w:val="24"/>
          <w:szCs w:val="24"/>
        </w:rPr>
        <w:t>料运送线路上散落的松土、杂物以及车辆</w:t>
      </w:r>
    </w:p>
    <w:p>
      <w:pPr>
        <w:spacing w:before="1" w:line="218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行驶、人为形成的干硬光面，在铺土前予以刨毛，并洒水湿润。</w:t>
      </w:r>
    </w:p>
    <w:p>
      <w:pPr>
        <w:pStyle w:val="BodyText"/>
        <w:spacing w:line="283" w:lineRule="auto"/>
      </w:pPr>
    </w:p>
    <w:p>
      <w:pPr>
        <w:spacing w:before="78" w:line="654" w:lineRule="exact"/>
        <w:ind w:right="21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position w:val="32"/>
          <w:sz w:val="24"/>
          <w:szCs w:val="24"/>
        </w:rPr>
        <w:t>(6)坝坡土料填筑在水平方向应比实际设计线超填70～80cm,</w:t>
      </w:r>
      <w:r>
        <w:rPr>
          <w:rFonts w:ascii="宋体" w:eastAsia="宋体" w:hAnsi="宋体" w:cs="宋体"/>
          <w:spacing w:val="44"/>
          <w:position w:val="32"/>
          <w:sz w:val="24"/>
          <w:szCs w:val="24"/>
        </w:rPr>
        <w:t xml:space="preserve"> </w:t>
      </w:r>
      <w:r>
        <w:rPr>
          <w:rFonts w:ascii="宋体" w:eastAsia="宋体" w:hAnsi="宋体" w:cs="宋体"/>
          <w:position w:val="32"/>
          <w:sz w:val="24"/>
          <w:szCs w:val="24"/>
        </w:rPr>
        <w:t>以</w:t>
      </w:r>
      <w:r>
        <w:rPr>
          <w:rFonts w:ascii="宋体" w:eastAsia="宋体" w:hAnsi="宋体" w:cs="宋体"/>
          <w:spacing w:val="-1"/>
          <w:position w:val="32"/>
          <w:sz w:val="24"/>
          <w:szCs w:val="24"/>
        </w:rPr>
        <w:t>保证进行坡面修整</w:t>
      </w:r>
    </w:p>
    <w:p>
      <w:pPr>
        <w:spacing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8"/>
          <w:sz w:val="24"/>
          <w:szCs w:val="24"/>
        </w:rPr>
        <w:t>后坡面的密实度。</w:t>
      </w:r>
    </w:p>
    <w:p>
      <w:pPr>
        <w:pStyle w:val="BodyText"/>
        <w:spacing w:line="279" w:lineRule="auto"/>
      </w:pPr>
    </w:p>
    <w:p>
      <w:pPr>
        <w:spacing w:before="79" w:line="654" w:lineRule="exact"/>
        <w:ind w:right="20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7"/>
          <w:position w:val="32"/>
          <w:sz w:val="24"/>
          <w:szCs w:val="24"/>
        </w:rPr>
        <w:t>(7)分辨别段填筑的横向接缝坡度不得陡于1:3,并在先填筑层的接缝坡面上合适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留出一定厚度的保护层。伴随区段结合部位填筑上升，逐层将保护层清除至合格层。</w:t>
      </w:r>
    </w:p>
    <w:p>
      <w:pPr>
        <w:pStyle w:val="BodyText"/>
        <w:spacing w:line="288" w:lineRule="auto"/>
      </w:pPr>
    </w:p>
    <w:p>
      <w:pPr>
        <w:spacing w:before="82" w:line="212" w:lineRule="auto"/>
        <w:ind w:left="11"/>
        <w:outlineLvl w:val="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b/>
          <w:bCs/>
          <w:i/>
          <w:iCs/>
          <w:spacing w:val="-9"/>
          <w:sz w:val="25"/>
          <w:szCs w:val="25"/>
        </w:rPr>
        <w:t>3.4坝坡坡面修整</w:t>
      </w:r>
    </w:p>
    <w:p>
      <w:pPr>
        <w:pStyle w:val="BodyText"/>
        <w:spacing w:line="276" w:lineRule="auto"/>
      </w:pPr>
    </w:p>
    <w:p>
      <w:pPr>
        <w:spacing w:before="79" w:line="649" w:lineRule="exact"/>
        <w:ind w:right="8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position w:val="31"/>
          <w:sz w:val="24"/>
          <w:szCs w:val="24"/>
        </w:rPr>
        <w:t>在铺设坝体上游混凝土护坡砂垫层前，应先对坝坡填料进行修整，削去坡面超填的</w:t>
      </w:r>
    </w:p>
    <w:p>
      <w:pPr>
        <w:spacing w:before="1"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部分，按照设计图纸将坡面修整平顺。</w:t>
      </w:r>
    </w:p>
    <w:p>
      <w:pPr>
        <w:pStyle w:val="BodyText"/>
        <w:spacing w:line="294" w:lineRule="auto"/>
      </w:pPr>
    </w:p>
    <w:p>
      <w:pPr>
        <w:spacing w:before="78" w:line="651" w:lineRule="exact"/>
        <w:ind w:right="20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"/>
          <w:position w:val="31"/>
          <w:sz w:val="24"/>
          <w:szCs w:val="24"/>
        </w:rPr>
        <w:t>(1)根据本工程坝面坡度较缓、坡面填筑料为土料及填筑施工强度大的特点，采用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反铲进行坡面修整。</w:t>
      </w:r>
    </w:p>
    <w:p>
      <w:pPr>
        <w:pStyle w:val="BodyText"/>
        <w:spacing w:line="269" w:lineRule="auto"/>
      </w:pPr>
    </w:p>
    <w:p>
      <w:pPr>
        <w:spacing w:before="79" w:line="656" w:lineRule="exact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position w:val="32"/>
          <w:sz w:val="24"/>
          <w:szCs w:val="24"/>
        </w:rPr>
        <w:t>(2)坝体填筑每上升3～4</w:t>
      </w:r>
      <w:r>
        <w:rPr>
          <w:rFonts w:ascii="Times New Roman" w:eastAsia="Times New Roman" w:hAnsi="Times New Roman" w:cs="Times New Roman"/>
          <w:spacing w:val="3"/>
          <w:position w:val="32"/>
          <w:sz w:val="24"/>
          <w:szCs w:val="24"/>
        </w:rPr>
        <w:t xml:space="preserve">m,   </w:t>
      </w:r>
      <w:r>
        <w:rPr>
          <w:rFonts w:ascii="宋体" w:eastAsia="宋体" w:hAnsi="宋体" w:cs="宋体"/>
          <w:spacing w:val="3"/>
          <w:position w:val="32"/>
          <w:sz w:val="24"/>
          <w:szCs w:val="24"/>
        </w:rPr>
        <w:t>即采用反铲自下而上进行</w:t>
      </w:r>
      <w:r>
        <w:rPr>
          <w:rFonts w:ascii="宋体" w:eastAsia="宋体" w:hAnsi="宋体" w:cs="宋体"/>
          <w:spacing w:val="2"/>
          <w:position w:val="32"/>
          <w:sz w:val="24"/>
          <w:szCs w:val="24"/>
        </w:rPr>
        <w:t>一次修整。削坡料经含水量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7"/>
          <w:sz w:val="24"/>
          <w:szCs w:val="24"/>
        </w:rPr>
        <w:t>调整合格后用于坝体填筑。</w:t>
      </w:r>
    </w:p>
    <w:p>
      <w:pPr>
        <w:pStyle w:val="BodyText"/>
        <w:spacing w:line="303" w:lineRule="auto"/>
      </w:pPr>
    </w:p>
    <w:p>
      <w:pPr>
        <w:spacing w:before="79" w:line="219" w:lineRule="auto"/>
        <w:ind w:left="4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(3)运用反铲不能一次削至设计线，预留10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cm</w:t>
      </w:r>
      <w:r>
        <w:rPr>
          <w:rFonts w:ascii="Times New Roman" w:eastAsia="Times New Roman" w:hAnsi="Times New Roman" w:cs="Times New Roman"/>
          <w:spacing w:val="58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采用人工细削。</w:t>
      </w:r>
    </w:p>
    <w:p>
      <w:pPr>
        <w:pStyle w:val="BodyText"/>
        <w:spacing w:line="280" w:lineRule="auto"/>
      </w:pPr>
    </w:p>
    <w:p>
      <w:pPr>
        <w:spacing w:before="82" w:line="213" w:lineRule="auto"/>
        <w:ind w:left="11"/>
        <w:outlineLvl w:val="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b/>
          <w:bCs/>
          <w:i/>
          <w:iCs/>
          <w:spacing w:val="-4"/>
          <w:sz w:val="25"/>
          <w:szCs w:val="25"/>
        </w:rPr>
        <w:t>3.5防渗土料</w:t>
      </w:r>
      <w:r>
        <w:rPr>
          <w:rFonts w:ascii="Times New Roman" w:eastAsia="Times New Roman" w:hAnsi="Times New Roman" w:cs="Times New Roman"/>
          <w:b/>
          <w:bCs/>
          <w:i/>
          <w:iCs/>
          <w:spacing w:val="-4"/>
          <w:sz w:val="24"/>
          <w:szCs w:val="24"/>
        </w:rPr>
        <w:t>I</w:t>
      </w:r>
      <w:r>
        <w:rPr>
          <w:rFonts w:ascii="宋体" w:eastAsia="宋体" w:hAnsi="宋体" w:cs="宋体"/>
          <w:b/>
          <w:bCs/>
          <w:i/>
          <w:iCs/>
          <w:spacing w:val="-4"/>
          <w:sz w:val="25"/>
          <w:szCs w:val="25"/>
        </w:rPr>
        <w:t>、</w:t>
      </w:r>
      <w:r>
        <w:rPr>
          <w:rFonts w:ascii="Times New Roman" w:eastAsia="Times New Roman" w:hAnsi="Times New Roman" w:cs="Times New Roman"/>
          <w:b/>
          <w:bCs/>
          <w:i/>
          <w:iCs/>
          <w:spacing w:val="-4"/>
          <w:sz w:val="24"/>
          <w:szCs w:val="24"/>
        </w:rPr>
        <w:t xml:space="preserve">Ⅱ  </w:t>
      </w:r>
      <w:r>
        <w:rPr>
          <w:rFonts w:ascii="宋体" w:eastAsia="宋体" w:hAnsi="宋体" w:cs="宋体"/>
          <w:b/>
          <w:bCs/>
          <w:i/>
          <w:iCs/>
          <w:spacing w:val="-4"/>
          <w:sz w:val="25"/>
          <w:szCs w:val="25"/>
        </w:rPr>
        <w:t>期搭接面施工</w:t>
      </w:r>
    </w:p>
    <w:p>
      <w:pPr>
        <w:pStyle w:val="BodyText"/>
        <w:spacing w:line="283" w:lineRule="auto"/>
      </w:pPr>
    </w:p>
    <w:p>
      <w:pPr>
        <w:spacing w:before="78" w:line="219" w:lineRule="auto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坝体防渗土料分二期施工，在Ⅱ期填筑施工中，与</w:t>
      </w:r>
      <w:r>
        <w:rPr>
          <w:rFonts w:ascii="宋体" w:eastAsia="宋体" w:hAnsi="宋体" w:cs="宋体"/>
          <w:spacing w:val="-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期临时坡面的搭接施工拟采用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  <w:sectPr>
          <w:pgSz w:w="11910" w:h="16840"/>
          <w:pgMar w:top="1431" w:right="1150" w:bottom="0" w:left="1700" w:header="0" w:footer="0" w:gutter="0"/>
          <w:pgNumType w:start="11"/>
          <w:cols w:space="708"/>
        </w:sectPr>
      </w:pPr>
    </w:p>
    <w:p>
      <w:pPr>
        <w:spacing w:before="179"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1"/>
          <w:sz w:val="24"/>
          <w:szCs w:val="24"/>
        </w:rPr>
        <w:t>如下措施：</w:t>
      </w:r>
    </w:p>
    <w:p>
      <w:pPr>
        <w:pStyle w:val="BodyText"/>
        <w:spacing w:line="283" w:lineRule="auto"/>
      </w:pPr>
    </w:p>
    <w:p>
      <w:pPr>
        <w:spacing w:before="78" w:line="660" w:lineRule="exact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position w:val="32"/>
          <w:sz w:val="24"/>
          <w:szCs w:val="24"/>
        </w:rPr>
        <w:t>(1)每层填筑过程，在</w:t>
      </w:r>
      <w:r>
        <w:rPr>
          <w:rFonts w:ascii="Times New Roman" w:eastAsia="Times New Roman" w:hAnsi="Times New Roman" w:cs="Times New Roman"/>
          <w:spacing w:val="-2"/>
          <w:position w:val="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36"/>
          <w:position w:val="3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position w:val="32"/>
          <w:sz w:val="24"/>
          <w:szCs w:val="24"/>
        </w:rPr>
        <w:t>期填筑坡面上按填筑层厚挖台阶，台阶宽度不不</w:t>
      </w:r>
      <w:r>
        <w:rPr>
          <w:rFonts w:ascii="宋体" w:eastAsia="宋体" w:hAnsi="宋体" w:cs="宋体"/>
          <w:spacing w:val="-3"/>
          <w:position w:val="32"/>
          <w:sz w:val="24"/>
          <w:szCs w:val="24"/>
        </w:rPr>
        <w:t>不小于2</w:t>
      </w:r>
      <w:r>
        <w:rPr>
          <w:rFonts w:ascii="Times New Roman" w:eastAsia="Times New Roman" w:hAnsi="Times New Roman" w:cs="Times New Roman"/>
          <w:spacing w:val="-3"/>
          <w:position w:val="32"/>
          <w:sz w:val="24"/>
          <w:szCs w:val="24"/>
        </w:rPr>
        <w:t>m</w:t>
      </w:r>
      <w:r>
        <w:rPr>
          <w:rFonts w:ascii="宋体" w:eastAsia="宋体" w:hAnsi="宋体" w:cs="宋体"/>
          <w:spacing w:val="-3"/>
          <w:position w:val="32"/>
          <w:sz w:val="24"/>
          <w:szCs w:val="24"/>
        </w:rPr>
        <w:t>。</w:t>
      </w:r>
    </w:p>
    <w:p>
      <w:pPr>
        <w:spacing w:line="219" w:lineRule="auto"/>
        <w:ind w:left="4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(2)台阶面随填筑层面同层碾压，接缝处加强碾压，保证接合部位的质量。</w:t>
      </w:r>
    </w:p>
    <w:p>
      <w:pPr>
        <w:pStyle w:val="BodyText"/>
        <w:spacing w:line="275" w:lineRule="auto"/>
      </w:pPr>
    </w:p>
    <w:p>
      <w:pPr>
        <w:spacing w:before="78" w:line="219" w:lineRule="auto"/>
        <w:ind w:left="4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(3)碾压过后，接合部位应加强检测。</w:t>
      </w:r>
    </w:p>
    <w:p>
      <w:pPr>
        <w:pStyle w:val="BodyText"/>
        <w:spacing w:line="300" w:lineRule="auto"/>
      </w:pPr>
    </w:p>
    <w:p>
      <w:pPr>
        <w:spacing w:before="78" w:line="222" w:lineRule="auto"/>
        <w:ind w:left="3"/>
        <w:outlineLvl w:val="0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b/>
          <w:bCs/>
          <w:spacing w:val="6"/>
          <w:sz w:val="24"/>
          <w:szCs w:val="24"/>
        </w:rPr>
        <w:t>4、施工重点、难点(接缝处理)</w:t>
      </w:r>
    </w:p>
    <w:p>
      <w:pPr>
        <w:pStyle w:val="BodyText"/>
        <w:spacing w:line="276" w:lineRule="auto"/>
      </w:pPr>
    </w:p>
    <w:p>
      <w:pPr>
        <w:spacing w:before="78" w:line="640" w:lineRule="exact"/>
        <w:ind w:left="41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position w:val="31"/>
          <w:sz w:val="24"/>
          <w:szCs w:val="24"/>
        </w:rPr>
        <w:t>(1)防渗体与坝基、岸坡、刚性建筑物(混凝土防渗墙、高压喷墙、</w:t>
      </w:r>
      <w:r>
        <w:rPr>
          <w:rFonts w:ascii="宋体" w:eastAsia="宋体" w:hAnsi="宋体" w:cs="宋体"/>
          <w:spacing w:val="2"/>
          <w:position w:val="31"/>
          <w:sz w:val="24"/>
          <w:szCs w:val="24"/>
        </w:rPr>
        <w:t>坝下埋管等)的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接合部位纵横接缝，须严格处理，保证质量。</w:t>
      </w:r>
    </w:p>
    <w:p>
      <w:pPr>
        <w:pStyle w:val="BodyText"/>
        <w:spacing w:line="284" w:lineRule="auto"/>
      </w:pPr>
    </w:p>
    <w:p>
      <w:pPr>
        <w:spacing w:before="79" w:line="502" w:lineRule="auto"/>
        <w:ind w:right="106" w:firstLine="41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(2)所有坝体接缝的坡面，在填土时必须按下列规定处理：①必须配合填筑上升，陆</w:t>
      </w:r>
      <w:r>
        <w:rPr>
          <w:rFonts w:ascii="宋体" w:eastAsia="宋体" w:hAnsi="宋体" w:cs="宋体"/>
          <w:spacing w:val="1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4"/>
          <w:sz w:val="24"/>
          <w:szCs w:val="24"/>
        </w:rPr>
        <w:t>续削坡，直到合格层为止；②防渗体与均质黏性土(或砾质土)结合面削坡合格后，必</w:t>
      </w:r>
      <w:r>
        <w:rPr>
          <w:rFonts w:ascii="宋体" w:eastAsia="宋体" w:hAnsi="宋体" w:cs="宋体"/>
          <w:spacing w:val="16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须边洒水、边刨毛、边铺土压实，并控制施工含水量。③防渗体与黏性土的横向接坡，</w:t>
      </w:r>
      <w:r>
        <w:rPr>
          <w:rFonts w:ascii="宋体" w:eastAsia="宋体" w:hAnsi="宋体" w:cs="宋体"/>
          <w:spacing w:val="8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6"/>
          <w:sz w:val="24"/>
          <w:szCs w:val="24"/>
        </w:rPr>
        <w:t>假如陡于1:3,在接合部位采用用蛙夯机配合振动碾压实，压实宽度1～2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m,  </w:t>
      </w:r>
      <w:r>
        <w:rPr>
          <w:rFonts w:ascii="宋体" w:eastAsia="宋体" w:hAnsi="宋体" w:cs="宋体"/>
          <w:spacing w:val="6"/>
          <w:sz w:val="24"/>
          <w:szCs w:val="24"/>
        </w:rPr>
        <w:t>并且距离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结合面2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40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以内。</w:t>
      </w:r>
    </w:p>
    <w:p>
      <w:pPr>
        <w:pStyle w:val="BodyText"/>
        <w:spacing w:line="260" w:lineRule="auto"/>
      </w:pPr>
    </w:p>
    <w:p>
      <w:pPr>
        <w:spacing w:before="78" w:line="501" w:lineRule="auto"/>
        <w:ind w:right="106" w:firstLine="41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sz w:val="24"/>
          <w:szCs w:val="24"/>
        </w:rPr>
        <w:t>(3)防渗体与岩石岸坡和混凝土结合时，必须安下列规定</w:t>
      </w:r>
      <w:r>
        <w:rPr>
          <w:rFonts w:ascii="宋体" w:eastAsia="宋体" w:hAnsi="宋体" w:cs="宋体"/>
          <w:spacing w:val="2"/>
          <w:sz w:val="24"/>
          <w:szCs w:val="24"/>
        </w:rPr>
        <w:t>施工：①混凝土面在填土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前，必须清除表面的乳皮，粉尘、油污等，并打扫洁净；②当填土与岩面直接结合时，</w:t>
      </w:r>
      <w:r>
        <w:rPr>
          <w:rFonts w:ascii="宋体" w:eastAsia="宋体" w:hAnsi="宋体" w:cs="宋体"/>
          <w:spacing w:val="8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必须险先清除岩面的泥土、污物、松动岩石等。③在混凝土或岩面上填土时，先洒水润</w:t>
      </w:r>
      <w:r>
        <w:rPr>
          <w:rFonts w:ascii="宋体" w:eastAsia="宋体" w:hAnsi="宋体" w:cs="宋体"/>
          <w:spacing w:val="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湿，并先涂刷浓泥浆，边铺土，边扎实。④当在裂隙岩面上填土时，先洒水，然后边涂</w:t>
      </w:r>
    </w:p>
    <w:p>
      <w:pPr>
        <w:spacing w:before="1"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刷浓水泥黏土浆，边铺土、边压实。</w:t>
      </w:r>
    </w:p>
    <w:p>
      <w:pPr>
        <w:pStyle w:val="BodyText"/>
        <w:spacing w:line="304" w:lineRule="auto"/>
      </w:pPr>
    </w:p>
    <w:p>
      <w:pPr>
        <w:spacing w:before="79" w:line="659" w:lineRule="exact"/>
        <w:ind w:left="41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position w:val="32"/>
          <w:sz w:val="24"/>
          <w:szCs w:val="24"/>
        </w:rPr>
        <w:t>(4)基础结合面上防渗体土料的填筑应符合如下规定：将表面的黏性土含水量调整至</w:t>
      </w:r>
    </w:p>
    <w:p>
      <w:pPr>
        <w:spacing w:before="1" w:line="218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施工含水量的上限，用与防渗体相似的碾压机械、参数压实，刨毛，再进行铺土</w:t>
      </w:r>
      <w:r>
        <w:rPr>
          <w:rFonts w:ascii="宋体" w:eastAsia="宋体" w:hAnsi="宋体" w:cs="宋体"/>
          <w:spacing w:val="-3"/>
          <w:sz w:val="24"/>
          <w:szCs w:val="24"/>
        </w:rPr>
        <w:t>压实。</w:t>
      </w:r>
    </w:p>
    <w:p>
      <w:pPr>
        <w:pStyle w:val="BodyText"/>
        <w:spacing w:line="276" w:lineRule="auto"/>
      </w:pPr>
    </w:p>
    <w:p>
      <w:pPr>
        <w:spacing w:before="79" w:line="639" w:lineRule="exact"/>
        <w:ind w:left="41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position w:val="30"/>
          <w:sz w:val="24"/>
          <w:szCs w:val="24"/>
        </w:rPr>
        <w:t>(5)防渗体与岸坡结合处的压实必须符合如下规定：于岩石岸坡结合处，不得</w:t>
      </w:r>
      <w:r>
        <w:rPr>
          <w:rFonts w:ascii="宋体" w:eastAsia="宋体" w:hAnsi="宋体" w:cs="宋体"/>
          <w:spacing w:val="-4"/>
          <w:position w:val="30"/>
          <w:sz w:val="24"/>
          <w:szCs w:val="24"/>
        </w:rPr>
        <w:t>使用重</w:t>
      </w:r>
    </w:p>
    <w:p>
      <w:pPr>
        <w:spacing w:before="1" w:line="218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型碾压机具，采用蛙夯机压实，并保证与坝体的碾压搭接宽度。</w:t>
      </w:r>
    </w:p>
    <w:p>
      <w:pPr>
        <w:pStyle w:val="BodyText"/>
        <w:spacing w:line="281" w:lineRule="auto"/>
      </w:pPr>
    </w:p>
    <w:p>
      <w:pPr>
        <w:spacing w:before="79" w:line="222" w:lineRule="auto"/>
        <w:ind w:left="3"/>
        <w:outlineLvl w:val="0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b/>
          <w:bCs/>
          <w:spacing w:val="-7"/>
          <w:sz w:val="24"/>
          <w:szCs w:val="24"/>
        </w:rPr>
        <w:t>5、填筑规划及施工强度</w:t>
      </w:r>
    </w:p>
    <w:p>
      <w:pPr>
        <w:spacing w:line="222" w:lineRule="auto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sz w:val="24"/>
          <w:szCs w:val="24"/>
        </w:rPr>
        <w:br/>
      </w:r>
      <w:r>
        <w:rPr>
          <w:rFonts w:ascii="黑体" w:eastAsia="黑体" w:hAnsi="黑体" w:cs="黑体"/>
          <w:sz w:val="24"/>
          <w:szCs w:val="24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https://d.book118.com/606115012240010040</w:t>
        </w:r>
      </w:hyperlink>
    </w:p>
    <w:p>
      <w:pPr>
        <w:spacing w:line="222" w:lineRule="auto"/>
        <w:rPr>
          <w:rFonts w:ascii="黑体" w:eastAsia="黑体" w:hAnsi="黑体" w:cs="黑体"/>
          <w:sz w:val="24"/>
          <w:szCs w:val="24"/>
        </w:rPr>
      </w:pPr>
    </w:p>
    <w:sectPr>
      <w:pgSz w:w="11910" w:h="16840"/>
      <w:pgMar w:top="1431" w:right="1050" w:bottom="0" w:left="1700" w:header="0" w:footer="0" w:gutter="0"/>
      <w:pgNumType w:start="1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STXinwe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567606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3"/>
      <w:szCs w:val="23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yperlink" Target="https://d.book118.com/606115012240010040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2023-12-21T17:09:00Z</dcterms:created>
  <dcterms:modified xsi:type="dcterms:W3CDTF">2023-12-21T09:09:44Z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2023-12-21T09:09:43Z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658400d14bc505001f36696fwl</vt:lpwstr>
  </property>
</Properties>
</file>