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2018-2023年宿迁职业技术学院高职单招（数学／语文／英语）历年常考试题库含答案解析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抗战时期，郭沫若写有历史剧（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D.《星空》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《国殇》选自（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《我爱这土地》中诗人着力刻画的一个象征形象是（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A.土地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B.暴风雨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D.温柔的黎明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下列各句中，同时采用了对偶、夸张的是（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A.恨相见得迟，怨归去得疾。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B.泪添九曲黄河溢，恨压三峰华岳低。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D.忽如一夜春风来，千树万树梨花开。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《陌上桑》的主要内容是写（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A.刺史调戏罗敷并遭到拒绝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B.罗敷美貌并热爱劳动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C.陌上采桑的繁忙景象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D.采桑女罗敷夸夫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关于艾青《我爱这土地》一诗，下列表述错误的是（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A.此诗写作于抗日战争临近胜利之时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B.此诗抒发了诗人深沉炽烈的爱国主义情感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C.“被暴风雨所打击着的土地”，象征着敌人对祖国的侵略和践踏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D.“激怒的风”象征着中国人民的愤怒与反抗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《日出》的情节结构特点是（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A.回顾式写法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B.片段写法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C.闭锁结构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D.开放式结构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343396" cy="209572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396" cy="209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下列选项中，不属于辛弃疾《水龙吟·登建康赏心亭》表现手法的一项是（）。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A.比喻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B.用典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C.拟人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D.叠字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下列诗句运用“赋”法的是（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A.氓之蚩蚩，抱布贸丝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B.桑之未落，其叶沃若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下列各句中，“数”作“计算”解的是（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A.此其过江河之流，不可为量数。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B.成败之数，视此而已。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https://d.book118.com/607062141156006044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607062141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