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49"/>
        <w:ind w:left="1130"/>
        <w:rPr>
          <w:rFonts w:ascii="黑体"/>
        </w:rPr>
      </w:pPr>
      <w:r>
        <w:pict>
          <v:line id="_x0000_s1025" style="mso-position-horizontal-relative:page;mso-position-vertical-relative:page;position:absolute;z-index:251658240" from="68pt,728.8pt" to="555.05pt,728.8pt" stroked="t" strokecolor="black" strokeweight="0.96pt">
            <v:stroke dashstyle="solid"/>
          </v:line>
        </w:pict>
      </w:r>
      <w:r>
        <w:rPr>
          <w:rFonts w:ascii="黑体"/>
        </w:rPr>
        <w:t>ICS 93.080.1</w:t>
      </w:r>
    </w:p>
    <w:p>
      <w:pPr>
        <w:pStyle w:val="BodyText"/>
        <w:spacing w:before="43" w:line="217" w:lineRule="exact"/>
        <w:ind w:left="1130"/>
        <w:rPr>
          <w:rFonts w:ascii="黑体"/>
        </w:rPr>
      </w:pPr>
      <w:r>
        <w:rPr>
          <w:rFonts w:ascii="黑体"/>
        </w:rPr>
        <w:t>CCS P</w:t>
      </w:r>
      <w:r>
        <w:rPr>
          <w:rFonts w:ascii="黑体"/>
          <w:spacing w:val="-62"/>
        </w:rPr>
        <w:t xml:space="preserve"> </w:t>
      </w:r>
      <w:r>
        <w:rPr>
          <w:rFonts w:ascii="黑体"/>
        </w:rPr>
        <w:t>14</w:t>
      </w:r>
    </w:p>
    <w:p>
      <w:pPr>
        <w:pStyle w:val="Title"/>
      </w:pPr>
      <w:r>
        <w:drawing>
          <wp:anchor distT="0" distB="0" distL="0" distR="0" simplePos="0" relativeHeight="251659264" behindDoc="0" locked="0" layoutInCell="1" allowOverlap="1">
            <wp:simplePos x="0" y="0"/>
            <wp:positionH relativeFrom="page">
              <wp:posOffset>5268467</wp:posOffset>
            </wp:positionH>
            <wp:positionV relativeFrom="paragraph">
              <wp:posOffset>113533</wp:posOffset>
            </wp:positionV>
            <wp:extent cx="798576" cy="39928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4" cstate="print"/>
                    <a:stretch>
                      <a:fillRect/>
                    </a:stretch>
                  </pic:blipFill>
                  <pic:spPr>
                    <a:xfrm>
                      <a:off x="0" y="0"/>
                      <a:ext cx="798576" cy="399288"/>
                    </a:xfrm>
                    <a:prstGeom prst="rect">
                      <a:avLst/>
                    </a:prstGeom>
                  </pic:spPr>
                </pic:pic>
              </a:graphicData>
            </a:graphic>
          </wp:anchor>
        </w:drawing>
      </w:r>
      <w:r>
        <w:rPr>
          <w:i/>
          <w:w w:val="130"/>
        </w:rPr>
        <w:t>23</w:t>
      </w:r>
    </w:p>
    <w:p>
      <w:pPr>
        <w:tabs>
          <w:tab w:val="left" w:pos="2371"/>
          <w:tab w:val="left" w:pos="3679"/>
          <w:tab w:val="left" w:pos="4989"/>
          <w:tab w:val="left" w:pos="6297"/>
          <w:tab w:val="left" w:pos="7605"/>
          <w:tab w:val="left" w:pos="8913"/>
          <w:tab w:val="left" w:pos="10221"/>
        </w:tabs>
        <w:spacing w:before="102"/>
        <w:ind w:left="1063" w:right="0" w:firstLine="0"/>
        <w:jc w:val="left"/>
        <w:rPr>
          <w:rFonts w:ascii="黑体" w:eastAsia="黑体" w:hint="eastAsia"/>
          <w:sz w:val="48"/>
        </w:rPr>
      </w:pPr>
      <w:r>
        <w:rPr>
          <w:rFonts w:ascii="黑体" w:eastAsia="黑体" w:hint="eastAsia"/>
          <w:sz w:val="48"/>
        </w:rPr>
        <w:t>黑</w:t>
        <w:tab/>
        <w:t>龙</w:t>
        <w:tab/>
        <w:t>江</w:t>
        <w:tab/>
        <w:t>省</w:t>
        <w:tab/>
        <w:t>地</w:t>
        <w:tab/>
        <w:t>方</w:t>
        <w:tab/>
        <w:t>标</w:t>
        <w:tab/>
        <w:t>准</w:t>
      </w:r>
    </w:p>
    <w:p>
      <w:pPr>
        <w:spacing w:before="341"/>
        <w:ind w:left="0" w:right="871" w:firstLine="0"/>
        <w:jc w:val="right"/>
        <w:rPr>
          <w:rFonts w:ascii="黑体"/>
          <w:sz w:val="28"/>
        </w:rPr>
      </w:pPr>
      <w:r>
        <w:rPr>
          <w:rFonts w:ascii="黑体"/>
          <w:sz w:val="28"/>
        </w:rPr>
        <w:t>DB23/T 3674 -</w:t>
      </w:r>
      <w:r>
        <w:rPr>
          <w:rFonts w:ascii="黑体"/>
          <w:spacing w:val="-6"/>
          <w:sz w:val="28"/>
        </w:rPr>
        <w:t xml:space="preserve"> </w:t>
      </w:r>
      <w:r>
        <w:rPr>
          <w:rFonts w:ascii="黑体"/>
          <w:sz w:val="28"/>
        </w:rPr>
        <w:t>2023</w:t>
      </w:r>
    </w:p>
    <w:p>
      <w:pPr>
        <w:pStyle w:val="BodyText"/>
        <w:rPr>
          <w:rFonts w:ascii="黑体"/>
          <w:sz w:val="20"/>
        </w:rPr>
      </w:pPr>
    </w:p>
    <w:p>
      <w:pPr>
        <w:pStyle w:val="BodyText"/>
        <w:spacing w:before="1"/>
        <w:rPr>
          <w:rFonts w:ascii="黑体"/>
          <w:sz w:val="28"/>
        </w:rPr>
      </w:pPr>
      <w:r>
        <w:pict>
          <v:shape id="_x0000_s1026" style="width:487.05pt;height:0.1pt;margin-top:20.44pt;margin-left:69.4pt;mso-position-horizontal-relative:page;mso-wrap-distance-left:0;mso-wrap-distance-right:0;position:absolute;z-index:-251655168" coordorigin="1388,409" coordsize="9741,0" path="m1388,409l11129,409e" filled="f" stroked="t" strokecolor="black" strokeweight="0.96pt">
            <v:stroke dashstyle="solid"/>
            <v:path arrowok="t"/>
            <w10:wrap type="topAndBottom"/>
          </v:shape>
        </w:pic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1"/>
        <w:rPr>
          <w:rFonts w:ascii="黑体"/>
          <w:sz w:val="26"/>
        </w:rPr>
      </w:pPr>
    </w:p>
    <w:p>
      <w:pPr>
        <w:spacing w:before="28" w:line="252" w:lineRule="auto"/>
        <w:ind w:left="2356" w:right="1765" w:firstLine="0"/>
        <w:jc w:val="center"/>
        <w:rPr>
          <w:rFonts w:ascii="黑体" w:eastAsia="黑体" w:hint="eastAsia"/>
          <w:sz w:val="52"/>
        </w:rPr>
      </w:pPr>
      <w:r>
        <w:rPr>
          <w:rFonts w:ascii="黑体" w:eastAsia="黑体" w:hint="eastAsia"/>
          <w:sz w:val="52"/>
        </w:rPr>
        <w:t>黑龙江省城镇道路三维探地雷达探测技术规程</w:t>
      </w:r>
    </w:p>
    <w:p>
      <w:pPr>
        <w:spacing w:before="112"/>
        <w:ind w:left="2351" w:right="1765" w:firstLine="0"/>
        <w:jc w:val="center"/>
        <w:rPr>
          <w:rFonts w:ascii="Times New Roman"/>
          <w:sz w:val="28"/>
        </w:rPr>
      </w:pPr>
      <w:r>
        <w:drawing>
          <wp:anchor distT="0" distB="0" distL="0" distR="0" simplePos="0" relativeHeight="251660288" behindDoc="0" locked="0" layoutInCell="1" allowOverlap="1">
            <wp:simplePos x="0" y="0"/>
            <wp:positionH relativeFrom="page">
              <wp:posOffset>215900</wp:posOffset>
            </wp:positionH>
            <wp:positionV relativeFrom="paragraph">
              <wp:posOffset>262131</wp:posOffset>
            </wp:positionV>
            <wp:extent cx="7112000" cy="48768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rFonts w:ascii="Times New Roman"/>
          <w:sz w:val="28"/>
        </w:rPr>
        <w:t>Technical specification for 3d ground penetrating radar</w:t>
      </w:r>
    </w:p>
    <w:p>
      <w:pPr>
        <w:pStyle w:val="BodyText"/>
        <w:spacing w:before="10"/>
        <w:rPr>
          <w:rFonts w:ascii="Times New Roman"/>
          <w:sz w:val="23"/>
        </w:rPr>
      </w:pPr>
      <w:r>
        <w:pict>
          <v:group id="_x0000_s1027" style="width:482.45pt;height:345.3pt;margin-top:15.68pt;margin-left:70.8pt;mso-position-horizontal-relative:page;mso-wrap-distance-left:0;mso-wrap-distance-right:0;position:absolute;z-index:-251654144" coordorigin="1416,314" coordsize="9649,6906">
            <v:shapetype id="_x0000_t202" coordsize="21600,21600" o:spt="202" path="m,l,21600r21600,l21600,xe">
              <v:stroke joinstyle="miter"/>
              <v:path gradientshapeok="t" o:connecttype="rect"/>
            </v:shapetype>
            <v:shape id="_x0000_s1028" type="#_x0000_t202" style="width:4155;height:312;left:4168;position:absolute;top:313" filled="f" stroked="f">
              <v:textbox inset="0,0,0,0">
                <w:txbxContent>
                  <w:p>
                    <w:pPr>
                      <w:spacing w:before="0" w:line="311" w:lineRule="exact"/>
                      <w:ind w:left="0" w:right="0" w:firstLine="0"/>
                      <w:jc w:val="left"/>
                      <w:rPr>
                        <w:rFonts w:ascii="Times New Roman"/>
                        <w:sz w:val="28"/>
                      </w:rPr>
                    </w:pPr>
                    <w:r>
                      <w:rPr>
                        <w:rFonts w:ascii="Times New Roman"/>
                        <w:sz w:val="28"/>
                      </w:rPr>
                      <w:t>detection of Heilongjiang urban road</w:t>
                    </w:r>
                  </w:p>
                </w:txbxContent>
              </v:textbox>
            </v:shape>
            <v:shape id="_x0000_s1029" type="#_x0000_t202" style="width:2682;height:281;left:1416;position:absolute;top:5943"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2023 - 12 - 29 发布</w:t>
                    </w:r>
                  </w:p>
                </w:txbxContent>
              </v:textbox>
            </v:shape>
            <v:shape id="_x0000_s1030" type="#_x0000_t202" style="width:2682;height:312;left:8383;position:absolute;top:5934" filled="f" stroked="f">
              <v:textbox inset="0,0,0,0">
                <w:txbxContent>
                  <w:p>
                    <w:pPr>
                      <w:spacing w:before="0" w:line="311" w:lineRule="exact"/>
                      <w:ind w:left="0" w:right="0" w:firstLine="0"/>
                      <w:jc w:val="left"/>
                      <w:rPr>
                        <w:rFonts w:ascii="黑体" w:eastAsia="黑体" w:hAnsi="黑体" w:hint="eastAsia"/>
                        <w:sz w:val="28"/>
                      </w:rPr>
                    </w:pPr>
                    <w:r>
                      <w:rPr>
                        <w:rFonts w:ascii="黑体" w:eastAsia="黑体" w:hAnsi="黑体" w:hint="eastAsia"/>
                        <w:sz w:val="28"/>
                      </w:rPr>
                      <w:t xml:space="preserve">2023 - 03 </w:t>
                    </w:r>
                    <w:r>
                      <w:rPr>
                        <w:rFonts w:ascii="Times New Roman" w:eastAsia="Times New Roman" w:hAnsi="Times New Roman"/>
                        <w:sz w:val="28"/>
                      </w:rPr>
                      <w:t xml:space="preserve">– </w:t>
                    </w:r>
                    <w:r>
                      <w:rPr>
                        <w:rFonts w:ascii="黑体" w:eastAsia="黑体" w:hAnsi="黑体" w:hint="eastAsia"/>
                        <w:sz w:val="28"/>
                      </w:rPr>
                      <w:t>28</w:t>
                    </w:r>
                    <w:r>
                      <w:rPr>
                        <w:rFonts w:ascii="黑体" w:eastAsia="黑体" w:hAnsi="黑体" w:hint="eastAsia"/>
                        <w:spacing w:val="-20"/>
                        <w:sz w:val="28"/>
                      </w:rPr>
                      <w:t xml:space="preserve"> 实 施</w:t>
                    </w:r>
                  </w:p>
                </w:txbxContent>
              </v:textbox>
            </v:shape>
            <v:shape id="_x0000_s1031" type="#_x0000_t202" style="width:4504;height:677;left:3355;position:absolute;top:6542" filled="f" stroked="f">
              <v:textbox inset="0,0,0,0">
                <w:txbxContent>
                  <w:p>
                    <w:pPr>
                      <w:spacing w:before="0" w:line="333" w:lineRule="exact"/>
                      <w:ind w:left="2" w:right="0" w:firstLine="0"/>
                      <w:jc w:val="left"/>
                      <w:rPr>
                        <w:rFonts w:ascii="Arial" w:eastAsia="Arial" w:hAnsi="Arial"/>
                        <w:sz w:val="28"/>
                      </w:rPr>
                    </w:pPr>
                    <w:r>
                      <w:rPr>
                        <w:rFonts w:ascii="黑体" w:eastAsia="黑体" w:hAnsi="黑体" w:hint="eastAsia"/>
                        <w:spacing w:val="-33"/>
                        <w:sz w:val="28"/>
                      </w:rPr>
                      <w:t>黑 龙 江 省 市 场 监 督 管 理 局</w:t>
                    </w:r>
                    <w:r>
                      <w:rPr>
                        <w:rFonts w:ascii="Arial" w:eastAsia="Arial" w:hAnsi="Arial"/>
                        <w:sz w:val="28"/>
                      </w:rPr>
                      <w:t>  </w:t>
                    </w:r>
                  </w:p>
                  <w:p>
                    <w:pPr>
                      <w:spacing w:before="3" w:line="340" w:lineRule="exact"/>
                      <w:ind w:left="0" w:right="0" w:firstLine="0"/>
                      <w:jc w:val="left"/>
                      <w:rPr>
                        <w:rFonts w:ascii="Arial" w:eastAsia="Arial" w:hAnsi="Arial"/>
                        <w:sz w:val="28"/>
                      </w:rPr>
                    </w:pPr>
                    <w:r>
                      <w:rPr>
                        <w:rFonts w:ascii="黑体" w:eastAsia="黑体" w:hAnsi="黑体" w:hint="eastAsia"/>
                        <w:sz w:val="28"/>
                      </w:rPr>
                      <w:t>黑龙江省住房和城乡建设厅</w:t>
                    </w:r>
                    <w:r>
                      <w:rPr>
                        <w:rFonts w:ascii="Arial" w:eastAsia="Arial" w:hAnsi="Arial"/>
                        <w:sz w:val="28"/>
                      </w:rPr>
                      <w:t> </w:t>
                    </w:r>
                  </w:p>
                </w:txbxContent>
              </v:textbox>
            </v:shape>
            <v:shape id="_x0000_s1032" type="#_x0000_t202" style="width:582;height:281;left:8138;position:absolute;top:6711" filled="f" stroked="f">
              <v:textbox inset="0,0,0,0">
                <w:txbxContent>
                  <w:p>
                    <w:pPr>
                      <w:spacing w:before="0" w:line="281" w:lineRule="exact"/>
                      <w:ind w:left="0" w:right="0" w:firstLine="0"/>
                      <w:jc w:val="left"/>
                      <w:rPr>
                        <w:rFonts w:ascii="黑体" w:eastAsia="黑体" w:hint="eastAsia"/>
                        <w:sz w:val="28"/>
                      </w:rPr>
                    </w:pPr>
                    <w:r>
                      <w:rPr>
                        <w:rFonts w:ascii="黑体" w:eastAsia="黑体" w:hint="eastAsia"/>
                        <w:sz w:val="28"/>
                      </w:rPr>
                      <w:t>发布</w:t>
                    </w:r>
                  </w:p>
                </w:txbxContent>
              </v:textbox>
            </v:shape>
            <w10:wrap type="topAndBottom"/>
          </v:group>
        </w:pict>
      </w:r>
    </w:p>
    <w:p>
      <w:pPr>
        <w:spacing w:after="0"/>
        <w:rPr>
          <w:rFonts w:ascii="Times New Roman"/>
          <w:sz w:val="23"/>
        </w:rPr>
        <w:sectPr>
          <w:type w:val="continuous"/>
          <w:pgSz w:w="11910" w:h="16840"/>
          <w:pgMar w:top="520" w:right="260" w:bottom="280" w:left="240" w:header="708" w:footer="708"/>
          <w:cols w:space="708"/>
        </w:sectPr>
      </w:pPr>
    </w:p>
    <w:p>
      <w:pPr>
        <w:pStyle w:val="BodyText"/>
        <w:rPr>
          <w:rFonts w:ascii="Times New Roman"/>
          <w:sz w:val="20"/>
        </w:rPr>
      </w:pPr>
      <w:r>
        <w:pict>
          <v:shape id="_x0000_s1033" type="#_x0000_t202" style="width:4.5pt;height:9pt;margin-top:775.07pt;margin-left:522.48pt;mso-position-horizontal-relative:page;mso-position-vertical-relative:page;position:absolute;z-index:-251652096" filled="f" stroked="f">
            <v:textbox inset="0,0,0,0">
              <w:txbxContent>
                <w:p>
                  <w:pPr>
                    <w:spacing w:before="0" w:line="180" w:lineRule="exact"/>
                    <w:ind w:left="0" w:right="0" w:firstLine="0"/>
                    <w:jc w:val="left"/>
                    <w:rPr>
                      <w:sz w:val="18"/>
                    </w:rPr>
                  </w:pPr>
                  <w:r>
                    <w:rPr>
                      <w:sz w:val="18"/>
                    </w:rPr>
                    <w:t>I</w:t>
                  </w:r>
                </w:p>
              </w:txbxContent>
            </v:textbox>
          </v:shape>
        </w:pict>
      </w:r>
    </w:p>
    <w:p>
      <w:pPr>
        <w:pStyle w:val="BodyText"/>
        <w:rPr>
          <w:rFonts w:ascii="Times New Roman"/>
          <w:sz w:val="20"/>
        </w:rPr>
      </w:pPr>
    </w:p>
    <w:p>
      <w:pPr>
        <w:pStyle w:val="BodyText"/>
        <w:rPr>
          <w:rFonts w:ascii="Times New Roman"/>
          <w:sz w:val="20"/>
        </w:rPr>
      </w:pPr>
    </w:p>
    <w:p>
      <w:pPr>
        <w:pStyle w:val="Heading1"/>
        <w:tabs>
          <w:tab w:val="left" w:pos="1258"/>
        </w:tabs>
        <w:spacing w:before="170"/>
      </w:pPr>
      <w:r>
        <w:t>目</w:t>
        <w:tab/>
        <w:t>次</w:t>
      </w:r>
    </w:p>
    <w:p>
      <w:pPr>
        <w:pStyle w:val="BodyText"/>
        <w:tabs>
          <w:tab w:val="right" w:leader="dot" w:pos="10522"/>
        </w:tabs>
        <w:spacing w:before="684"/>
        <w:ind w:left="1178"/>
      </w:pPr>
      <w:r>
        <w:t>前言</w:t>
      </w:r>
      <w:r>
        <w:rPr>
          <w:rFonts w:ascii="Times New Roman" w:eastAsia="Times New Roman"/>
        </w:rPr>
        <w:tab/>
      </w:r>
      <w:r>
        <w:t>II</w:t>
      </w:r>
    </w:p>
    <w:p>
      <w:pPr>
        <w:pStyle w:val="ListParagraph"/>
        <w:numPr>
          <w:ilvl w:val="0"/>
          <w:numId w:val="33"/>
        </w:numPr>
        <w:tabs>
          <w:tab w:val="left" w:pos="1388"/>
          <w:tab w:val="right" w:leader="dot" w:pos="10520"/>
        </w:tabs>
        <w:spacing w:before="132" w:after="0" w:line="240" w:lineRule="auto"/>
        <w:ind w:left="1387" w:right="0" w:hanging="210"/>
        <w:jc w:val="left"/>
        <w:rPr>
          <w:sz w:val="21"/>
        </w:rPr>
      </w:pPr>
      <w:r>
        <w:rPr>
          <w:sz w:val="21"/>
        </w:rPr>
        <w:t>范围</w:t>
      </w:r>
      <w:r>
        <w:rPr>
          <w:rFonts w:ascii="Times New Roman" w:eastAsia="Times New Roman"/>
          <w:sz w:val="21"/>
        </w:rPr>
        <w:tab/>
      </w:r>
      <w:r>
        <w:rPr>
          <w:sz w:val="21"/>
        </w:rPr>
        <w:t>1</w:t>
      </w:r>
    </w:p>
    <w:p>
      <w:pPr>
        <w:pStyle w:val="ListParagraph"/>
        <w:numPr>
          <w:ilvl w:val="0"/>
          <w:numId w:val="33"/>
        </w:numPr>
        <w:tabs>
          <w:tab w:val="left" w:pos="1388"/>
          <w:tab w:val="right" w:leader="dot" w:pos="10520"/>
        </w:tabs>
        <w:spacing w:before="129" w:after="0" w:line="240" w:lineRule="auto"/>
        <w:ind w:left="1387" w:right="0" w:hanging="210"/>
        <w:jc w:val="left"/>
        <w:rPr>
          <w:sz w:val="21"/>
        </w:rPr>
      </w:pPr>
      <w:r>
        <w:rPr>
          <w:sz w:val="21"/>
        </w:rPr>
        <w:t>规范性引用文件</w:t>
      </w:r>
      <w:r>
        <w:rPr>
          <w:rFonts w:ascii="Times New Roman" w:eastAsia="Times New Roman"/>
          <w:sz w:val="21"/>
        </w:rPr>
        <w:tab/>
      </w:r>
      <w:r>
        <w:rPr>
          <w:sz w:val="21"/>
        </w:rPr>
        <w:t>1</w:t>
      </w:r>
    </w:p>
    <w:p>
      <w:pPr>
        <w:pStyle w:val="ListParagraph"/>
        <w:numPr>
          <w:ilvl w:val="0"/>
          <w:numId w:val="33"/>
        </w:numPr>
        <w:tabs>
          <w:tab w:val="left" w:pos="1388"/>
          <w:tab w:val="right" w:leader="dot" w:pos="10520"/>
        </w:tabs>
        <w:spacing w:before="132" w:after="0" w:line="240" w:lineRule="auto"/>
        <w:ind w:left="1387" w:right="0" w:hanging="210"/>
        <w:jc w:val="left"/>
        <w:rPr>
          <w:sz w:val="21"/>
        </w:rPr>
      </w:pPr>
      <w:r>
        <w:rPr>
          <w:sz w:val="21"/>
        </w:rPr>
        <w:t>术语和定义</w:t>
      </w:r>
      <w:r>
        <w:rPr>
          <w:rFonts w:ascii="Times New Roman" w:eastAsia="Times New Roman"/>
          <w:sz w:val="21"/>
        </w:rPr>
        <w:tab/>
      </w:r>
      <w:r>
        <w:rPr>
          <w:sz w:val="21"/>
        </w:rPr>
        <w:t>1</w:t>
      </w:r>
    </w:p>
    <w:p>
      <w:pPr>
        <w:pStyle w:val="ListParagraph"/>
        <w:numPr>
          <w:ilvl w:val="0"/>
          <w:numId w:val="33"/>
        </w:numPr>
        <w:tabs>
          <w:tab w:val="left" w:pos="1388"/>
          <w:tab w:val="right" w:leader="dot" w:pos="10520"/>
        </w:tabs>
        <w:spacing w:before="132" w:after="0" w:line="240" w:lineRule="auto"/>
        <w:ind w:left="1387" w:right="0" w:hanging="210"/>
        <w:jc w:val="left"/>
        <w:rPr>
          <w:sz w:val="21"/>
        </w:rPr>
      </w:pPr>
      <w:r>
        <w:rPr>
          <w:sz w:val="21"/>
        </w:rPr>
        <w:t>基本规定</w:t>
      </w:r>
      <w:r>
        <w:rPr>
          <w:rFonts w:ascii="Times New Roman" w:eastAsia="Times New Roman"/>
          <w:sz w:val="21"/>
        </w:rPr>
        <w:tab/>
      </w:r>
      <w:r>
        <w:rPr>
          <w:sz w:val="21"/>
        </w:rPr>
        <w:t>2</w:t>
      </w:r>
    </w:p>
    <w:p>
      <w:pPr>
        <w:pStyle w:val="ListParagraph"/>
        <w:numPr>
          <w:ilvl w:val="0"/>
          <w:numId w:val="33"/>
        </w:numPr>
        <w:tabs>
          <w:tab w:val="left" w:pos="1388"/>
          <w:tab w:val="right" w:leader="dot" w:pos="10520"/>
        </w:tabs>
        <w:spacing w:before="129" w:after="0" w:line="240" w:lineRule="auto"/>
        <w:ind w:left="1387" w:right="0" w:hanging="210"/>
        <w:jc w:val="left"/>
        <w:rPr>
          <w:sz w:val="21"/>
        </w:rPr>
      </w:pPr>
      <w:r>
        <w:rPr>
          <w:sz w:val="21"/>
        </w:rPr>
        <w:t>项目类别及要求</w:t>
      </w:r>
      <w:r>
        <w:rPr>
          <w:rFonts w:ascii="Times New Roman" w:eastAsia="Times New Roman"/>
          <w:sz w:val="21"/>
        </w:rPr>
        <w:tab/>
      </w:r>
      <w:r>
        <w:rPr>
          <w:sz w:val="21"/>
        </w:rPr>
        <w:t>2</w:t>
      </w:r>
    </w:p>
    <w:p>
      <w:pPr>
        <w:pStyle w:val="ListParagraph"/>
        <w:numPr>
          <w:ilvl w:val="0"/>
          <w:numId w:val="33"/>
        </w:numPr>
        <w:tabs>
          <w:tab w:val="left" w:pos="1388"/>
          <w:tab w:val="right" w:leader="dot" w:pos="10520"/>
        </w:tabs>
        <w:spacing w:before="132" w:after="0" w:line="240" w:lineRule="auto"/>
        <w:ind w:left="1387" w:right="0" w:hanging="210"/>
        <w:jc w:val="left"/>
        <w:rPr>
          <w:sz w:val="21"/>
        </w:rPr>
      </w:pPr>
      <w:r>
        <w:rPr>
          <w:sz w:val="21"/>
        </w:rPr>
        <w:t>隐患体分类与分级</w:t>
      </w:r>
      <w:r>
        <w:rPr>
          <w:rFonts w:ascii="Times New Roman" w:eastAsia="Times New Roman"/>
          <w:sz w:val="21"/>
        </w:rPr>
        <w:tab/>
      </w:r>
      <w:r>
        <w:rPr>
          <w:sz w:val="21"/>
        </w:rPr>
        <w:t>3</w:t>
      </w:r>
    </w:p>
    <w:p>
      <w:pPr>
        <w:pStyle w:val="ListParagraph"/>
        <w:numPr>
          <w:ilvl w:val="0"/>
          <w:numId w:val="33"/>
        </w:numPr>
        <w:tabs>
          <w:tab w:val="left" w:pos="1388"/>
          <w:tab w:val="right" w:leader="dot" w:pos="10520"/>
        </w:tabs>
        <w:spacing w:before="131" w:after="0" w:line="240" w:lineRule="auto"/>
        <w:ind w:left="1387" w:right="0" w:hanging="210"/>
        <w:jc w:val="left"/>
        <w:rPr>
          <w:sz w:val="21"/>
        </w:rPr>
      </w:pPr>
      <w:r>
        <w:rPr>
          <w:sz w:val="21"/>
        </w:rPr>
        <w:t>三维探地雷达系统</w:t>
      </w:r>
      <w:r>
        <w:rPr>
          <w:rFonts w:ascii="Times New Roman" w:eastAsia="Times New Roman"/>
          <w:sz w:val="21"/>
        </w:rPr>
        <w:tab/>
      </w:r>
      <w:r>
        <w:rPr>
          <w:sz w:val="21"/>
        </w:rPr>
        <w:t>5</w:t>
      </w:r>
    </w:p>
    <w:p>
      <w:pPr>
        <w:pStyle w:val="ListParagraph"/>
        <w:numPr>
          <w:ilvl w:val="0"/>
          <w:numId w:val="33"/>
        </w:numPr>
        <w:tabs>
          <w:tab w:val="left" w:pos="1388"/>
          <w:tab w:val="right" w:leader="dot" w:pos="10520"/>
        </w:tabs>
        <w:spacing w:before="130" w:after="0" w:line="240" w:lineRule="auto"/>
        <w:ind w:left="1387" w:right="0" w:hanging="210"/>
        <w:jc w:val="left"/>
        <w:rPr>
          <w:sz w:val="21"/>
        </w:rPr>
      </w:pPr>
      <w:r>
        <w:rPr>
          <w:sz w:val="21"/>
        </w:rPr>
        <w:t>探测方法与流程</w:t>
      </w:r>
      <w:r>
        <w:rPr>
          <w:rFonts w:ascii="Times New Roman" w:eastAsia="Times New Roman"/>
          <w:sz w:val="21"/>
        </w:rPr>
        <w:tab/>
      </w:r>
      <w:r>
        <w:rPr>
          <w:sz w:val="21"/>
        </w:rPr>
        <w:t>7</w:t>
      </w:r>
    </w:p>
    <w:p>
      <w:pPr>
        <w:pStyle w:val="ListParagraph"/>
        <w:numPr>
          <w:ilvl w:val="0"/>
          <w:numId w:val="33"/>
        </w:numPr>
        <w:tabs>
          <w:tab w:val="left" w:pos="1388"/>
          <w:tab w:val="right" w:leader="dot" w:pos="10522"/>
        </w:tabs>
        <w:spacing w:before="131" w:after="0" w:line="240" w:lineRule="auto"/>
        <w:ind w:left="1387" w:right="0" w:hanging="210"/>
        <w:jc w:val="left"/>
        <w:rPr>
          <w:sz w:val="21"/>
        </w:rPr>
      </w:pPr>
      <w:r>
        <w:rPr>
          <w:sz w:val="21"/>
        </w:rPr>
        <w:t>成果的编制和提交</w:t>
      </w:r>
      <w:r>
        <w:rPr>
          <w:rFonts w:ascii="Times New Roman" w:eastAsia="Times New Roman"/>
          <w:sz w:val="21"/>
        </w:rPr>
        <w:tab/>
      </w:r>
      <w:r>
        <w:rPr>
          <w:sz w:val="21"/>
        </w:rPr>
        <w:t>13</w:t>
      </w:r>
    </w:p>
    <w:p>
      <w:pPr>
        <w:pStyle w:val="BodyText"/>
        <w:tabs>
          <w:tab w:val="right" w:leader="dot" w:pos="10522"/>
        </w:tabs>
        <w:spacing w:before="132"/>
        <w:ind w:left="1178"/>
      </w:pPr>
      <w:r>
        <w:t>附录</w:t>
      </w:r>
      <w:r>
        <w:rPr>
          <w:spacing w:val="-54"/>
        </w:rPr>
        <w:t xml:space="preserve"> </w:t>
      </w:r>
      <w:r>
        <w:t>A（规范性） 城镇道路雷达探测原始记录表</w:t>
      </w:r>
      <w:r>
        <w:rPr>
          <w:rFonts w:ascii="Times New Roman" w:eastAsia="Times New Roman"/>
        </w:rPr>
        <w:tab/>
      </w:r>
      <w:r>
        <w:t>15</w:t>
      </w:r>
    </w:p>
    <w:p>
      <w:pPr>
        <w:pStyle w:val="BodyText"/>
        <w:tabs>
          <w:tab w:val="right" w:leader="dot" w:pos="10522"/>
        </w:tabs>
        <w:spacing w:before="130"/>
        <w:ind w:left="1178"/>
      </w:pPr>
      <w:r>
        <w:pict>
          <v:shape id="_x0000_s1034" type="#_x0000_t202" style="width:560pt;height:384pt;margin-top:18.85pt;margin-left:17pt;mso-position-horizontal-relative:page;position:absolute;z-index:-251651072" filled="f" stroked="f">
            <v:textbox inset="0,0,0,0">
              <w:txbxContent>
                <w:p>
                  <w:pPr>
                    <w:pStyle w:val="BodyText"/>
                    <w:tabs>
                      <w:tab w:val="right" w:leader="dot" w:pos="10422"/>
                    </w:tabs>
                    <w:spacing w:before="154"/>
                    <w:ind w:left="1078"/>
                  </w:pPr>
                  <w:r>
                    <w:t>附录</w:t>
                  </w:r>
                  <w:r>
                    <w:rPr>
                      <w:spacing w:val="-54"/>
                    </w:rPr>
                    <w:t xml:space="preserve"> </w:t>
                  </w:r>
                  <w:r>
                    <w:t>C（规范性） 城镇道路坍塌隐患复测验证记录表</w:t>
                  </w:r>
                  <w:r>
                    <w:rPr>
                      <w:rFonts w:ascii="Times New Roman" w:eastAsia="Times New Roman"/>
                    </w:rPr>
                    <w:tab/>
                  </w:r>
                  <w:r>
                    <w:t>17</w:t>
                  </w:r>
                </w:p>
                <w:p>
                  <w:pPr>
                    <w:pStyle w:val="BodyText"/>
                    <w:tabs>
                      <w:tab w:val="right" w:leader="dot" w:pos="10422"/>
                    </w:tabs>
                    <w:spacing w:before="131"/>
                    <w:ind w:left="1078"/>
                  </w:pPr>
                  <w:r>
                    <w:t>附录</w:t>
                  </w:r>
                  <w:r>
                    <w:rPr>
                      <w:spacing w:val="-54"/>
                    </w:rPr>
                    <w:t xml:space="preserve"> </w:t>
                  </w:r>
                  <w:r>
                    <w:t>D（规范性） 城镇道路坍塌隐患成果汇总表</w:t>
                  </w:r>
                  <w:r>
                    <w:rPr>
                      <w:rFonts w:ascii="Times New Roman" w:eastAsia="Times New Roman"/>
                    </w:rPr>
                    <w:tab/>
                  </w:r>
                  <w:r>
                    <w:t>18</w:t>
                  </w:r>
                </w:p>
                <w:p>
                  <w:pPr>
                    <w:pStyle w:val="BodyText"/>
                    <w:tabs>
                      <w:tab w:val="right" w:leader="dot" w:pos="10422"/>
                    </w:tabs>
                    <w:spacing w:before="130"/>
                    <w:ind w:left="1078"/>
                  </w:pPr>
                  <w:r>
                    <w:t>附录</w:t>
                  </w:r>
                  <w:r>
                    <w:rPr>
                      <w:spacing w:val="-54"/>
                    </w:rPr>
                    <w:t xml:space="preserve"> </w:t>
                  </w:r>
                  <w:r>
                    <w:t>E（规范性） 城镇道路坍塌隐患信息卡</w:t>
                  </w:r>
                  <w:r>
                    <w:rPr>
                      <w:rFonts w:ascii="Times New Roman" w:eastAsia="Times New Roman"/>
                    </w:rPr>
                    <w:tab/>
                  </w:r>
                  <w:r>
                    <w:t>20</w:t>
                  </w:r>
                </w:p>
                <w:p>
                  <w:pPr>
                    <w:pStyle w:val="BodyText"/>
                    <w:tabs>
                      <w:tab w:val="right" w:leader="dot" w:pos="10422"/>
                    </w:tabs>
                    <w:spacing w:before="131"/>
                    <w:ind w:left="1078"/>
                  </w:pPr>
                  <w:r>
                    <w:t>附录</w:t>
                  </w:r>
                  <w:r>
                    <w:rPr>
                      <w:spacing w:val="-54"/>
                    </w:rPr>
                    <w:t xml:space="preserve"> </w:t>
                  </w:r>
                  <w:r>
                    <w:t>F（资料性） 城镇道路坍塌隐患分布图（示例图）</w:t>
                  </w:r>
                  <w:r>
                    <w:rPr>
                      <w:rFonts w:ascii="Times New Roman" w:eastAsia="Times New Roman"/>
                    </w:rPr>
                    <w:tab/>
                  </w:r>
                  <w:r>
                    <w:t>21</w:t>
                  </w:r>
                </w:p>
                <w:p>
                  <w:pPr>
                    <w:pStyle w:val="BodyText"/>
                    <w:tabs>
                      <w:tab w:val="right" w:leader="dot" w:pos="10422"/>
                    </w:tabs>
                    <w:spacing w:before="132"/>
                    <w:ind w:left="1078"/>
                  </w:pPr>
                  <w:r>
                    <w:t>附录</w:t>
                  </w:r>
                  <w:r>
                    <w:rPr>
                      <w:spacing w:val="-54"/>
                    </w:rPr>
                    <w:t xml:space="preserve"> </w:t>
                  </w:r>
                  <w:r>
                    <w:t>G（资料性） 三维探地雷达成果数据提交表</w:t>
                  </w:r>
                  <w:r>
                    <w:rPr>
                      <w:rFonts w:ascii="Times New Roman" w:eastAsia="Times New Roman"/>
                    </w:rPr>
                    <w:tab/>
                  </w:r>
                  <w:r>
                    <w:t>23</w:t>
                  </w:r>
                </w:p>
              </w:txbxContent>
            </v:textbox>
          </v:shape>
        </w:pict>
      </w:r>
      <w:r>
        <w:drawing>
          <wp:anchor distT="0" distB="0" distL="0" distR="0" simplePos="0" relativeHeight="251663360" behindDoc="0" locked="0" layoutInCell="1" allowOverlap="1">
            <wp:simplePos x="0" y="0"/>
            <wp:positionH relativeFrom="page">
              <wp:posOffset>215900</wp:posOffset>
            </wp:positionH>
            <wp:positionV relativeFrom="paragraph">
              <wp:posOffset>239395</wp:posOffset>
            </wp:positionV>
            <wp:extent cx="7112000" cy="4876800"/>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t>附录</w:t>
      </w:r>
      <w:r>
        <w:rPr>
          <w:spacing w:val="-54"/>
        </w:rPr>
        <w:t xml:space="preserve"> </w:t>
      </w:r>
      <w:r>
        <w:t>B（资料性） 典型雷达图谱示例</w:t>
      </w:r>
      <w:r>
        <w:rPr>
          <w:rFonts w:ascii="Times New Roman" w:eastAsia="Times New Roman"/>
        </w:rPr>
        <w:tab/>
      </w:r>
      <w:r>
        <w:t>16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0"/>
        </w:rPr>
      </w:pPr>
      <w:r>
        <w:pict>
          <v:rect id="_x0000_s1035" style="width:30pt;height:45.72pt;margin-top:8.86pt;margin-left:503.28pt;mso-position-horizontal-relative:page;mso-wrap-distance-left:0;mso-wrap-distance-right:0;position:absolute;z-index:-251650048" filled="t" fillcolor="white" stroked="f">
            <v:fill type="solid"/>
            <w10:wrap type="topAndBottom"/>
          </v:rect>
        </w:pict>
      </w:r>
    </w:p>
    <w:p>
      <w:pPr>
        <w:spacing w:after="0"/>
        <w:rPr>
          <w:sz w:val="10"/>
        </w:rPr>
        <w:sectPr>
          <w:headerReference w:type="default" r:id="rId6"/>
          <w:pgSz w:w="11910" w:h="16840"/>
          <w:pgMar w:top="1640" w:right="260" w:bottom="280" w:left="240" w:header="1449" w:footer="0"/>
          <w:pgNumType w:start="2"/>
          <w:cols w:space="708"/>
        </w:sectPr>
      </w:pPr>
    </w:p>
    <w:p>
      <w:pPr>
        <w:pStyle w:val="BodyText"/>
        <w:rPr>
          <w:sz w:val="20"/>
        </w:rPr>
      </w:pPr>
    </w:p>
    <w:p>
      <w:pPr>
        <w:pStyle w:val="BodyText"/>
        <w:rPr>
          <w:sz w:val="20"/>
        </w:rPr>
      </w:pPr>
    </w:p>
    <w:p>
      <w:pPr>
        <w:pStyle w:val="BodyText"/>
        <w:spacing w:before="11"/>
        <w:rPr>
          <w:sz w:val="22"/>
        </w:rPr>
      </w:pPr>
    </w:p>
    <w:p>
      <w:pPr>
        <w:tabs>
          <w:tab w:val="left" w:pos="1258"/>
        </w:tabs>
        <w:spacing w:before="55"/>
        <w:ind w:left="303" w:right="0" w:firstLine="0"/>
        <w:jc w:val="center"/>
        <w:rPr>
          <w:rFonts w:ascii="黑体" w:eastAsia="黑体" w:hint="eastAsia"/>
          <w:sz w:val="32"/>
        </w:rPr>
      </w:pPr>
      <w:bookmarkStart w:id="0" w:name="前言"/>
      <w:bookmarkEnd w:id="0"/>
      <w:r>
        <w:rPr>
          <w:rFonts w:ascii="黑体" w:eastAsia="黑体" w:hint="eastAsia"/>
          <w:sz w:val="32"/>
        </w:rPr>
        <w:t>前</w:t>
        <w:tab/>
        <w:t>言</w:t>
      </w:r>
    </w:p>
    <w:p>
      <w:pPr>
        <w:pStyle w:val="BodyText"/>
        <w:spacing w:before="5"/>
        <w:rPr>
          <w:rFonts w:ascii="黑体"/>
          <w:sz w:val="46"/>
        </w:rPr>
      </w:pPr>
    </w:p>
    <w:p>
      <w:pPr>
        <w:pStyle w:val="BodyText"/>
        <w:spacing w:line="278" w:lineRule="auto"/>
        <w:ind w:left="1178" w:right="872" w:firstLine="420"/>
      </w:pPr>
      <w:r>
        <w:rPr>
          <w:spacing w:val="-9"/>
        </w:rPr>
        <w:t xml:space="preserve">本文件按照 </w:t>
      </w:r>
      <w:r>
        <w:t>GB/T 1.1—2020</w:t>
      </w:r>
      <w:r>
        <w:rPr>
          <w:spacing w:val="-5"/>
        </w:rPr>
        <w:t xml:space="preserve">《标准化工作导则 第 </w:t>
      </w:r>
      <w:r>
        <w:t>1</w:t>
      </w:r>
      <w:r>
        <w:rPr>
          <w:spacing w:val="-6"/>
        </w:rPr>
        <w:t xml:space="preserve"> 部分：标准化文件的结构和起草规则》的规定起草。</w:t>
      </w:r>
    </w:p>
    <w:p>
      <w:pPr>
        <w:pStyle w:val="BodyText"/>
        <w:spacing w:line="278" w:lineRule="auto"/>
        <w:ind w:left="1598" w:right="2036"/>
      </w:pPr>
      <w:r>
        <w:rPr>
          <w:w w:val="95"/>
        </w:rPr>
        <w:t xml:space="preserve">请注意本文件的某些内容可能涉及专利。本文件的发布机构不承担识别专利的责任。  </w:t>
      </w:r>
      <w:r>
        <w:t>本文件由黑龙江省住房和城乡建设厅提出并归口。</w:t>
      </w:r>
    </w:p>
    <w:p>
      <w:pPr>
        <w:pStyle w:val="BodyText"/>
        <w:spacing w:line="278" w:lineRule="auto"/>
        <w:ind w:left="1178" w:right="875" w:firstLine="420"/>
        <w:jc w:val="both"/>
      </w:pPr>
      <w:r>
        <w:rPr>
          <w:spacing w:val="-7"/>
          <w:w w:val="95"/>
        </w:rPr>
        <w:t xml:space="preserve">本文件起草单位：黑龙江省科学院、深圳安德空间技术有限公司、住房和城乡建设部科技与产业化   </w:t>
      </w:r>
      <w:r>
        <w:rPr>
          <w:spacing w:val="-11"/>
          <w:w w:val="95"/>
        </w:rPr>
        <w:t xml:space="preserve">发展中心、清华大学、哈尔滨工业大学、黑龙江大学、哈尔滨市城市道路桥梁服务中心、七台河市市政   </w:t>
      </w:r>
      <w:r>
        <w:rPr>
          <w:spacing w:val="-11"/>
        </w:rPr>
        <w:t>设施服务中心、浙江华东岩土勘察设计研究院有限公司、建勘勘测有限公司。</w:t>
      </w:r>
    </w:p>
    <w:p>
      <w:pPr>
        <w:pStyle w:val="BodyText"/>
        <w:spacing w:line="278" w:lineRule="auto"/>
        <w:ind w:left="1178" w:right="872" w:firstLine="420"/>
        <w:jc w:val="both"/>
      </w:pPr>
      <w:r>
        <w:drawing>
          <wp:anchor distT="0" distB="0" distL="0" distR="0" simplePos="0" relativeHeight="251667456" behindDoc="0" locked="0" layoutInCell="1" allowOverlap="1">
            <wp:simplePos x="0" y="0"/>
            <wp:positionH relativeFrom="page">
              <wp:posOffset>215900</wp:posOffset>
            </wp:positionH>
            <wp:positionV relativeFrom="paragraph">
              <wp:posOffset>1619884</wp:posOffset>
            </wp:positionV>
            <wp:extent cx="7112000" cy="487680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9"/>
          <w:w w:val="95"/>
        </w:rPr>
        <w:t xml:space="preserve">本文件主要起草人：孙思文、宋昌江、丛晓丹、胡玥明、秦鹏、董超、石玉柱、庄锦锋、狄毅、陈   </w:t>
      </w:r>
      <w:r>
        <w:rPr>
          <w:spacing w:val="-8"/>
          <w:w w:val="95"/>
        </w:rPr>
        <w:t xml:space="preserve">伟、潘鹏、沈锋、刘洪波、关剑明、王琪、郭迎皓、邸宇鹏、翁鹏飞、宁英海、王军、李尧、唐剑、库   </w:t>
      </w:r>
      <w:r>
        <w:rPr>
          <w:spacing w:val="-8"/>
        </w:rPr>
        <w:t>捷峰、王俊、王文贯、崔艺莹、段有全、全东、刘慧芳、刘兢科。</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8"/>
        </w:rPr>
      </w:pPr>
      <w:r>
        <w:pict>
          <v:shape id="_x0000_s1036" type="#_x0000_t202" style="width:10.1pt;height:9pt;margin-top:20.09pt;margin-left:518.04pt;mso-position-horizontal-relative:page;mso-wrap-distance-left:0;mso-wrap-distance-right:0;position:absolute;z-index:-251648000" filled="f" stroked="f">
            <v:textbox inset="0,0,0,0">
              <w:txbxContent>
                <w:p>
                  <w:pPr>
                    <w:spacing w:before="0" w:line="180" w:lineRule="exact"/>
                    <w:ind w:left="0" w:right="0" w:firstLine="0"/>
                    <w:jc w:val="left"/>
                    <w:rPr>
                      <w:sz w:val="18"/>
                    </w:rPr>
                  </w:pPr>
                  <w:r>
                    <w:rPr>
                      <w:sz w:val="18"/>
                    </w:rPr>
                    <w:t>II</w:t>
                  </w:r>
                </w:p>
              </w:txbxContent>
            </v:textbox>
            <w10:wrap type="topAndBottom"/>
          </v:shape>
        </w:pict>
      </w:r>
    </w:p>
    <w:p>
      <w:pPr>
        <w:spacing w:after="0"/>
        <w:rPr>
          <w:sz w:val="28"/>
        </w:rPr>
        <w:sectPr>
          <w:headerReference w:type="default" r:id="rId7"/>
          <w:pgSz w:w="11910" w:h="16840"/>
          <w:pgMar w:top="1640" w:right="260" w:bottom="280" w:left="240" w:header="1449" w:footer="0"/>
          <w:pgNumType w:start="3"/>
          <w:cols w:space="708"/>
        </w:sectPr>
      </w:pPr>
    </w:p>
    <w:p>
      <w:pPr>
        <w:pStyle w:val="BodyText"/>
        <w:rPr>
          <w:sz w:val="20"/>
        </w:rPr>
      </w:pPr>
    </w:p>
    <w:p>
      <w:pPr>
        <w:pStyle w:val="BodyText"/>
        <w:rPr>
          <w:sz w:val="20"/>
        </w:rPr>
      </w:pPr>
    </w:p>
    <w:p>
      <w:pPr>
        <w:pStyle w:val="BodyText"/>
        <w:spacing w:before="6"/>
        <w:rPr>
          <w:sz w:val="14"/>
        </w:rPr>
      </w:pPr>
    </w:p>
    <w:p>
      <w:pPr>
        <w:pStyle w:val="Heading1"/>
        <w:ind w:left="2065" w:right="1765"/>
      </w:pPr>
      <w:r>
        <w:t>黑龙江省城镇道路三维探地雷达探测技术规程</w:t>
      </w:r>
    </w:p>
    <w:p>
      <w:pPr>
        <w:pStyle w:val="BodyText"/>
        <w:rPr>
          <w:rFonts w:ascii="黑体"/>
          <w:sz w:val="20"/>
        </w:rPr>
      </w:pPr>
    </w:p>
    <w:p>
      <w:pPr>
        <w:pStyle w:val="BodyText"/>
        <w:spacing w:before="4"/>
        <w:rPr>
          <w:rFonts w:ascii="黑体"/>
          <w:sz w:val="25"/>
        </w:rPr>
      </w:pPr>
    </w:p>
    <w:p>
      <w:pPr>
        <w:pStyle w:val="ListParagraph"/>
        <w:numPr>
          <w:ilvl w:val="0"/>
          <w:numId w:val="32"/>
        </w:numPr>
        <w:tabs>
          <w:tab w:val="left" w:pos="1479"/>
        </w:tabs>
        <w:spacing w:before="72" w:after="0" w:line="240" w:lineRule="auto"/>
        <w:ind w:left="1478" w:right="0" w:hanging="301"/>
        <w:jc w:val="left"/>
        <w:rPr>
          <w:rFonts w:ascii="黑体" w:eastAsia="黑体" w:hint="eastAsia"/>
          <w:sz w:val="21"/>
        </w:rPr>
      </w:pPr>
      <w:bookmarkStart w:id="1" w:name="1　范围"/>
      <w:bookmarkEnd w:id="1"/>
      <w:r>
        <w:rPr>
          <w:rFonts w:ascii="黑体" w:eastAsia="黑体" w:hint="eastAsia"/>
          <w:sz w:val="21"/>
        </w:rPr>
        <w:t>范围</w:t>
      </w:r>
    </w:p>
    <w:p>
      <w:pPr>
        <w:pStyle w:val="BodyText"/>
        <w:spacing w:before="7"/>
        <w:rPr>
          <w:rFonts w:ascii="黑体"/>
          <w:sz w:val="27"/>
        </w:rPr>
      </w:pPr>
    </w:p>
    <w:p>
      <w:pPr>
        <w:pStyle w:val="BodyText"/>
        <w:spacing w:line="278" w:lineRule="auto"/>
        <w:ind w:left="1178" w:right="872" w:firstLine="420"/>
      </w:pPr>
      <w:r>
        <w:rPr>
          <w:spacing w:val="-4"/>
          <w:w w:val="95"/>
        </w:rPr>
        <w:t xml:space="preserve">本文件规定了黑龙江省城镇道路三维探地雷达探测技术规程的术语和定义、基本规定、项目类别及   </w:t>
      </w:r>
      <w:r>
        <w:rPr>
          <w:spacing w:val="-4"/>
        </w:rPr>
        <w:t>要求、隐患体分类与分级、三维探地雷达系统、探测方法与流程、成果的编制和提交。</w:t>
      </w:r>
    </w:p>
    <w:p>
      <w:pPr>
        <w:pStyle w:val="BodyText"/>
        <w:spacing w:line="269" w:lineRule="exact"/>
        <w:ind w:left="1598"/>
      </w:pPr>
      <w:r>
        <w:t>本文件适用于黑龙江省城镇道路、园区道路、公园广场等区域的道路坍塌隐患探测与管理。</w:t>
      </w:r>
    </w:p>
    <w:p>
      <w:pPr>
        <w:pStyle w:val="BodyText"/>
        <w:spacing w:before="11"/>
        <w:rPr>
          <w:sz w:val="27"/>
        </w:rPr>
      </w:pPr>
    </w:p>
    <w:p>
      <w:pPr>
        <w:pStyle w:val="ListParagraph"/>
        <w:numPr>
          <w:ilvl w:val="0"/>
          <w:numId w:val="32"/>
        </w:numPr>
        <w:tabs>
          <w:tab w:val="left" w:pos="1479"/>
        </w:tabs>
        <w:spacing w:before="0" w:after="0" w:line="240" w:lineRule="auto"/>
        <w:ind w:left="1478" w:right="0" w:hanging="301"/>
        <w:jc w:val="left"/>
        <w:rPr>
          <w:rFonts w:ascii="黑体" w:eastAsia="黑体" w:hint="eastAsia"/>
          <w:sz w:val="21"/>
        </w:rPr>
      </w:pPr>
      <w:bookmarkStart w:id="2" w:name="2　规范性引用文件"/>
      <w:bookmarkEnd w:id="2"/>
      <w:r>
        <w:rPr>
          <w:rFonts w:ascii="黑体" w:eastAsia="黑体" w:hint="eastAsia"/>
          <w:sz w:val="21"/>
        </w:rPr>
        <w:t>规范性引用文件</w:t>
      </w:r>
    </w:p>
    <w:p>
      <w:pPr>
        <w:pStyle w:val="BodyText"/>
        <w:spacing w:before="7"/>
        <w:rPr>
          <w:rFonts w:ascii="黑体"/>
          <w:sz w:val="27"/>
        </w:rPr>
      </w:pPr>
    </w:p>
    <w:p>
      <w:pPr>
        <w:pStyle w:val="BodyText"/>
        <w:spacing w:line="278" w:lineRule="auto"/>
        <w:ind w:left="1178" w:right="768" w:firstLine="420"/>
      </w:pPr>
      <w:r>
        <w:rPr>
          <w:spacing w:val="-7"/>
          <w:w w:val="95"/>
        </w:rPr>
        <w:t xml:space="preserve">下列文件中的内容通过文中的规范性引用而构成本文件必不可少的条款。其中，注日期的引用文件，   </w:t>
      </w:r>
      <w:r>
        <w:rPr>
          <w:spacing w:val="-10"/>
        </w:rPr>
        <w:t>仅该日期对应的版本适用于本文件；不注日期的引用文件，其最新版本</w:t>
      </w:r>
      <w:r>
        <w:t>（包括所有的修改单</w:t>
      </w:r>
      <w:r>
        <w:rPr>
          <w:spacing w:val="-25"/>
        </w:rPr>
        <w:t>）</w:t>
      </w:r>
      <w:r>
        <w:t>适用于本文件。</w:t>
      </w:r>
    </w:p>
    <w:p>
      <w:pPr>
        <w:pStyle w:val="BodyText"/>
        <w:spacing w:line="269" w:lineRule="exact"/>
        <w:ind w:left="1598"/>
      </w:pPr>
      <w:r>
        <w:t>GB 50268 给水排水管道工程施工及验收规范</w:t>
      </w:r>
    </w:p>
    <w:p>
      <w:pPr>
        <w:pStyle w:val="BodyText"/>
        <w:spacing w:before="43"/>
        <w:ind w:left="1598"/>
      </w:pPr>
      <w:r>
        <w:drawing>
          <wp:anchor distT="0" distB="0" distL="0" distR="0" simplePos="0" relativeHeight="251669504" behindDoc="0" locked="0" layoutInCell="1" allowOverlap="1">
            <wp:simplePos x="0" y="0"/>
            <wp:positionH relativeFrom="page">
              <wp:posOffset>215900</wp:posOffset>
            </wp:positionH>
            <wp:positionV relativeFrom="paragraph">
              <wp:posOffset>690130</wp:posOffset>
            </wp:positionV>
            <wp:extent cx="7112000" cy="4876800"/>
            <wp:effectExtent l="0" t="0" r="0" b="0"/>
            <wp:wrapNone/>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t>CJJ 36 城镇道路养护技术规范</w:t>
      </w:r>
    </w:p>
    <w:p>
      <w:pPr>
        <w:pStyle w:val="BodyText"/>
        <w:spacing w:before="9"/>
        <w:rPr>
          <w:sz w:val="5"/>
        </w:rPr>
      </w:pPr>
    </w:p>
    <w:tbl>
      <w:tblPr>
        <w:tblStyle w:val="TableNormal0"/>
        <w:tblW w:w="0" w:type="auto"/>
        <w:jc w:val="lef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27"/>
        <w:gridCol w:w="420"/>
        <w:gridCol w:w="4405"/>
      </w:tblGrid>
      <w:tr>
        <w:tblPrEx>
          <w:tblW w:w="0" w:type="auto"/>
          <w:jc w:val="left"/>
          <w:tblInd w:w="15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60"/>
          <w:jc w:val="left"/>
        </w:trPr>
        <w:tc>
          <w:tcPr>
            <w:tcW w:w="627" w:type="dxa"/>
          </w:tcPr>
          <w:p>
            <w:pPr>
              <w:pStyle w:val="TableParagraph"/>
              <w:spacing w:line="239" w:lineRule="exact"/>
              <w:ind w:right="50"/>
              <w:jc w:val="right"/>
              <w:rPr>
                <w:sz w:val="21"/>
              </w:rPr>
            </w:pPr>
            <w:r>
              <w:rPr>
                <w:sz w:val="21"/>
              </w:rPr>
              <w:t>CJJ/T</w:t>
            </w:r>
          </w:p>
        </w:tc>
        <w:tc>
          <w:tcPr>
            <w:tcW w:w="420" w:type="dxa"/>
          </w:tcPr>
          <w:p>
            <w:pPr>
              <w:pStyle w:val="TableParagraph"/>
              <w:spacing w:line="239" w:lineRule="exact"/>
              <w:ind w:left="51"/>
              <w:rPr>
                <w:sz w:val="21"/>
              </w:rPr>
            </w:pPr>
            <w:r>
              <w:rPr>
                <w:sz w:val="21"/>
              </w:rPr>
              <w:t>210</w:t>
            </w:r>
          </w:p>
        </w:tc>
        <w:tc>
          <w:tcPr>
            <w:tcW w:w="4405" w:type="dxa"/>
          </w:tcPr>
          <w:p>
            <w:pPr>
              <w:pStyle w:val="TableParagraph"/>
              <w:spacing w:line="239" w:lineRule="exact"/>
              <w:ind w:left="157"/>
              <w:rPr>
                <w:sz w:val="21"/>
              </w:rPr>
            </w:pPr>
            <w:r>
              <w:rPr>
                <w:sz w:val="21"/>
              </w:rPr>
              <w:t>城镇排水管道非开挖修复更新工程技术规程</w:t>
            </w:r>
          </w:p>
        </w:tc>
      </w:tr>
      <w:tr>
        <w:tblPrEx>
          <w:tblW w:w="0" w:type="auto"/>
          <w:jc w:val="left"/>
          <w:tblInd w:w="1555" w:type="dxa"/>
          <w:tblLayout w:type="fixed"/>
          <w:tblCellMar>
            <w:top w:w="0" w:type="dxa"/>
            <w:left w:w="0" w:type="dxa"/>
            <w:bottom w:w="0" w:type="dxa"/>
            <w:right w:w="0" w:type="dxa"/>
          </w:tblCellMar>
          <w:tblLook w:val="01E0"/>
        </w:tblPrEx>
        <w:trPr>
          <w:trHeight w:val="311"/>
          <w:jc w:val="left"/>
        </w:trPr>
        <w:tc>
          <w:tcPr>
            <w:tcW w:w="627" w:type="dxa"/>
          </w:tcPr>
          <w:p>
            <w:pPr>
              <w:pStyle w:val="TableParagraph"/>
              <w:spacing w:before="21"/>
              <w:ind w:right="50"/>
              <w:jc w:val="right"/>
              <w:rPr>
                <w:sz w:val="21"/>
              </w:rPr>
            </w:pPr>
            <w:r>
              <w:rPr>
                <w:sz w:val="21"/>
              </w:rPr>
              <w:t>CJJ/T</w:t>
            </w:r>
          </w:p>
        </w:tc>
        <w:tc>
          <w:tcPr>
            <w:tcW w:w="420" w:type="dxa"/>
          </w:tcPr>
          <w:p>
            <w:pPr>
              <w:pStyle w:val="TableParagraph"/>
              <w:spacing w:before="21"/>
              <w:ind w:left="51"/>
              <w:rPr>
                <w:sz w:val="21"/>
              </w:rPr>
            </w:pPr>
            <w:r>
              <w:rPr>
                <w:sz w:val="21"/>
              </w:rPr>
              <w:t>260</w:t>
            </w:r>
          </w:p>
        </w:tc>
        <w:tc>
          <w:tcPr>
            <w:tcW w:w="4405" w:type="dxa"/>
          </w:tcPr>
          <w:p>
            <w:pPr>
              <w:pStyle w:val="TableParagraph"/>
              <w:spacing w:before="21"/>
              <w:ind w:left="157"/>
              <w:rPr>
                <w:sz w:val="21"/>
              </w:rPr>
            </w:pPr>
            <w:r>
              <w:rPr>
                <w:sz w:val="21"/>
              </w:rPr>
              <w:t>道路深层病害非开挖处治技术规程</w:t>
            </w:r>
          </w:p>
        </w:tc>
      </w:tr>
      <w:tr>
        <w:tblPrEx>
          <w:tblW w:w="0" w:type="auto"/>
          <w:jc w:val="left"/>
          <w:tblInd w:w="1555" w:type="dxa"/>
          <w:tblLayout w:type="fixed"/>
          <w:tblCellMar>
            <w:top w:w="0" w:type="dxa"/>
            <w:left w:w="0" w:type="dxa"/>
            <w:bottom w:w="0" w:type="dxa"/>
            <w:right w:w="0" w:type="dxa"/>
          </w:tblCellMar>
          <w:tblLook w:val="01E0"/>
        </w:tblPrEx>
        <w:trPr>
          <w:trHeight w:val="311"/>
          <w:jc w:val="left"/>
        </w:trPr>
        <w:tc>
          <w:tcPr>
            <w:tcW w:w="627" w:type="dxa"/>
          </w:tcPr>
          <w:p>
            <w:pPr>
              <w:pStyle w:val="TableParagraph"/>
              <w:spacing w:before="21"/>
              <w:ind w:right="50"/>
              <w:jc w:val="right"/>
              <w:rPr>
                <w:sz w:val="21"/>
              </w:rPr>
            </w:pPr>
            <w:r>
              <w:rPr>
                <w:sz w:val="21"/>
              </w:rPr>
              <w:t>JGJ/T</w:t>
            </w:r>
          </w:p>
        </w:tc>
        <w:tc>
          <w:tcPr>
            <w:tcW w:w="420" w:type="dxa"/>
          </w:tcPr>
          <w:p>
            <w:pPr>
              <w:pStyle w:val="TableParagraph"/>
              <w:spacing w:before="21"/>
              <w:ind w:left="51"/>
              <w:rPr>
                <w:sz w:val="21"/>
              </w:rPr>
            </w:pPr>
            <w:r>
              <w:rPr>
                <w:sz w:val="21"/>
              </w:rPr>
              <w:t>87</w:t>
            </w:r>
          </w:p>
        </w:tc>
        <w:tc>
          <w:tcPr>
            <w:tcW w:w="4405" w:type="dxa"/>
          </w:tcPr>
          <w:p>
            <w:pPr>
              <w:pStyle w:val="TableParagraph"/>
              <w:spacing w:before="21"/>
              <w:ind w:left="51"/>
              <w:rPr>
                <w:sz w:val="21"/>
              </w:rPr>
            </w:pPr>
            <w:r>
              <w:rPr>
                <w:sz w:val="21"/>
              </w:rPr>
              <w:t>建筑工程地质勘探与取样技术规程</w:t>
            </w:r>
          </w:p>
        </w:tc>
      </w:tr>
      <w:tr>
        <w:tblPrEx>
          <w:tblW w:w="0" w:type="auto"/>
          <w:jc w:val="left"/>
          <w:tblInd w:w="1555" w:type="dxa"/>
          <w:tblLayout w:type="fixed"/>
          <w:tblCellMar>
            <w:top w:w="0" w:type="dxa"/>
            <w:left w:w="0" w:type="dxa"/>
            <w:bottom w:w="0" w:type="dxa"/>
            <w:right w:w="0" w:type="dxa"/>
          </w:tblCellMar>
          <w:tblLook w:val="01E0"/>
        </w:tblPrEx>
        <w:trPr>
          <w:trHeight w:val="260"/>
          <w:jc w:val="left"/>
        </w:trPr>
        <w:tc>
          <w:tcPr>
            <w:tcW w:w="627" w:type="dxa"/>
          </w:tcPr>
          <w:p>
            <w:pPr>
              <w:pStyle w:val="TableParagraph"/>
              <w:spacing w:before="21" w:line="219" w:lineRule="exact"/>
              <w:ind w:right="50"/>
              <w:jc w:val="right"/>
              <w:rPr>
                <w:sz w:val="21"/>
              </w:rPr>
            </w:pPr>
            <w:r>
              <w:rPr>
                <w:sz w:val="21"/>
              </w:rPr>
              <w:t>JGJ/T</w:t>
            </w:r>
          </w:p>
        </w:tc>
        <w:tc>
          <w:tcPr>
            <w:tcW w:w="420" w:type="dxa"/>
          </w:tcPr>
          <w:p>
            <w:pPr>
              <w:pStyle w:val="TableParagraph"/>
              <w:spacing w:before="21" w:line="219" w:lineRule="exact"/>
              <w:ind w:left="51"/>
              <w:rPr>
                <w:sz w:val="21"/>
              </w:rPr>
            </w:pPr>
            <w:r>
              <w:rPr>
                <w:sz w:val="21"/>
              </w:rPr>
              <w:t>437</w:t>
            </w:r>
          </w:p>
        </w:tc>
        <w:tc>
          <w:tcPr>
            <w:tcW w:w="4405" w:type="dxa"/>
          </w:tcPr>
          <w:p>
            <w:pPr>
              <w:pStyle w:val="TableParagraph"/>
              <w:spacing w:before="21" w:line="219" w:lineRule="exact"/>
              <w:ind w:left="157"/>
              <w:rPr>
                <w:sz w:val="21"/>
              </w:rPr>
            </w:pPr>
            <w:r>
              <w:rPr>
                <w:sz w:val="21"/>
              </w:rPr>
              <w:t>城市地下病害体综合探测与风险评估技术标准</w:t>
            </w:r>
          </w:p>
        </w:tc>
      </w:tr>
    </w:tbl>
    <w:p>
      <w:pPr>
        <w:pStyle w:val="BodyText"/>
        <w:spacing w:before="4"/>
        <w:rPr>
          <w:sz w:val="29"/>
        </w:rPr>
      </w:pPr>
      <w:r>
        <w:pict>
          <v:group id="_x0000_s1037" style="width:473.95pt;height:328.25pt;margin-top:20.77pt;margin-left:70.92pt;mso-position-horizontal-relative:page;mso-wrap-distance-left:0;mso-wrap-distance-right:0;position:absolute;z-index:-251645952" coordorigin="1418,415" coordsize="9479,6565">
            <v:shape id="_x0000_s1038" type="#_x0000_t202" style="width:1369;height:211;left:1418;position:absolute;top:415" filled="f" stroked="f">
              <v:textbox inset="0,0,0,0">
                <w:txbxContent>
                  <w:p>
                    <w:pPr>
                      <w:spacing w:before="0" w:line="210" w:lineRule="exact"/>
                      <w:ind w:left="0" w:right="0" w:firstLine="0"/>
                      <w:jc w:val="left"/>
                      <w:rPr>
                        <w:rFonts w:ascii="黑体" w:eastAsia="黑体" w:hint="eastAsia"/>
                        <w:sz w:val="21"/>
                      </w:rPr>
                    </w:pPr>
                    <w:r>
                      <w:rPr>
                        <w:rFonts w:ascii="黑体" w:eastAsia="黑体" w:hint="eastAsia"/>
                        <w:sz w:val="20"/>
                      </w:rPr>
                      <w:t>3</w:t>
                    </w:r>
                    <w:r>
                      <w:rPr>
                        <w:rFonts w:ascii="黑体" w:eastAsia="黑体" w:hint="eastAsia"/>
                        <w:spacing w:val="96"/>
                        <w:sz w:val="20"/>
                      </w:rPr>
                      <w:t xml:space="preserve"> </w:t>
                    </w:r>
                    <w:bookmarkStart w:id="3" w:name="3　术语和定义"/>
                    <w:bookmarkEnd w:id="3"/>
                    <w:r>
                      <w:rPr>
                        <w:rFonts w:ascii="黑体" w:eastAsia="黑体" w:hint="eastAsia"/>
                        <w:sz w:val="21"/>
                      </w:rPr>
                      <w:t>术语和定义</w:t>
                    </w:r>
                  </w:p>
                </w:txbxContent>
              </v:textbox>
            </v:shape>
            <v:shape id="_x0000_s1039" type="#_x0000_t202" style="width:9479;height:5941;left:1418;position:absolute;top:1039" filled="f" stroked="f">
              <v:textbox inset="0,0,0,0">
                <w:txbxContent>
                  <w:p>
                    <w:pPr>
                      <w:spacing w:before="0" w:line="239" w:lineRule="exact"/>
                      <w:ind w:left="420" w:right="0" w:firstLine="0"/>
                      <w:jc w:val="left"/>
                      <w:rPr>
                        <w:sz w:val="21"/>
                      </w:rPr>
                    </w:pPr>
                    <w:r>
                      <w:rPr>
                        <w:sz w:val="21"/>
                      </w:rPr>
                      <w:t>下列术语和定义适用于本文件。</w:t>
                    </w:r>
                  </w:p>
                  <w:p>
                    <w:pPr>
                      <w:spacing w:before="57"/>
                      <w:ind w:left="0" w:right="0" w:firstLine="0"/>
                      <w:jc w:val="left"/>
                      <w:rPr>
                        <w:rFonts w:ascii="黑体"/>
                        <w:sz w:val="20"/>
                      </w:rPr>
                    </w:pPr>
                    <w:r>
                      <w:rPr>
                        <w:rFonts w:ascii="黑体"/>
                        <w:sz w:val="20"/>
                      </w:rPr>
                      <w:t>3.1</w:t>
                    </w:r>
                  </w:p>
                  <w:p>
                    <w:pPr>
                      <w:spacing w:before="46"/>
                      <w:ind w:left="420" w:right="0" w:firstLine="0"/>
                      <w:jc w:val="left"/>
                      <w:rPr>
                        <w:rFonts w:ascii="黑体" w:eastAsia="黑体" w:hint="eastAsia"/>
                        <w:sz w:val="21"/>
                      </w:rPr>
                    </w:pPr>
                    <w:r>
                      <w:rPr>
                        <w:rFonts w:ascii="黑体" w:eastAsia="黑体" w:hint="eastAsia"/>
                        <w:spacing w:val="-1"/>
                        <w:sz w:val="21"/>
                      </w:rPr>
                      <w:t xml:space="preserve">隐患体 </w:t>
                    </w:r>
                    <w:r>
                      <w:rPr>
                        <w:rFonts w:ascii="黑体" w:eastAsia="黑体" w:hint="eastAsia"/>
                        <w:sz w:val="21"/>
                      </w:rPr>
                      <w:t>The</w:t>
                    </w:r>
                    <w:r>
                      <w:rPr>
                        <w:rFonts w:ascii="黑体" w:eastAsia="黑体" w:hint="eastAsia"/>
                        <w:spacing w:val="-2"/>
                        <w:sz w:val="21"/>
                      </w:rPr>
                      <w:t xml:space="preserve"> </w:t>
                    </w:r>
                    <w:r>
                      <w:rPr>
                        <w:rFonts w:ascii="黑体" w:eastAsia="黑体" w:hint="eastAsia"/>
                        <w:sz w:val="21"/>
                      </w:rPr>
                      <w:t>geological</w:t>
                    </w:r>
                    <w:r>
                      <w:rPr>
                        <w:rFonts w:ascii="黑体" w:eastAsia="黑体" w:hint="eastAsia"/>
                        <w:spacing w:val="-3"/>
                        <w:sz w:val="21"/>
                      </w:rPr>
                      <w:t xml:space="preserve"> </w:t>
                    </w:r>
                    <w:r>
                      <w:rPr>
                        <w:rFonts w:ascii="黑体" w:eastAsia="黑体" w:hint="eastAsia"/>
                        <w:sz w:val="21"/>
                      </w:rPr>
                      <w:t>safety hazards</w:t>
                    </w:r>
                    <w:r>
                      <w:rPr>
                        <w:rFonts w:ascii="黑体" w:eastAsia="黑体" w:hint="eastAsia"/>
                        <w:spacing w:val="-1"/>
                        <w:sz w:val="21"/>
                      </w:rPr>
                      <w:t xml:space="preserve"> </w:t>
                    </w:r>
                    <w:r>
                      <w:rPr>
                        <w:rFonts w:ascii="黑体" w:eastAsia="黑体" w:hint="eastAsia"/>
                        <w:sz w:val="21"/>
                      </w:rPr>
                      <w:t>of</w:t>
                    </w:r>
                    <w:r>
                      <w:rPr>
                        <w:rFonts w:ascii="黑体" w:eastAsia="黑体" w:hint="eastAsia"/>
                        <w:spacing w:val="-2"/>
                        <w:sz w:val="21"/>
                      </w:rPr>
                      <w:t xml:space="preserve"> </w:t>
                    </w:r>
                    <w:r>
                      <w:rPr>
                        <w:rFonts w:ascii="黑体" w:eastAsia="黑体" w:hint="eastAsia"/>
                        <w:sz w:val="21"/>
                      </w:rPr>
                      <w:t>adverse</w:t>
                    </w:r>
                    <w:r>
                      <w:rPr>
                        <w:rFonts w:ascii="黑体" w:eastAsia="黑体" w:hint="eastAsia"/>
                        <w:spacing w:val="-3"/>
                        <w:sz w:val="21"/>
                      </w:rPr>
                      <w:t xml:space="preserve"> </w:t>
                    </w:r>
                    <w:r>
                      <w:rPr>
                        <w:rFonts w:ascii="黑体" w:eastAsia="黑体" w:hint="eastAsia"/>
                        <w:sz w:val="21"/>
                      </w:rPr>
                      <w:t>formations</w:t>
                    </w:r>
                  </w:p>
                  <w:p>
                    <w:pPr>
                      <w:spacing w:before="46"/>
                      <w:ind w:left="420" w:right="0" w:firstLine="0"/>
                      <w:jc w:val="left"/>
                      <w:rPr>
                        <w:sz w:val="21"/>
                      </w:rPr>
                    </w:pPr>
                    <w:r>
                      <w:rPr>
                        <w:w w:val="95"/>
                        <w:sz w:val="21"/>
                      </w:rPr>
                      <w:t>城镇道路地面以下的空洞、脱空、疏松体、富水体等不良地质体。</w:t>
                    </w:r>
                  </w:p>
                  <w:p>
                    <w:pPr>
                      <w:spacing w:before="55"/>
                      <w:ind w:left="0" w:right="0" w:firstLine="0"/>
                      <w:jc w:val="left"/>
                      <w:rPr>
                        <w:rFonts w:ascii="黑体"/>
                        <w:sz w:val="20"/>
                      </w:rPr>
                    </w:pPr>
                    <w:r>
                      <w:rPr>
                        <w:rFonts w:ascii="黑体"/>
                        <w:sz w:val="20"/>
                      </w:rPr>
                      <w:t>3.2</w:t>
                    </w:r>
                  </w:p>
                  <w:p>
                    <w:pPr>
                      <w:spacing w:before="46"/>
                      <w:ind w:left="420" w:right="0" w:firstLine="0"/>
                      <w:jc w:val="left"/>
                      <w:rPr>
                        <w:rFonts w:ascii="黑体" w:eastAsia="黑体" w:hint="eastAsia"/>
                        <w:sz w:val="21"/>
                      </w:rPr>
                    </w:pPr>
                    <w:r>
                      <w:rPr>
                        <w:rFonts w:ascii="黑体" w:eastAsia="黑体" w:hint="eastAsia"/>
                        <w:sz w:val="21"/>
                      </w:rPr>
                      <w:t>城镇道路坍塌隐患 The potential safety hazard of the ground collapse</w:t>
                    </w:r>
                  </w:p>
                  <w:p>
                    <w:pPr>
                      <w:spacing w:before="45"/>
                      <w:ind w:left="420" w:right="0" w:firstLine="0"/>
                      <w:jc w:val="left"/>
                      <w:rPr>
                        <w:sz w:val="21"/>
                      </w:rPr>
                    </w:pPr>
                    <w:r>
                      <w:rPr>
                        <w:spacing w:val="-12"/>
                        <w:sz w:val="21"/>
                      </w:rPr>
                      <w:t>存在于城镇道路以下的隐患体，可能造成地面坍塌事件、影响城市运营及市民生命财产安全的隐患。</w:t>
                    </w:r>
                  </w:p>
                  <w:p>
                    <w:pPr>
                      <w:spacing w:before="58"/>
                      <w:ind w:left="0" w:right="0" w:firstLine="0"/>
                      <w:jc w:val="left"/>
                      <w:rPr>
                        <w:rFonts w:ascii="黑体"/>
                        <w:sz w:val="20"/>
                      </w:rPr>
                    </w:pPr>
                    <w:r>
                      <w:rPr>
                        <w:rFonts w:ascii="黑体"/>
                        <w:sz w:val="20"/>
                      </w:rPr>
                      <w:t>3.3</w:t>
                    </w:r>
                  </w:p>
                  <w:p>
                    <w:pPr>
                      <w:spacing w:before="45"/>
                      <w:ind w:left="420" w:right="0" w:firstLine="0"/>
                      <w:jc w:val="left"/>
                      <w:rPr>
                        <w:rFonts w:ascii="黑体" w:eastAsia="黑体" w:hint="eastAsia"/>
                        <w:sz w:val="21"/>
                      </w:rPr>
                    </w:pPr>
                    <w:r>
                      <w:rPr>
                        <w:rFonts w:ascii="黑体" w:eastAsia="黑体" w:hint="eastAsia"/>
                        <w:sz w:val="21"/>
                      </w:rPr>
                      <w:t>空洞 Cavity</w:t>
                    </w:r>
                  </w:p>
                  <w:p>
                    <w:pPr>
                      <w:spacing w:before="46" w:line="278" w:lineRule="auto"/>
                      <w:ind w:left="0" w:right="126" w:firstLine="420"/>
                      <w:jc w:val="left"/>
                      <w:rPr>
                        <w:sz w:val="21"/>
                      </w:rPr>
                    </w:pPr>
                    <w:r>
                      <w:rPr>
                        <w:sz w:val="21"/>
                      </w:rPr>
                      <w:t>发育在城镇道路结构层内部或结构层与下部地岩土之间脱开形成净空大于 50cm 的孔洞或发育在地面以下土体内的孔洞。</w:t>
                    </w:r>
                  </w:p>
                  <w:p>
                    <w:pPr>
                      <w:spacing w:before="12"/>
                      <w:ind w:left="0" w:right="0" w:firstLine="0"/>
                      <w:jc w:val="left"/>
                      <w:rPr>
                        <w:rFonts w:ascii="黑体"/>
                        <w:sz w:val="20"/>
                      </w:rPr>
                    </w:pPr>
                    <w:r>
                      <w:rPr>
                        <w:rFonts w:ascii="黑体"/>
                        <w:sz w:val="20"/>
                      </w:rPr>
                      <w:t>3.4</w:t>
                    </w:r>
                  </w:p>
                  <w:p>
                    <w:pPr>
                      <w:spacing w:before="46"/>
                      <w:ind w:left="420" w:right="0" w:firstLine="0"/>
                      <w:jc w:val="left"/>
                      <w:rPr>
                        <w:rFonts w:ascii="黑体" w:eastAsia="黑体" w:hint="eastAsia"/>
                        <w:sz w:val="21"/>
                      </w:rPr>
                    </w:pPr>
                    <w:r>
                      <w:rPr>
                        <w:rFonts w:ascii="黑体" w:eastAsia="黑体" w:hint="eastAsia"/>
                        <w:sz w:val="21"/>
                      </w:rPr>
                      <w:t>脱空 Cavity underneath pavement</w:t>
                    </w:r>
                  </w:p>
                  <w:p>
                    <w:pPr>
                      <w:spacing w:before="45"/>
                      <w:ind w:left="420" w:right="0" w:firstLine="0"/>
                      <w:jc w:val="left"/>
                      <w:rPr>
                        <w:sz w:val="21"/>
                      </w:rPr>
                    </w:pPr>
                    <w:r>
                      <w:rPr>
                        <w:sz w:val="21"/>
                      </w:rPr>
                      <w:t>发育在城镇道路结构层内部或结构层与下部地岩土之间脱开形成净空小于等于 50cm 的孔洞。</w:t>
                    </w:r>
                  </w:p>
                  <w:p>
                    <w:pPr>
                      <w:spacing w:before="58"/>
                      <w:ind w:left="0" w:right="0" w:firstLine="0"/>
                      <w:jc w:val="left"/>
                      <w:rPr>
                        <w:rFonts w:ascii="黑体"/>
                        <w:sz w:val="20"/>
                      </w:rPr>
                    </w:pPr>
                    <w:r>
                      <w:rPr>
                        <w:rFonts w:ascii="黑体"/>
                        <w:sz w:val="20"/>
                      </w:rPr>
                      <w:t>3.5</w:t>
                    </w:r>
                  </w:p>
                  <w:p>
                    <w:pPr>
                      <w:spacing w:before="46"/>
                      <w:ind w:left="420" w:right="0" w:firstLine="0"/>
                      <w:jc w:val="left"/>
                      <w:rPr>
                        <w:rFonts w:ascii="黑体" w:eastAsia="黑体" w:hint="eastAsia"/>
                        <w:sz w:val="21"/>
                      </w:rPr>
                    </w:pPr>
                    <w:r>
                      <w:rPr>
                        <w:rFonts w:ascii="黑体" w:eastAsia="黑体" w:hint="eastAsia"/>
                        <w:sz w:val="21"/>
                      </w:rPr>
                      <w:t>疏松体 loosely infilled cavity</w:t>
                    </w:r>
                  </w:p>
                  <w:p>
                    <w:pPr>
                      <w:spacing w:before="42" w:line="278" w:lineRule="auto"/>
                      <w:ind w:left="0" w:right="123" w:firstLine="420"/>
                      <w:jc w:val="left"/>
                      <w:rPr>
                        <w:sz w:val="21"/>
                      </w:rPr>
                    </w:pPr>
                    <w:r>
                      <w:rPr>
                        <w:spacing w:val="-4"/>
                        <w:w w:val="95"/>
                        <w:sz w:val="21"/>
                      </w:rPr>
                      <w:t xml:space="preserve">城镇道路下方发育的密实程度明显低于周边介质的不良地质体，在环境荷载及动水条件作用下会进   </w:t>
                    </w:r>
                    <w:r>
                      <w:rPr>
                        <w:spacing w:val="-4"/>
                        <w:sz w:val="21"/>
                      </w:rPr>
                      <w:t>一步发育成空洞或脱空，根据其密实状态分为一般疏松体和严重疏松体。</w:t>
                    </w:r>
                  </w:p>
                  <w:p>
                    <w:pPr>
                      <w:spacing w:before="121" w:line="205" w:lineRule="exact"/>
                      <w:ind w:left="9031" w:right="0" w:firstLine="0"/>
                      <w:jc w:val="left"/>
                      <w:rPr>
                        <w:sz w:val="18"/>
                      </w:rPr>
                    </w:pPr>
                    <w:r>
                      <w:rPr>
                        <w:sz w:val="18"/>
                      </w:rPr>
                      <w:t>1</w:t>
                    </w:r>
                  </w:p>
                </w:txbxContent>
              </v:textbox>
            </v:shape>
            <w10:wrap type="topAndBottom"/>
          </v:group>
        </w:pict>
      </w:r>
    </w:p>
    <w:p>
      <w:pPr>
        <w:spacing w:after="0"/>
        <w:rPr>
          <w:sz w:val="29"/>
        </w:rPr>
        <w:sectPr>
          <w:headerReference w:type="default" r:id="rId8"/>
          <w:pgSz w:w="11910" w:h="16840"/>
          <w:pgMar w:top="1640" w:right="260" w:bottom="280" w:left="240" w:header="1449" w:footer="0"/>
          <w:pgNumType w:start="4"/>
          <w:cols w:space="708"/>
        </w:sectPr>
      </w:pPr>
    </w:p>
    <w:p>
      <w:pPr>
        <w:pStyle w:val="BodyText"/>
        <w:rPr>
          <w:sz w:val="20"/>
        </w:rPr>
      </w:pPr>
    </w:p>
    <w:p>
      <w:pPr>
        <w:pStyle w:val="BodyText"/>
        <w:rPr>
          <w:sz w:val="20"/>
        </w:rPr>
      </w:pPr>
    </w:p>
    <w:p>
      <w:pPr>
        <w:pStyle w:val="BodyText"/>
        <w:spacing w:before="7"/>
        <w:rPr>
          <w:sz w:val="15"/>
        </w:rPr>
      </w:pPr>
    </w:p>
    <w:p>
      <w:pPr>
        <w:spacing w:before="71"/>
        <w:ind w:left="1178" w:right="0" w:firstLine="0"/>
        <w:jc w:val="left"/>
        <w:rPr>
          <w:rFonts w:ascii="黑体"/>
          <w:sz w:val="20"/>
        </w:rPr>
      </w:pPr>
      <w:r>
        <w:rPr>
          <w:rFonts w:ascii="黑体"/>
          <w:sz w:val="20"/>
        </w:rPr>
        <w:t>3.6</w:t>
      </w:r>
    </w:p>
    <w:p>
      <w:pPr>
        <w:pStyle w:val="BodyText"/>
        <w:spacing w:before="46"/>
        <w:ind w:left="1598"/>
        <w:rPr>
          <w:rFonts w:ascii="黑体" w:eastAsia="黑体" w:hint="eastAsia"/>
        </w:rPr>
      </w:pPr>
      <w:r>
        <w:rPr>
          <w:rFonts w:ascii="黑体" w:eastAsia="黑体" w:hint="eastAsia"/>
        </w:rPr>
        <w:t>富水体 Water-rich void</w:t>
      </w:r>
    </w:p>
    <w:p>
      <w:pPr>
        <w:pStyle w:val="BodyText"/>
        <w:spacing w:before="46"/>
        <w:ind w:left="1598"/>
      </w:pPr>
      <w:r>
        <w:t>含水量明显高于周边土体的不良地质体。</w:t>
      </w:r>
    </w:p>
    <w:p>
      <w:pPr>
        <w:spacing w:before="57"/>
        <w:ind w:left="1178" w:right="0" w:firstLine="0"/>
        <w:jc w:val="left"/>
        <w:rPr>
          <w:rFonts w:ascii="黑体"/>
          <w:sz w:val="20"/>
        </w:rPr>
      </w:pPr>
      <w:r>
        <w:rPr>
          <w:rFonts w:ascii="黑体"/>
          <w:sz w:val="20"/>
        </w:rPr>
        <w:t>3.7</w:t>
      </w:r>
    </w:p>
    <w:p>
      <w:pPr>
        <w:pStyle w:val="BodyText"/>
        <w:spacing w:before="44"/>
        <w:ind w:left="1598"/>
        <w:rPr>
          <w:rFonts w:ascii="黑体" w:eastAsia="黑体" w:hint="eastAsia"/>
        </w:rPr>
      </w:pPr>
      <w:r>
        <w:rPr>
          <w:rFonts w:ascii="黑体" w:eastAsia="黑体" w:hint="eastAsia"/>
        </w:rPr>
        <w:t>三维探地雷达探测 Three dimensional Geological radar detection</w:t>
      </w:r>
    </w:p>
    <w:p>
      <w:pPr>
        <w:pStyle w:val="BodyText"/>
        <w:spacing w:before="47"/>
        <w:ind w:left="1598"/>
      </w:pPr>
      <w:r>
        <w:t>采用偏移、阵列天线技术，多道电磁波形成的三维立体集成数据的地质雷达探测方法。</w:t>
      </w:r>
    </w:p>
    <w:p>
      <w:pPr>
        <w:spacing w:before="56"/>
        <w:ind w:left="1178" w:right="0" w:firstLine="0"/>
        <w:jc w:val="left"/>
        <w:rPr>
          <w:rFonts w:ascii="黑体"/>
          <w:sz w:val="20"/>
        </w:rPr>
      </w:pPr>
      <w:r>
        <w:rPr>
          <w:rFonts w:ascii="黑体"/>
          <w:sz w:val="20"/>
        </w:rPr>
        <w:t>3.8</w:t>
      </w:r>
    </w:p>
    <w:p>
      <w:pPr>
        <w:pStyle w:val="BodyText"/>
        <w:spacing w:before="45"/>
        <w:ind w:left="1598"/>
        <w:rPr>
          <w:rFonts w:ascii="黑体" w:eastAsia="黑体" w:hint="eastAsia"/>
        </w:rPr>
      </w:pPr>
      <w:r>
        <w:rPr>
          <w:rFonts w:ascii="黑体" w:eastAsia="黑体" w:hint="eastAsia"/>
        </w:rPr>
        <w:t>雷达图谱 Radar grayscale map</w:t>
      </w:r>
    </w:p>
    <w:p>
      <w:pPr>
        <w:pStyle w:val="BodyText"/>
        <w:spacing w:before="46"/>
        <w:ind w:left="1598"/>
      </w:pPr>
      <w:r>
        <w:t>在雷达系统中，回波信号的强度通常表示目标物体的反射能力或散射特征。雷达图谱是一种用于展</w:t>
      </w:r>
    </w:p>
    <w:p>
      <w:pPr>
        <w:pStyle w:val="BodyText"/>
        <w:spacing w:before="43"/>
        <w:ind w:left="1178"/>
      </w:pPr>
      <w:r>
        <w:t>示雷达回波信号强度的可视化图谱。</w:t>
      </w:r>
    </w:p>
    <w:p>
      <w:pPr>
        <w:pStyle w:val="BodyText"/>
        <w:spacing w:before="11"/>
        <w:rPr>
          <w:sz w:val="27"/>
        </w:rPr>
      </w:pPr>
    </w:p>
    <w:p>
      <w:pPr>
        <w:pStyle w:val="ListParagraph"/>
        <w:numPr>
          <w:ilvl w:val="0"/>
          <w:numId w:val="31"/>
        </w:numPr>
        <w:tabs>
          <w:tab w:val="left" w:pos="1479"/>
        </w:tabs>
        <w:spacing w:before="0" w:after="0" w:line="240" w:lineRule="auto"/>
        <w:ind w:left="1478" w:right="0" w:hanging="301"/>
        <w:jc w:val="left"/>
        <w:rPr>
          <w:rFonts w:ascii="黑体" w:eastAsia="黑体" w:hint="eastAsia"/>
          <w:sz w:val="21"/>
        </w:rPr>
      </w:pPr>
      <w:bookmarkStart w:id="4" w:name="4　基本规定"/>
      <w:bookmarkEnd w:id="4"/>
      <w:r>
        <w:rPr>
          <w:rFonts w:ascii="黑体" w:eastAsia="黑体" w:hint="eastAsia"/>
          <w:sz w:val="21"/>
        </w:rPr>
        <w:t>基本规定</w:t>
      </w:r>
    </w:p>
    <w:p>
      <w:pPr>
        <w:pStyle w:val="BodyText"/>
        <w:spacing w:before="9"/>
        <w:rPr>
          <w:rFonts w:ascii="黑体"/>
          <w:sz w:val="27"/>
        </w:rPr>
      </w:pPr>
    </w:p>
    <w:p>
      <w:pPr>
        <w:pStyle w:val="ListParagraph"/>
        <w:numPr>
          <w:ilvl w:val="1"/>
          <w:numId w:val="31"/>
        </w:numPr>
        <w:tabs>
          <w:tab w:val="left" w:pos="1678"/>
        </w:tabs>
        <w:spacing w:before="0" w:after="0" w:line="240" w:lineRule="auto"/>
        <w:ind w:left="1677" w:right="0" w:hanging="500"/>
        <w:jc w:val="left"/>
        <w:rPr>
          <w:sz w:val="21"/>
        </w:rPr>
      </w:pPr>
      <w:r>
        <w:rPr>
          <w:sz w:val="21"/>
        </w:rPr>
        <w:t>探测单位应建立健全各项制度，具备三维探地雷达领域的专业知识、技术能力和设备设施。</w:t>
      </w:r>
    </w:p>
    <w:p>
      <w:pPr>
        <w:pStyle w:val="ListParagraph"/>
        <w:numPr>
          <w:ilvl w:val="1"/>
          <w:numId w:val="31"/>
        </w:numPr>
        <w:tabs>
          <w:tab w:val="left" w:pos="1678"/>
        </w:tabs>
        <w:spacing w:before="45" w:after="0" w:line="240" w:lineRule="auto"/>
        <w:ind w:left="1677" w:right="0" w:hanging="500"/>
        <w:jc w:val="left"/>
        <w:rPr>
          <w:sz w:val="21"/>
        </w:rPr>
      </w:pPr>
      <w:r>
        <w:rPr>
          <w:sz w:val="21"/>
        </w:rPr>
        <w:t>城镇道路坍塌隐患探测工作宜采用信息化、数字化手段对城镇道路坍塌隐患进行监测、预警。</w:t>
      </w:r>
    </w:p>
    <w:p>
      <w:pPr>
        <w:pStyle w:val="ListParagraph"/>
        <w:numPr>
          <w:ilvl w:val="1"/>
          <w:numId w:val="31"/>
        </w:numPr>
        <w:tabs>
          <w:tab w:val="left" w:pos="1678"/>
        </w:tabs>
        <w:spacing w:before="46" w:after="0" w:line="278" w:lineRule="auto"/>
        <w:ind w:left="1178" w:right="873" w:firstLine="0"/>
        <w:jc w:val="left"/>
        <w:rPr>
          <w:sz w:val="21"/>
        </w:rPr>
      </w:pPr>
      <w:r>
        <w:rPr>
          <w:sz w:val="21"/>
        </w:rPr>
        <w:t>城镇道路坍塌探测工作应结合工程地质条件、水文地质条件、气象条件、地下市政设施及已发生病害记录等资料有针对性地开展，应着重在汛期后与冻融期加强探测。</w:t>
      </w:r>
    </w:p>
    <w:p>
      <w:pPr>
        <w:pStyle w:val="ListParagraph"/>
        <w:numPr>
          <w:ilvl w:val="1"/>
          <w:numId w:val="31"/>
        </w:numPr>
        <w:tabs>
          <w:tab w:val="left" w:pos="1678"/>
        </w:tabs>
        <w:spacing w:before="2" w:after="0" w:line="278" w:lineRule="auto"/>
        <w:ind w:left="1178" w:right="873" w:firstLine="0"/>
        <w:jc w:val="left"/>
        <w:rPr>
          <w:sz w:val="21"/>
        </w:rPr>
      </w:pPr>
      <w:r>
        <w:drawing>
          <wp:anchor distT="0" distB="0" distL="0" distR="0" simplePos="0" relativeHeight="251671552" behindDoc="0" locked="0" layoutInCell="1" allowOverlap="1">
            <wp:simplePos x="0" y="0"/>
            <wp:positionH relativeFrom="page">
              <wp:posOffset>215900</wp:posOffset>
            </wp:positionH>
            <wp:positionV relativeFrom="paragraph">
              <wp:posOffset>318135</wp:posOffset>
            </wp:positionV>
            <wp:extent cx="7112000" cy="4876800"/>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z w:val="21"/>
        </w:rPr>
        <w:t>城镇道路坍塌隐患探测应掌握当地道路基础资料及地质条件特征，查明探测区域内道路坍塌隐患的属性，确定探测发现的道路坍塌隐患的范围及规模，并提出相应处置对策。</w:t>
      </w:r>
    </w:p>
    <w:p>
      <w:pPr>
        <w:pStyle w:val="ListParagraph"/>
        <w:numPr>
          <w:ilvl w:val="1"/>
          <w:numId w:val="31"/>
        </w:numPr>
        <w:tabs>
          <w:tab w:val="left" w:pos="1678"/>
        </w:tabs>
        <w:spacing w:before="5" w:after="0" w:line="276" w:lineRule="auto"/>
        <w:ind w:left="1178" w:right="768" w:firstLine="0"/>
        <w:jc w:val="left"/>
        <w:rPr>
          <w:sz w:val="21"/>
        </w:rPr>
      </w:pPr>
      <w:r>
        <w:rPr>
          <w:spacing w:val="-5"/>
          <w:w w:val="95"/>
          <w:sz w:val="21"/>
        </w:rPr>
        <w:t xml:space="preserve">应充分考虑冻融循环对道路路基的影响，增加冻融前后的数据比对，同时结合收集到的工程地质、   </w:t>
      </w:r>
      <w:r>
        <w:rPr>
          <w:spacing w:val="-5"/>
          <w:sz w:val="21"/>
        </w:rPr>
        <w:t>水文地质资料和道路结构层信息，设定合理的雷达参数。</w:t>
      </w:r>
    </w:p>
    <w:p>
      <w:pPr>
        <w:pStyle w:val="BodyText"/>
        <w:spacing w:before="9"/>
        <w:rPr>
          <w:sz w:val="24"/>
        </w:rPr>
      </w:pPr>
    </w:p>
    <w:p>
      <w:pPr>
        <w:pStyle w:val="ListParagraph"/>
        <w:numPr>
          <w:ilvl w:val="0"/>
          <w:numId w:val="31"/>
        </w:numPr>
        <w:tabs>
          <w:tab w:val="left" w:pos="1479"/>
        </w:tabs>
        <w:spacing w:before="0" w:after="0" w:line="240" w:lineRule="auto"/>
        <w:ind w:left="1478" w:right="0" w:hanging="301"/>
        <w:jc w:val="left"/>
        <w:rPr>
          <w:rFonts w:ascii="黑体" w:eastAsia="黑体" w:hint="eastAsia"/>
          <w:sz w:val="21"/>
        </w:rPr>
      </w:pPr>
      <w:bookmarkStart w:id="5" w:name="5　项目类别及要求"/>
      <w:bookmarkEnd w:id="5"/>
      <w:r>
        <w:rPr>
          <w:rFonts w:ascii="黑体" w:eastAsia="黑体" w:hint="eastAsia"/>
          <w:sz w:val="21"/>
        </w:rPr>
        <w:t>项目类别及要求</w:t>
      </w:r>
    </w:p>
    <w:p>
      <w:pPr>
        <w:pStyle w:val="BodyText"/>
        <w:spacing w:before="9"/>
        <w:rPr>
          <w:rFonts w:ascii="黑体"/>
          <w:sz w:val="27"/>
        </w:rPr>
      </w:pPr>
    </w:p>
    <w:p>
      <w:pPr>
        <w:pStyle w:val="ListParagraph"/>
        <w:numPr>
          <w:ilvl w:val="1"/>
          <w:numId w:val="31"/>
        </w:numPr>
        <w:tabs>
          <w:tab w:val="left" w:pos="1678"/>
        </w:tabs>
        <w:spacing w:before="0" w:after="0" w:line="240" w:lineRule="auto"/>
        <w:ind w:left="1677" w:right="0" w:hanging="500"/>
        <w:jc w:val="left"/>
        <w:rPr>
          <w:rFonts w:ascii="黑体" w:eastAsia="黑体" w:hint="eastAsia"/>
          <w:sz w:val="21"/>
        </w:rPr>
      </w:pPr>
      <w:bookmarkStart w:id="6" w:name="5.1　定期探测"/>
      <w:bookmarkEnd w:id="6"/>
      <w:r>
        <w:rPr>
          <w:rFonts w:ascii="黑体" w:eastAsia="黑体" w:hint="eastAsia"/>
          <w:sz w:val="21"/>
        </w:rPr>
        <w:t>定期探测</w:t>
      </w:r>
    </w:p>
    <w:p>
      <w:pPr>
        <w:pStyle w:val="BodyText"/>
        <w:spacing w:before="7"/>
        <w:rPr>
          <w:rFonts w:ascii="黑体"/>
          <w:sz w:val="15"/>
        </w:rPr>
      </w:pPr>
    </w:p>
    <w:p>
      <w:pPr>
        <w:pStyle w:val="ListParagraph"/>
        <w:numPr>
          <w:ilvl w:val="2"/>
          <w:numId w:val="31"/>
        </w:numPr>
        <w:tabs>
          <w:tab w:val="left" w:pos="1877"/>
        </w:tabs>
        <w:spacing w:before="0" w:after="0" w:line="240" w:lineRule="auto"/>
        <w:ind w:left="1876" w:right="0" w:hanging="699"/>
        <w:jc w:val="left"/>
        <w:rPr>
          <w:sz w:val="21"/>
        </w:rPr>
      </w:pPr>
      <w:r>
        <w:rPr>
          <w:sz w:val="21"/>
        </w:rPr>
        <w:t>以下道路区域应开展定期探测工作，探测周期应符合下列规定：</w:t>
      </w:r>
    </w:p>
    <w:p>
      <w:pPr>
        <w:pStyle w:val="BodyText"/>
        <w:spacing w:before="40"/>
        <w:ind w:left="1603"/>
      </w:pPr>
      <w:r>
        <w:rPr>
          <w:rFonts w:ascii="Cambria Math" w:eastAsia="Cambria Math" w:hAnsi="Cambria Math"/>
          <w:i/>
          <w:sz w:val="20"/>
        </w:rPr>
        <w:t xml:space="preserve">—— </w:t>
      </w:r>
      <w:r>
        <w:t>城镇快速路、主干路、次干路探测周期不宜超过 1 年，支路探测周期不宜超过 2 年；</w:t>
      </w:r>
    </w:p>
    <w:p>
      <w:pPr>
        <w:pStyle w:val="BodyText"/>
        <w:spacing w:before="43"/>
        <w:ind w:left="1603"/>
      </w:pPr>
      <w:r>
        <w:rPr>
          <w:rFonts w:ascii="Cambria Math" w:eastAsia="Cambria Math" w:hAnsi="Cambria Math"/>
          <w:i/>
          <w:sz w:val="20"/>
        </w:rPr>
        <w:t xml:space="preserve">—— </w:t>
      </w:r>
      <w:r>
        <w:t>学校、医院、主要景区、主要商业街区等人流密集区域的道路，探测周期不应超过 1 年；</w:t>
      </w:r>
    </w:p>
    <w:p>
      <w:pPr>
        <w:pStyle w:val="BodyText"/>
        <w:spacing w:before="43"/>
        <w:ind w:left="1603"/>
      </w:pPr>
      <w:r>
        <w:rPr>
          <w:rFonts w:ascii="Cambria Math" w:eastAsia="Cambria Math" w:hAnsi="Cambria Math"/>
          <w:i/>
          <w:sz w:val="20"/>
        </w:rPr>
        <w:t xml:space="preserve">—— </w:t>
      </w:r>
      <w:r>
        <w:t>重点管线区域、大型地下穿越工程沿线及周边区域的道路，探测周期不应超过 1 年；</w:t>
      </w:r>
    </w:p>
    <w:p>
      <w:pPr>
        <w:pStyle w:val="BodyText"/>
        <w:spacing w:before="43"/>
        <w:ind w:left="1603"/>
      </w:pPr>
      <w:r>
        <w:rPr>
          <w:rFonts w:ascii="Cambria Math" w:eastAsia="Cambria Math" w:hAnsi="Cambria Math"/>
          <w:i/>
          <w:sz w:val="20"/>
        </w:rPr>
        <w:t xml:space="preserve">—— </w:t>
      </w:r>
      <w:r>
        <w:t>在道路隐患体已处置的路段，应加强监测，探测周期不应超过 6 个月。</w:t>
      </w:r>
    </w:p>
    <w:p>
      <w:pPr>
        <w:pStyle w:val="ListParagraph"/>
        <w:numPr>
          <w:ilvl w:val="2"/>
          <w:numId w:val="31"/>
        </w:numPr>
        <w:tabs>
          <w:tab w:val="left" w:pos="1877"/>
        </w:tabs>
        <w:spacing w:before="46" w:after="0" w:line="240" w:lineRule="auto"/>
        <w:ind w:left="1876" w:right="0" w:hanging="699"/>
        <w:jc w:val="left"/>
        <w:rPr>
          <w:sz w:val="21"/>
        </w:rPr>
      </w:pPr>
      <w:r>
        <w:rPr>
          <w:sz w:val="21"/>
        </w:rPr>
        <w:t>对于发现的道路地下隐患体应加强监测：</w:t>
      </w:r>
    </w:p>
    <w:p>
      <w:pPr>
        <w:pStyle w:val="BodyText"/>
        <w:spacing w:before="40"/>
        <w:ind w:left="1603"/>
      </w:pPr>
      <w:r>
        <w:rPr>
          <w:rFonts w:ascii="Cambria Math" w:eastAsia="Cambria Math" w:hAnsi="Cambria Math"/>
          <w:i/>
          <w:sz w:val="20"/>
        </w:rPr>
        <w:t xml:space="preserve">—— </w:t>
      </w:r>
      <w:r>
        <w:t>对于已处置隐患体，应在处置后 7 天进行第一次复测；在隐患体处置后 1 个月，进行第二次</w:t>
      </w:r>
    </w:p>
    <w:p>
      <w:pPr>
        <w:pStyle w:val="BodyText"/>
        <w:spacing w:before="43"/>
        <w:ind w:left="2028"/>
      </w:pPr>
      <w:r>
        <w:t>复测工作；随后每隔 6 个月对已处置隐患体开展复测，直至隐患体处置完成；</w:t>
      </w:r>
    </w:p>
    <w:p>
      <w:pPr>
        <w:pStyle w:val="BodyText"/>
        <w:spacing w:before="43" w:line="278" w:lineRule="auto"/>
        <w:ind w:left="2028" w:right="930" w:hanging="425"/>
      </w:pPr>
      <w:r>
        <w:rPr>
          <w:rFonts w:ascii="Cambria Math" w:eastAsia="Cambria Math" w:hAnsi="Cambria Math"/>
          <w:i/>
          <w:sz w:val="20"/>
        </w:rPr>
        <w:t xml:space="preserve">—— </w:t>
      </w:r>
      <w:r>
        <w:t>对于未处置的隐患体，应根据隐患体规模及周边因素综合评估制定复测计划，定期对隐患体开展复测，发现隐患体有扩大趋势危及道路安全，及时通报业主单位进行处置。</w:t>
      </w:r>
    </w:p>
    <w:p>
      <w:pPr>
        <w:pStyle w:val="ListParagraph"/>
        <w:numPr>
          <w:ilvl w:val="1"/>
          <w:numId w:val="31"/>
        </w:numPr>
        <w:tabs>
          <w:tab w:val="left" w:pos="1678"/>
        </w:tabs>
        <w:spacing w:before="158" w:after="0" w:line="240" w:lineRule="auto"/>
        <w:ind w:left="1677" w:right="0" w:hanging="500"/>
        <w:jc w:val="left"/>
        <w:rPr>
          <w:rFonts w:ascii="黑体" w:eastAsia="黑体" w:hint="eastAsia"/>
          <w:sz w:val="21"/>
        </w:rPr>
      </w:pPr>
      <w:bookmarkStart w:id="7" w:name="5.2　专项探测"/>
      <w:bookmarkEnd w:id="7"/>
      <w:r>
        <w:rPr>
          <w:rFonts w:ascii="黑体" w:eastAsia="黑体" w:hint="eastAsia"/>
          <w:sz w:val="21"/>
        </w:rPr>
        <w:t>专项探测</w:t>
      </w:r>
    </w:p>
    <w:p>
      <w:pPr>
        <w:pStyle w:val="BodyText"/>
        <w:spacing w:before="7"/>
        <w:rPr>
          <w:rFonts w:ascii="黑体"/>
          <w:sz w:val="15"/>
        </w:rPr>
      </w:pPr>
    </w:p>
    <w:p>
      <w:pPr>
        <w:pStyle w:val="ListParagraph"/>
        <w:numPr>
          <w:ilvl w:val="2"/>
          <w:numId w:val="31"/>
        </w:numPr>
        <w:tabs>
          <w:tab w:val="left" w:pos="1877"/>
        </w:tabs>
        <w:spacing w:before="0" w:after="0" w:line="240" w:lineRule="auto"/>
        <w:ind w:left="1876" w:right="0" w:hanging="699"/>
        <w:jc w:val="left"/>
        <w:rPr>
          <w:sz w:val="21"/>
        </w:rPr>
      </w:pPr>
      <w:r>
        <w:rPr>
          <w:sz w:val="21"/>
        </w:rPr>
        <w:t>专项探测工作应符合下列规定：</w:t>
      </w:r>
    </w:p>
    <w:p>
      <w:pPr>
        <w:pStyle w:val="BodyText"/>
        <w:spacing w:before="43" w:line="278" w:lineRule="auto"/>
        <w:ind w:left="2028" w:right="978" w:hanging="425"/>
      </w:pPr>
      <w:r>
        <w:rPr>
          <w:rFonts w:ascii="Cambria Math" w:eastAsia="Cambria Math" w:hAnsi="Cambria Math"/>
          <w:i/>
          <w:spacing w:val="-8"/>
          <w:sz w:val="20"/>
        </w:rPr>
        <w:t xml:space="preserve">—— </w:t>
      </w:r>
      <w:r>
        <w:rPr>
          <w:spacing w:val="-2"/>
        </w:rPr>
        <w:t xml:space="preserve">重大地下工程应在施工前、施工中、竣工后开展周边道路隐患体探测，施工跨度超过 </w:t>
      </w:r>
      <w:r>
        <w:t>6</w:t>
      </w:r>
      <w:r>
        <w:rPr>
          <w:spacing w:val="-21"/>
        </w:rPr>
        <w:t xml:space="preserve"> 个月的应加密探测；</w:t>
      </w:r>
    </w:p>
    <w:p>
      <w:pPr>
        <w:pStyle w:val="BodyText"/>
        <w:spacing w:before="11"/>
        <w:rPr>
          <w:sz w:val="23"/>
        </w:rPr>
      </w:pPr>
    </w:p>
    <w:p>
      <w:pPr>
        <w:spacing w:before="74"/>
        <w:ind w:left="0" w:right="1104" w:firstLine="0"/>
        <w:jc w:val="right"/>
        <w:rPr>
          <w:sz w:val="18"/>
        </w:rPr>
      </w:pPr>
      <w:r>
        <w:rPr>
          <w:sz w:val="18"/>
        </w:rPr>
        <w:t>2</w:t>
      </w:r>
    </w:p>
    <w:p>
      <w:pPr>
        <w:spacing w:after="0"/>
        <w:jc w:val="right"/>
        <w:rPr>
          <w:sz w:val="18"/>
        </w:rPr>
        <w:sectPr>
          <w:headerReference w:type="default" r:id="rId9"/>
          <w:pgSz w:w="11910" w:h="16840"/>
          <w:pgMar w:top="1640" w:right="260" w:bottom="280" w:left="240" w:header="1449" w:footer="0"/>
          <w:pgNumType w:start="5"/>
          <w:cols w:space="708"/>
        </w:sectPr>
      </w:pPr>
    </w:p>
    <w:p>
      <w:pPr>
        <w:pStyle w:val="BodyText"/>
        <w:rPr>
          <w:sz w:val="20"/>
        </w:rPr>
      </w:pPr>
    </w:p>
    <w:p>
      <w:pPr>
        <w:pStyle w:val="BodyText"/>
        <w:rPr>
          <w:sz w:val="20"/>
        </w:rPr>
      </w:pPr>
    </w:p>
    <w:p>
      <w:pPr>
        <w:pStyle w:val="BodyText"/>
        <w:spacing w:before="2"/>
        <w:rPr>
          <w:sz w:val="14"/>
        </w:rPr>
      </w:pPr>
    </w:p>
    <w:p>
      <w:pPr>
        <w:pStyle w:val="BodyText"/>
        <w:spacing w:before="79" w:line="278" w:lineRule="auto"/>
        <w:ind w:left="2028" w:right="720" w:hanging="425"/>
      </w:pPr>
      <w:r>
        <w:rPr>
          <w:rFonts w:ascii="Cambria Math" w:eastAsia="Cambria Math" w:hAnsi="Cambria Math"/>
          <w:i/>
          <w:sz w:val="20"/>
        </w:rPr>
        <w:t xml:space="preserve">—— </w:t>
      </w:r>
      <w:r>
        <w:t>应加强冻融损伤路段探测，每年在春秋两季分别开展探测工作，针对冰期前道路路基富水体， 与融化后路基疏松体进行专项探测；</w:t>
      </w:r>
    </w:p>
    <w:p>
      <w:pPr>
        <w:pStyle w:val="BodyText"/>
        <w:spacing w:line="278" w:lineRule="auto"/>
        <w:ind w:left="2028" w:right="930" w:hanging="425"/>
      </w:pPr>
      <w:r>
        <w:rPr>
          <w:rFonts w:ascii="Cambria Math" w:eastAsia="Cambria Math" w:hAnsi="Cambria Math"/>
          <w:i/>
          <w:sz w:val="20"/>
        </w:rPr>
        <w:t xml:space="preserve">—— </w:t>
      </w:r>
      <w:r>
        <w:t>汛期及汛期后、地下水位突然变化、道路荷载增加、地震断裂带等地下岩土环境变化区域道路，应根据自然环境变化的影响情况安排探测；</w:t>
      </w:r>
    </w:p>
    <w:p>
      <w:pPr>
        <w:pStyle w:val="BodyText"/>
        <w:spacing w:line="278" w:lineRule="auto"/>
        <w:ind w:left="2028" w:right="930" w:hanging="425"/>
      </w:pPr>
      <w:r>
        <w:rPr>
          <w:rFonts w:ascii="Cambria Math" w:eastAsia="Cambria Math" w:hAnsi="Cambria Math"/>
          <w:i/>
          <w:sz w:val="20"/>
        </w:rPr>
        <w:t xml:space="preserve">—— </w:t>
      </w:r>
      <w:r>
        <w:t>重点保障项目、重要大型活动、外交、大型体育赛事等文体活动举办地周边道路区域，应在活动举办前 3 个月内进行探测；</w:t>
      </w:r>
    </w:p>
    <w:p>
      <w:pPr>
        <w:spacing w:before="0" w:line="269" w:lineRule="exact"/>
        <w:ind w:left="1603" w:right="0" w:firstLine="0"/>
        <w:jc w:val="left"/>
        <w:rPr>
          <w:sz w:val="21"/>
        </w:rPr>
      </w:pPr>
      <w:r>
        <w:rPr>
          <w:rFonts w:ascii="Cambria Math" w:eastAsia="Cambria Math" w:hAnsi="Cambria Math"/>
          <w:i/>
          <w:w w:val="95"/>
          <w:sz w:val="20"/>
        </w:rPr>
        <w:t xml:space="preserve">——         </w:t>
      </w:r>
      <w:r>
        <w:rPr>
          <w:w w:val="95"/>
          <w:sz w:val="21"/>
        </w:rPr>
        <w:t>其他潜在安全风险区域，应在周边影响路段灵活安排道路坍塌隐患探测工作；</w:t>
      </w:r>
    </w:p>
    <w:p>
      <w:pPr>
        <w:spacing w:before="43"/>
        <w:ind w:left="1603" w:right="0" w:firstLine="0"/>
        <w:jc w:val="left"/>
        <w:rPr>
          <w:sz w:val="21"/>
        </w:rPr>
      </w:pPr>
      <w:r>
        <w:rPr>
          <w:rFonts w:ascii="Cambria Math" w:eastAsia="Cambria Math" w:hAnsi="Cambria Math"/>
          <w:i/>
          <w:w w:val="95"/>
          <w:sz w:val="20"/>
        </w:rPr>
        <w:t xml:space="preserve">——         </w:t>
      </w:r>
      <w:r>
        <w:rPr>
          <w:w w:val="95"/>
          <w:sz w:val="21"/>
        </w:rPr>
        <w:t>发生过道路坍塌事故的区域，应侧重安排周边路段的道路坍塌隐患探测工作。</w:t>
      </w:r>
    </w:p>
    <w:p>
      <w:pPr>
        <w:pStyle w:val="BodyText"/>
        <w:spacing w:before="6"/>
        <w:rPr>
          <w:sz w:val="15"/>
        </w:rPr>
      </w:pPr>
    </w:p>
    <w:p>
      <w:pPr>
        <w:pStyle w:val="ListParagraph"/>
        <w:numPr>
          <w:ilvl w:val="1"/>
          <w:numId w:val="31"/>
        </w:numPr>
        <w:tabs>
          <w:tab w:val="left" w:pos="1678"/>
        </w:tabs>
        <w:spacing w:before="0" w:after="0" w:line="240" w:lineRule="auto"/>
        <w:ind w:left="1677" w:right="0" w:hanging="500"/>
        <w:jc w:val="left"/>
        <w:rPr>
          <w:rFonts w:ascii="黑体" w:eastAsia="黑体" w:hint="eastAsia"/>
          <w:sz w:val="21"/>
        </w:rPr>
      </w:pPr>
      <w:bookmarkStart w:id="8" w:name="5.3　应急探测"/>
      <w:bookmarkEnd w:id="8"/>
      <w:r>
        <w:rPr>
          <w:rFonts w:ascii="黑体" w:eastAsia="黑体" w:hint="eastAsia"/>
          <w:sz w:val="21"/>
        </w:rPr>
        <w:t>应急探测</w:t>
      </w:r>
    </w:p>
    <w:p>
      <w:pPr>
        <w:pStyle w:val="BodyText"/>
        <w:spacing w:before="7"/>
        <w:rPr>
          <w:rFonts w:ascii="黑体"/>
          <w:sz w:val="15"/>
        </w:rPr>
      </w:pPr>
    </w:p>
    <w:p>
      <w:pPr>
        <w:pStyle w:val="ListParagraph"/>
        <w:numPr>
          <w:ilvl w:val="2"/>
          <w:numId w:val="31"/>
        </w:numPr>
        <w:tabs>
          <w:tab w:val="left" w:pos="1877"/>
        </w:tabs>
        <w:spacing w:before="0" w:after="0" w:line="240" w:lineRule="auto"/>
        <w:ind w:left="1876" w:right="0" w:hanging="699"/>
        <w:jc w:val="left"/>
        <w:rPr>
          <w:sz w:val="21"/>
        </w:rPr>
      </w:pPr>
      <w:r>
        <w:rPr>
          <w:sz w:val="21"/>
        </w:rPr>
        <w:t>出现以下情况，应立即开展应急探测工作：</w:t>
      </w:r>
    </w:p>
    <w:p>
      <w:pPr>
        <w:pStyle w:val="BodyText"/>
        <w:spacing w:before="43"/>
        <w:ind w:left="1603"/>
      </w:pPr>
      <w:r>
        <w:rPr>
          <w:rFonts w:ascii="Cambria Math" w:eastAsia="Cambria Math" w:hAnsi="Cambria Math"/>
          <w:i/>
          <w:sz w:val="20"/>
        </w:rPr>
        <w:t xml:space="preserve">—— </w:t>
      </w:r>
      <w:r>
        <w:t>24 小时内发生过道路坍塌事故；</w:t>
      </w:r>
    </w:p>
    <w:p>
      <w:pPr>
        <w:pStyle w:val="BodyText"/>
        <w:spacing w:before="43"/>
        <w:ind w:left="1603"/>
      </w:pPr>
      <w:r>
        <w:rPr>
          <w:rFonts w:ascii="Cambria Math" w:eastAsia="Cambria Math" w:hAnsi="Cambria Math"/>
          <w:i/>
          <w:sz w:val="20"/>
        </w:rPr>
        <w:t xml:space="preserve">—— </w:t>
      </w:r>
      <w:r>
        <w:t>建筑物、道路交叉口或管线累计沉降量超限，地面出现明显沉降或坍塌；</w:t>
      </w:r>
    </w:p>
    <w:p>
      <w:pPr>
        <w:pStyle w:val="BodyText"/>
        <w:spacing w:before="43"/>
        <w:ind w:left="1603"/>
      </w:pPr>
      <w:r>
        <w:rPr>
          <w:rFonts w:ascii="Cambria Math" w:eastAsia="Cambria Math" w:hAnsi="Cambria Math"/>
          <w:i/>
          <w:sz w:val="20"/>
        </w:rPr>
        <w:t xml:space="preserve">—— </w:t>
      </w:r>
      <w:r>
        <w:t>地面累计沉降量报警，或地下工程发生渗水、涌水、漏砂等危险情况；</w:t>
      </w:r>
    </w:p>
    <w:p>
      <w:pPr>
        <w:pStyle w:val="BodyText"/>
        <w:spacing w:before="43"/>
        <w:ind w:left="1603"/>
      </w:pPr>
      <w:r>
        <w:rPr>
          <w:rFonts w:ascii="Cambria Math" w:eastAsia="Cambria Math" w:hAnsi="Cambria Math"/>
          <w:i/>
          <w:sz w:val="20"/>
        </w:rPr>
        <w:t xml:space="preserve">—— </w:t>
      </w:r>
      <w:r>
        <w:t>在对地下管渠或其附属设施进行排查、检测或养护工作中发现渗漏、破损、损坏等隐患；</w:t>
      </w:r>
    </w:p>
    <w:p>
      <w:pPr>
        <w:pStyle w:val="BodyText"/>
        <w:spacing w:before="43"/>
        <w:ind w:left="1603"/>
      </w:pPr>
      <w:r>
        <w:rPr>
          <w:rFonts w:ascii="Cambria Math" w:eastAsia="Cambria Math" w:hAnsi="Cambria Math"/>
          <w:i/>
          <w:sz w:val="20"/>
        </w:rPr>
        <w:t xml:space="preserve">—— </w:t>
      </w:r>
      <w:r>
        <w:t>管理单位认为有其他需要进行应急探测的情况。</w:t>
      </w:r>
    </w:p>
    <w:p>
      <w:pPr>
        <w:pStyle w:val="BodyText"/>
        <w:spacing w:before="9"/>
        <w:rPr>
          <w:sz w:val="27"/>
        </w:rPr>
      </w:pPr>
    </w:p>
    <w:p>
      <w:pPr>
        <w:pStyle w:val="ListParagraph"/>
        <w:numPr>
          <w:ilvl w:val="0"/>
          <w:numId w:val="31"/>
        </w:numPr>
        <w:tabs>
          <w:tab w:val="left" w:pos="1479"/>
        </w:tabs>
        <w:spacing w:before="0" w:after="0" w:line="240" w:lineRule="auto"/>
        <w:ind w:left="1478" w:right="0" w:hanging="301"/>
        <w:jc w:val="left"/>
        <w:rPr>
          <w:rFonts w:ascii="黑体" w:eastAsia="黑体" w:hint="eastAsia"/>
          <w:sz w:val="21"/>
        </w:rPr>
      </w:pPr>
      <w:r>
        <w:pict>
          <v:group id="_x0000_s1040" style="width:468.55pt;height:364.65pt;margin-top:32.72pt;margin-left:70.92pt;mso-position-horizontal-relative:page;position:absolute;z-index:-251642880" coordorigin="1418,654" coordsize="9371,7293">
            <v:shape id="_x0000_s1041" type="#_x0000_t202" style="width:9371;height:1304;left:1418;position:absolute;top:654" filled="f" stroked="f">
              <v:textbox inset="0,0,0,0">
                <w:txbxContent>
                  <w:p>
                    <w:pPr>
                      <w:numPr>
                        <w:ilvl w:val="1"/>
                        <w:numId w:val="27"/>
                      </w:numPr>
                      <w:tabs>
                        <w:tab w:val="left" w:pos="500"/>
                      </w:tabs>
                      <w:spacing w:before="0" w:line="239" w:lineRule="exact"/>
                      <w:ind w:left="499" w:right="0" w:hanging="500"/>
                      <w:jc w:val="left"/>
                      <w:rPr>
                        <w:sz w:val="21"/>
                      </w:rPr>
                    </w:pPr>
                    <w:r>
                      <w:rPr>
                        <w:sz w:val="21"/>
                      </w:rPr>
                      <w:t>城镇道路坍塌隐患探测结果可分为空洞、脱空、疏松体和富水体四种隐患体。</w:t>
                    </w:r>
                  </w:p>
                  <w:p>
                    <w:pPr>
                      <w:numPr>
                        <w:ilvl w:val="1"/>
                        <w:numId w:val="27"/>
                      </w:numPr>
                      <w:tabs>
                        <w:tab w:val="left" w:pos="500"/>
                      </w:tabs>
                      <w:spacing w:before="47" w:line="276" w:lineRule="auto"/>
                      <w:ind w:left="0" w:right="18" w:firstLine="0"/>
                      <w:jc w:val="left"/>
                      <w:rPr>
                        <w:sz w:val="21"/>
                      </w:rPr>
                    </w:pPr>
                    <w:r>
                      <w:rPr>
                        <w:spacing w:val="-2"/>
                        <w:sz w:val="21"/>
                      </w:rPr>
                      <w:t xml:space="preserve">隐患体应根据目标物相对介电特征及探地雷达波形特征进行分类，应符合 </w:t>
                    </w:r>
                    <w:r>
                      <w:rPr>
                        <w:sz w:val="21"/>
                      </w:rPr>
                      <w:t>JGJ/T</w:t>
                    </w:r>
                    <w:r>
                      <w:rPr>
                        <w:spacing w:val="9"/>
                        <w:sz w:val="21"/>
                      </w:rPr>
                      <w:t xml:space="preserve"> </w:t>
                    </w:r>
                    <w:r>
                      <w:rPr>
                        <w:sz w:val="21"/>
                      </w:rPr>
                      <w:t>437</w:t>
                    </w:r>
                    <w:r>
                      <w:rPr>
                        <w:spacing w:val="-10"/>
                        <w:sz w:val="21"/>
                      </w:rPr>
                      <w:t xml:space="preserve"> 的要求并按</w:t>
                    </w:r>
                    <w:r>
                      <w:rPr>
                        <w:spacing w:val="-25"/>
                        <w:sz w:val="21"/>
                      </w:rPr>
                      <w:t xml:space="preserve">照表 </w:t>
                    </w:r>
                    <w:r>
                      <w:rPr>
                        <w:sz w:val="21"/>
                      </w:rPr>
                      <w:t>1</w:t>
                    </w:r>
                    <w:r>
                      <w:rPr>
                        <w:spacing w:val="-10"/>
                        <w:sz w:val="21"/>
                      </w:rPr>
                      <w:t xml:space="preserve"> 进行划分。</w:t>
                    </w:r>
                  </w:p>
                  <w:p>
                    <w:pPr>
                      <w:spacing w:before="159" w:line="239" w:lineRule="exact"/>
                      <w:ind w:left="3134" w:right="3152" w:firstLine="0"/>
                      <w:jc w:val="center"/>
                      <w:rPr>
                        <w:rFonts w:ascii="黑体" w:eastAsia="黑体" w:hint="eastAsia"/>
                        <w:sz w:val="21"/>
                      </w:rPr>
                    </w:pPr>
                    <w:r>
                      <w:rPr>
                        <w:rFonts w:ascii="黑体" w:eastAsia="黑体" w:hint="eastAsia"/>
                        <w:sz w:val="21"/>
                      </w:rPr>
                      <w:t>表 1 城镇道路坍塌隐患体分类表</w:t>
                    </w:r>
                  </w:p>
                </w:txbxContent>
              </v:textbox>
            </v:shape>
            <v:shape id="_x0000_s1042" type="#_x0000_t202" style="width:110;height:180;left:10449;position:absolute;top:7766" filled="f" stroked="f">
              <v:textbox inset="0,0,0,0">
                <w:txbxContent>
                  <w:p>
                    <w:pPr>
                      <w:spacing w:before="0" w:line="180" w:lineRule="exact"/>
                      <w:ind w:left="0" w:right="0" w:firstLine="0"/>
                      <w:jc w:val="left"/>
                      <w:rPr>
                        <w:sz w:val="18"/>
                      </w:rPr>
                    </w:pPr>
                    <w:r>
                      <w:rPr>
                        <w:sz w:val="18"/>
                      </w:rPr>
                      <w:t>3</w:t>
                    </w:r>
                  </w:p>
                </w:txbxContent>
              </v:textbox>
            </v:shape>
          </v:group>
        </w:pict>
      </w:r>
      <w:r>
        <w:drawing>
          <wp:anchor distT="0" distB="0" distL="0" distR="0" simplePos="0" relativeHeight="251672576" behindDoc="0" locked="0" layoutInCell="1" allowOverlap="1">
            <wp:simplePos x="0" y="0"/>
            <wp:positionH relativeFrom="page">
              <wp:posOffset>215900</wp:posOffset>
            </wp:positionH>
            <wp:positionV relativeFrom="paragraph">
              <wp:posOffset>332104</wp:posOffset>
            </wp:positionV>
            <wp:extent cx="7112000" cy="4876800"/>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bookmarkStart w:id="9" w:name="6　隐患体分类与分级"/>
      <w:bookmarkEnd w:id="9"/>
      <w:r>
        <w:rPr>
          <w:rFonts w:ascii="黑体" w:eastAsia="黑体" w:hint="eastAsia"/>
          <w:sz w:val="21"/>
        </w:rPr>
        <w:t>隐患体分类与分级</w: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after="1"/>
        <w:rPr>
          <w:rFonts w:ascii="黑体"/>
          <w:sz w:val="28"/>
        </w:rPr>
      </w:pPr>
    </w:p>
    <w:tbl>
      <w:tblPr>
        <w:tblStyle w:val="TableNormal1"/>
        <w:tblW w:w="0" w:type="auto"/>
        <w:jc w:val="left"/>
        <w:tblInd w:w="1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4"/>
        <w:gridCol w:w="1126"/>
        <w:gridCol w:w="1415"/>
        <w:gridCol w:w="2411"/>
        <w:gridCol w:w="1559"/>
        <w:gridCol w:w="2453"/>
      </w:tblGrid>
      <w:tr>
        <w:tblPrEx>
          <w:tblW w:w="0" w:type="auto"/>
          <w:jc w:val="left"/>
          <w:tblInd w:w="1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83"/>
          <w:jc w:val="left"/>
        </w:trPr>
        <w:tc>
          <w:tcPr>
            <w:tcW w:w="484" w:type="dxa"/>
            <w:vMerge w:val="restart"/>
            <w:tcBorders>
              <w:bottom w:val="single" w:sz="4" w:space="0" w:color="000000"/>
              <w:right w:val="single" w:sz="4" w:space="0" w:color="000000"/>
            </w:tcBorders>
          </w:tcPr>
          <w:p>
            <w:pPr>
              <w:pStyle w:val="TableParagraph"/>
              <w:rPr>
                <w:rFonts w:ascii="黑体"/>
                <w:sz w:val="18"/>
              </w:rPr>
            </w:pPr>
          </w:p>
          <w:p>
            <w:pPr>
              <w:pStyle w:val="TableParagraph"/>
              <w:spacing w:before="150"/>
              <w:ind w:left="61"/>
              <w:rPr>
                <w:sz w:val="18"/>
              </w:rPr>
            </w:pPr>
            <w:r>
              <w:rPr>
                <w:sz w:val="18"/>
              </w:rPr>
              <w:t>序号</w:t>
            </w:r>
          </w:p>
        </w:tc>
        <w:tc>
          <w:tcPr>
            <w:tcW w:w="1126" w:type="dxa"/>
            <w:vMerge w:val="restart"/>
            <w:tcBorders>
              <w:left w:val="single" w:sz="4" w:space="0" w:color="000000"/>
              <w:bottom w:val="single" w:sz="4" w:space="0" w:color="000000"/>
              <w:right w:val="single" w:sz="4" w:space="0" w:color="000000"/>
            </w:tcBorders>
          </w:tcPr>
          <w:p>
            <w:pPr>
              <w:pStyle w:val="TableParagraph"/>
              <w:spacing w:before="25" w:line="390" w:lineRule="atLeast"/>
              <w:ind w:left="386" w:right="276" w:hanging="89"/>
              <w:rPr>
                <w:sz w:val="18"/>
              </w:rPr>
            </w:pPr>
            <w:r>
              <w:rPr>
                <w:sz w:val="18"/>
              </w:rPr>
              <w:t>隐患体类型</w:t>
            </w:r>
          </w:p>
        </w:tc>
        <w:tc>
          <w:tcPr>
            <w:tcW w:w="1415" w:type="dxa"/>
            <w:vMerge w:val="restart"/>
            <w:tcBorders>
              <w:left w:val="single" w:sz="4" w:space="0" w:color="000000"/>
              <w:bottom w:val="single" w:sz="4" w:space="0" w:color="000000"/>
              <w:right w:val="single" w:sz="4" w:space="0" w:color="000000"/>
            </w:tcBorders>
          </w:tcPr>
          <w:p>
            <w:pPr>
              <w:pStyle w:val="TableParagraph"/>
              <w:rPr>
                <w:rFonts w:ascii="黑体"/>
                <w:sz w:val="18"/>
              </w:rPr>
            </w:pPr>
          </w:p>
          <w:p>
            <w:pPr>
              <w:pStyle w:val="TableParagraph"/>
              <w:spacing w:before="150"/>
              <w:ind w:left="352"/>
              <w:rPr>
                <w:sz w:val="18"/>
              </w:rPr>
            </w:pPr>
            <w:r>
              <w:rPr>
                <w:sz w:val="18"/>
              </w:rPr>
              <w:t>介电特征</w:t>
            </w:r>
          </w:p>
        </w:tc>
        <w:tc>
          <w:tcPr>
            <w:tcW w:w="6423" w:type="dxa"/>
            <w:gridSpan w:val="3"/>
            <w:tcBorders>
              <w:left w:val="single" w:sz="4" w:space="0" w:color="000000"/>
              <w:bottom w:val="single" w:sz="4" w:space="0" w:color="000000"/>
            </w:tcBorders>
          </w:tcPr>
          <w:p>
            <w:pPr>
              <w:pStyle w:val="TableParagraph"/>
              <w:spacing w:before="134"/>
              <w:ind w:left="2476" w:right="2451"/>
              <w:jc w:val="center"/>
              <w:rPr>
                <w:sz w:val="18"/>
              </w:rPr>
            </w:pPr>
            <w:r>
              <w:rPr>
                <w:sz w:val="18"/>
              </w:rPr>
              <w:t>探地雷达波形特征</w:t>
            </w:r>
          </w:p>
        </w:tc>
      </w:tr>
      <w:tr>
        <w:tblPrEx>
          <w:tblW w:w="0" w:type="auto"/>
          <w:jc w:val="left"/>
          <w:tblInd w:w="1141" w:type="dxa"/>
          <w:tblLayout w:type="fixed"/>
          <w:tblCellMar>
            <w:top w:w="0" w:type="dxa"/>
            <w:left w:w="0" w:type="dxa"/>
            <w:bottom w:w="0" w:type="dxa"/>
            <w:right w:w="0" w:type="dxa"/>
          </w:tblCellMar>
          <w:tblLook w:val="01E0"/>
        </w:tblPrEx>
        <w:trPr>
          <w:trHeight w:val="482"/>
          <w:jc w:val="left"/>
        </w:trPr>
        <w:tc>
          <w:tcPr>
            <w:tcW w:w="484" w:type="dxa"/>
            <w:vMerge/>
            <w:tcBorders>
              <w:top w:val="nil"/>
              <w:bottom w:val="single" w:sz="4" w:space="0" w:color="000000"/>
              <w:right w:val="single" w:sz="4" w:space="0" w:color="000000"/>
            </w:tcBorders>
          </w:tcPr>
          <w:p>
            <w:pPr>
              <w:rPr>
                <w:sz w:val="2"/>
                <w:szCs w:val="2"/>
              </w:rPr>
            </w:pPr>
          </w:p>
        </w:tc>
        <w:tc>
          <w:tcPr>
            <w:tcW w:w="1126" w:type="dxa"/>
            <w:vMerge/>
            <w:tcBorders>
              <w:top w:val="nil"/>
              <w:left w:val="single" w:sz="4" w:space="0" w:color="000000"/>
              <w:bottom w:val="single" w:sz="4" w:space="0" w:color="000000"/>
              <w:right w:val="single" w:sz="4" w:space="0" w:color="000000"/>
            </w:tcBorders>
          </w:tcPr>
          <w:p>
            <w:pPr>
              <w:rPr>
                <w:sz w:val="2"/>
                <w:szCs w:val="2"/>
              </w:rPr>
            </w:pPr>
          </w:p>
        </w:tc>
        <w:tc>
          <w:tcPr>
            <w:tcW w:w="1415" w:type="dxa"/>
            <w:vMerge/>
            <w:tcBorders>
              <w:top w:val="nil"/>
              <w:left w:val="single" w:sz="4" w:space="0" w:color="000000"/>
              <w:bottom w:val="single" w:sz="4" w:space="0" w:color="000000"/>
              <w:right w:val="single" w:sz="4" w:space="0" w:color="000000"/>
            </w:tcBorders>
          </w:tcPr>
          <w:p>
            <w:pPr>
              <w:rPr>
                <w:sz w:val="2"/>
                <w:szCs w:val="2"/>
              </w:rPr>
            </w:pPr>
          </w:p>
        </w:tc>
        <w:tc>
          <w:tcPr>
            <w:tcW w:w="2411" w:type="dxa"/>
            <w:tcBorders>
              <w:top w:val="single" w:sz="4" w:space="0" w:color="000000"/>
              <w:left w:val="single" w:sz="4" w:space="0" w:color="000000"/>
              <w:bottom w:val="single" w:sz="4" w:space="0" w:color="000000"/>
              <w:right w:val="single" w:sz="4" w:space="0" w:color="000000"/>
            </w:tcBorders>
          </w:tcPr>
          <w:p>
            <w:pPr>
              <w:pStyle w:val="TableParagraph"/>
              <w:spacing w:before="135"/>
              <w:ind w:left="830" w:right="811"/>
              <w:jc w:val="center"/>
              <w:rPr>
                <w:sz w:val="18"/>
              </w:rPr>
            </w:pPr>
            <w:r>
              <w:rPr>
                <w:sz w:val="18"/>
              </w:rPr>
              <w:t>波组形态</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spacing w:before="135"/>
              <w:ind w:left="224" w:right="205"/>
              <w:jc w:val="center"/>
              <w:rPr>
                <w:sz w:val="18"/>
              </w:rPr>
            </w:pPr>
            <w:r>
              <w:rPr>
                <w:sz w:val="18"/>
              </w:rPr>
              <w:t>振幅</w:t>
            </w:r>
          </w:p>
        </w:tc>
        <w:tc>
          <w:tcPr>
            <w:tcW w:w="2453" w:type="dxa"/>
            <w:tcBorders>
              <w:top w:val="single" w:sz="4" w:space="0" w:color="000000"/>
              <w:left w:val="single" w:sz="4" w:space="0" w:color="000000"/>
              <w:bottom w:val="single" w:sz="4" w:space="0" w:color="000000"/>
            </w:tcBorders>
          </w:tcPr>
          <w:p>
            <w:pPr>
              <w:pStyle w:val="TableParagraph"/>
              <w:spacing w:before="135"/>
              <w:ind w:left="780"/>
              <w:rPr>
                <w:sz w:val="18"/>
              </w:rPr>
            </w:pPr>
            <w:r>
              <w:rPr>
                <w:sz w:val="18"/>
              </w:rPr>
              <w:t>相位和频谱</w:t>
            </w:r>
          </w:p>
        </w:tc>
      </w:tr>
      <w:tr>
        <w:tblPrEx>
          <w:tblW w:w="0" w:type="auto"/>
          <w:jc w:val="left"/>
          <w:tblInd w:w="1141" w:type="dxa"/>
          <w:tblLayout w:type="fixed"/>
          <w:tblCellMar>
            <w:top w:w="0" w:type="dxa"/>
            <w:left w:w="0" w:type="dxa"/>
            <w:bottom w:w="0" w:type="dxa"/>
            <w:right w:w="0" w:type="dxa"/>
          </w:tblCellMar>
          <w:tblLook w:val="01E0"/>
        </w:tblPrEx>
        <w:trPr>
          <w:trHeight w:val="1497"/>
          <w:jc w:val="left"/>
        </w:trPr>
        <w:tc>
          <w:tcPr>
            <w:tcW w:w="484" w:type="dxa"/>
            <w:tcBorders>
              <w:top w:val="single" w:sz="4" w:space="0" w:color="000000"/>
              <w:bottom w:val="single" w:sz="4" w:space="0" w:color="000000"/>
              <w:right w:val="single" w:sz="4" w:space="0" w:color="000000"/>
            </w:tcBorders>
          </w:tcPr>
          <w:p>
            <w:pPr>
              <w:pStyle w:val="TableParagraph"/>
              <w:rPr>
                <w:rFonts w:ascii="黑体"/>
                <w:sz w:val="20"/>
              </w:rPr>
            </w:pPr>
          </w:p>
          <w:p>
            <w:pPr>
              <w:pStyle w:val="TableParagraph"/>
              <w:rPr>
                <w:rFonts w:ascii="黑体"/>
                <w:sz w:val="20"/>
              </w:rPr>
            </w:pPr>
          </w:p>
          <w:p>
            <w:pPr>
              <w:pStyle w:val="TableParagraph"/>
              <w:spacing w:before="140"/>
              <w:ind w:right="181"/>
              <w:jc w:val="right"/>
              <w:rPr>
                <w:rFonts w:ascii="Times New Roman"/>
                <w:sz w:val="18"/>
              </w:rPr>
            </w:pPr>
            <w:r>
              <w:rPr>
                <w:rFonts w:ascii="Times New Roman"/>
                <w:sz w:val="18"/>
              </w:rPr>
              <w:t>1</w:t>
            </w:r>
          </w:p>
        </w:tc>
        <w:tc>
          <w:tcPr>
            <w:tcW w:w="1126"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2"/>
              <w:rPr>
                <w:rFonts w:ascii="黑体"/>
                <w:sz w:val="13"/>
              </w:rPr>
            </w:pPr>
          </w:p>
          <w:p>
            <w:pPr>
              <w:pStyle w:val="TableParagraph"/>
              <w:ind w:left="366" w:right="350"/>
              <w:jc w:val="center"/>
              <w:rPr>
                <w:sz w:val="18"/>
              </w:rPr>
            </w:pPr>
            <w:r>
              <w:rPr>
                <w:sz w:val="18"/>
              </w:rPr>
              <w:t>脱空</w:t>
            </w:r>
          </w:p>
        </w:tc>
        <w:tc>
          <w:tcPr>
            <w:tcW w:w="1415"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spacing w:before="10"/>
              <w:rPr>
                <w:rFonts w:ascii="黑体"/>
                <w:sz w:val="19"/>
              </w:rPr>
            </w:pPr>
          </w:p>
          <w:p>
            <w:pPr>
              <w:pStyle w:val="TableParagraph"/>
              <w:ind w:left="61" w:right="44"/>
              <w:jc w:val="center"/>
              <w:rPr>
                <w:sz w:val="18"/>
              </w:rPr>
            </w:pPr>
            <w:r>
              <w:rPr>
                <w:sz w:val="18"/>
              </w:rPr>
              <w:t>相对介电常数为</w:t>
            </w:r>
          </w:p>
          <w:p>
            <w:pPr>
              <w:pStyle w:val="TableParagraph"/>
              <w:spacing w:before="94"/>
              <w:ind w:left="18"/>
              <w:jc w:val="center"/>
              <w:rPr>
                <w:rFonts w:ascii="Times New Roman"/>
                <w:sz w:val="18"/>
              </w:rPr>
            </w:pPr>
            <w:r>
              <w:rPr>
                <w:rFonts w:ascii="Times New Roman"/>
                <w:sz w:val="18"/>
              </w:rPr>
              <w:t>1</w:t>
            </w:r>
          </w:p>
        </w:tc>
        <w:tc>
          <w:tcPr>
            <w:tcW w:w="2411" w:type="dxa"/>
            <w:tcBorders>
              <w:top w:val="single" w:sz="4" w:space="0" w:color="000000"/>
              <w:left w:val="single" w:sz="4" w:space="0" w:color="000000"/>
              <w:bottom w:val="single" w:sz="4" w:space="0" w:color="000000"/>
              <w:right w:val="single" w:sz="4" w:space="0" w:color="000000"/>
            </w:tcBorders>
          </w:tcPr>
          <w:p>
            <w:pPr>
              <w:pStyle w:val="TableParagraph"/>
              <w:numPr>
                <w:ilvl w:val="0"/>
                <w:numId w:val="30"/>
              </w:numPr>
              <w:tabs>
                <w:tab w:val="left" w:pos="369"/>
              </w:tabs>
              <w:spacing w:before="134" w:after="0" w:line="324" w:lineRule="auto"/>
              <w:ind w:left="51" w:right="53" w:firstLine="180"/>
              <w:jc w:val="left"/>
              <w:rPr>
                <w:sz w:val="18"/>
              </w:rPr>
            </w:pPr>
            <w:r>
              <w:rPr>
                <w:spacing w:val="-2"/>
                <w:sz w:val="18"/>
              </w:rPr>
              <w:t>顶部形成连续的同向性反</w:t>
            </w:r>
            <w:r>
              <w:rPr>
                <w:sz w:val="18"/>
              </w:rPr>
              <w:t>射波组，表现为似平板状形态；</w:t>
            </w:r>
          </w:p>
          <w:p>
            <w:pPr>
              <w:pStyle w:val="TableParagraph"/>
              <w:numPr>
                <w:ilvl w:val="0"/>
                <w:numId w:val="30"/>
              </w:numPr>
              <w:tabs>
                <w:tab w:val="left" w:pos="369"/>
              </w:tabs>
              <w:spacing w:before="79" w:after="0" w:line="240" w:lineRule="auto"/>
              <w:ind w:left="368" w:right="0" w:hanging="138"/>
              <w:jc w:val="left"/>
              <w:rPr>
                <w:sz w:val="18"/>
              </w:rPr>
            </w:pPr>
            <w:r>
              <w:rPr>
                <w:sz w:val="18"/>
              </w:rPr>
              <w:t>多次波明显</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2"/>
              <w:rPr>
                <w:rFonts w:ascii="黑体"/>
                <w:sz w:val="13"/>
              </w:rPr>
            </w:pPr>
          </w:p>
          <w:p>
            <w:pPr>
              <w:pStyle w:val="TableParagraph"/>
              <w:ind w:left="221" w:right="205"/>
              <w:jc w:val="center"/>
              <w:rPr>
                <w:sz w:val="18"/>
              </w:rPr>
            </w:pPr>
            <w:r>
              <w:rPr>
                <w:sz w:val="18"/>
              </w:rPr>
              <w:t>整体振幅强</w:t>
            </w:r>
          </w:p>
        </w:tc>
        <w:tc>
          <w:tcPr>
            <w:tcW w:w="2453" w:type="dxa"/>
            <w:tcBorders>
              <w:top w:val="single" w:sz="4" w:space="0" w:color="000000"/>
              <w:left w:val="single" w:sz="4" w:space="0" w:color="000000"/>
              <w:bottom w:val="single" w:sz="4" w:space="0" w:color="000000"/>
            </w:tcBorders>
          </w:tcPr>
          <w:p>
            <w:pPr>
              <w:pStyle w:val="TableParagraph"/>
              <w:spacing w:before="8"/>
              <w:rPr>
                <w:rFonts w:ascii="黑体"/>
                <w:sz w:val="22"/>
              </w:rPr>
            </w:pPr>
          </w:p>
          <w:p>
            <w:pPr>
              <w:pStyle w:val="TableParagraph"/>
              <w:numPr>
                <w:ilvl w:val="0"/>
                <w:numId w:val="29"/>
              </w:numPr>
              <w:tabs>
                <w:tab w:val="left" w:pos="392"/>
              </w:tabs>
              <w:spacing w:before="0" w:after="0" w:line="324" w:lineRule="auto"/>
              <w:ind w:left="50" w:right="-72" w:firstLine="180"/>
              <w:jc w:val="left"/>
              <w:rPr>
                <w:sz w:val="18"/>
              </w:rPr>
            </w:pPr>
            <w:r>
              <w:rPr>
                <w:spacing w:val="21"/>
                <w:sz w:val="18"/>
              </w:rPr>
              <w:t>顶部反射波与入射波同</w:t>
            </w:r>
            <w:r>
              <w:rPr>
                <w:spacing w:val="-8"/>
                <w:sz w:val="18"/>
              </w:rPr>
              <w:t>向，底部反射波与入射波反向；</w:t>
            </w:r>
          </w:p>
          <w:p>
            <w:pPr>
              <w:pStyle w:val="TableParagraph"/>
              <w:numPr>
                <w:ilvl w:val="0"/>
                <w:numId w:val="29"/>
              </w:numPr>
              <w:tabs>
                <w:tab w:val="left" w:pos="368"/>
              </w:tabs>
              <w:spacing w:before="78" w:after="0" w:line="240" w:lineRule="auto"/>
              <w:ind w:left="367" w:right="0" w:hanging="138"/>
              <w:jc w:val="left"/>
              <w:rPr>
                <w:sz w:val="18"/>
              </w:rPr>
            </w:pPr>
            <w:r>
              <w:rPr>
                <w:sz w:val="18"/>
              </w:rPr>
              <w:t>频率高于背景场。</w:t>
            </w:r>
          </w:p>
        </w:tc>
      </w:tr>
      <w:tr>
        <w:tblPrEx>
          <w:tblW w:w="0" w:type="auto"/>
          <w:jc w:val="left"/>
          <w:tblInd w:w="1141" w:type="dxa"/>
          <w:tblLayout w:type="fixed"/>
          <w:tblCellMar>
            <w:top w:w="0" w:type="dxa"/>
            <w:left w:w="0" w:type="dxa"/>
            <w:bottom w:w="0" w:type="dxa"/>
            <w:right w:w="0" w:type="dxa"/>
          </w:tblCellMar>
          <w:tblLook w:val="01E0"/>
        </w:tblPrEx>
        <w:trPr>
          <w:trHeight w:val="2276"/>
          <w:jc w:val="left"/>
        </w:trPr>
        <w:tc>
          <w:tcPr>
            <w:tcW w:w="484" w:type="dxa"/>
            <w:tcBorders>
              <w:top w:val="single" w:sz="4" w:space="0" w:color="000000"/>
              <w:right w:val="single" w:sz="4"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3"/>
              <w:rPr>
                <w:rFonts w:ascii="黑体"/>
                <w:sz w:val="21"/>
              </w:rPr>
            </w:pPr>
          </w:p>
          <w:p>
            <w:pPr>
              <w:pStyle w:val="TableParagraph"/>
              <w:ind w:right="181"/>
              <w:jc w:val="right"/>
              <w:rPr>
                <w:rFonts w:ascii="Times New Roman"/>
                <w:sz w:val="18"/>
              </w:rPr>
            </w:pPr>
            <w:r>
              <w:rPr>
                <w:rFonts w:ascii="Times New Roman"/>
                <w:sz w:val="18"/>
              </w:rPr>
              <w:t>2</w:t>
            </w:r>
          </w:p>
        </w:tc>
        <w:tc>
          <w:tcPr>
            <w:tcW w:w="1126"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7"/>
              <w:rPr>
                <w:rFonts w:ascii="黑体"/>
                <w:sz w:val="26"/>
              </w:rPr>
            </w:pPr>
          </w:p>
          <w:p>
            <w:pPr>
              <w:pStyle w:val="TableParagraph"/>
              <w:ind w:left="366" w:right="350"/>
              <w:jc w:val="center"/>
              <w:rPr>
                <w:sz w:val="18"/>
              </w:rPr>
            </w:pPr>
            <w:r>
              <w:rPr>
                <w:sz w:val="18"/>
              </w:rPr>
              <w:t>空洞</w:t>
            </w:r>
          </w:p>
        </w:tc>
        <w:tc>
          <w:tcPr>
            <w:tcW w:w="1415"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4"/>
              <w:rPr>
                <w:rFonts w:ascii="黑体"/>
                <w:sz w:val="14"/>
              </w:rPr>
            </w:pPr>
          </w:p>
          <w:p>
            <w:pPr>
              <w:pStyle w:val="TableParagraph"/>
              <w:ind w:left="61" w:right="44"/>
              <w:jc w:val="center"/>
              <w:rPr>
                <w:sz w:val="18"/>
              </w:rPr>
            </w:pPr>
            <w:r>
              <w:rPr>
                <w:sz w:val="18"/>
              </w:rPr>
              <w:t>相对介电常数为</w:t>
            </w:r>
          </w:p>
          <w:p>
            <w:pPr>
              <w:pStyle w:val="TableParagraph"/>
              <w:spacing w:before="91"/>
              <w:ind w:left="18"/>
              <w:jc w:val="center"/>
              <w:rPr>
                <w:rFonts w:ascii="Times New Roman"/>
                <w:sz w:val="18"/>
              </w:rPr>
            </w:pPr>
            <w:r>
              <w:rPr>
                <w:rFonts w:ascii="Times New Roman"/>
                <w:sz w:val="18"/>
              </w:rPr>
              <w:t>1</w:t>
            </w:r>
          </w:p>
        </w:tc>
        <w:tc>
          <w:tcPr>
            <w:tcW w:w="2411" w:type="dxa"/>
            <w:tcBorders>
              <w:top w:val="single" w:sz="4" w:space="0" w:color="000000"/>
              <w:left w:val="single" w:sz="4" w:space="0" w:color="000000"/>
              <w:right w:val="single" w:sz="4" w:space="0" w:color="000000"/>
            </w:tcBorders>
          </w:tcPr>
          <w:p>
            <w:pPr>
              <w:pStyle w:val="TableParagraph"/>
              <w:numPr>
                <w:ilvl w:val="0"/>
                <w:numId w:val="28"/>
              </w:numPr>
              <w:tabs>
                <w:tab w:val="left" w:pos="369"/>
              </w:tabs>
              <w:spacing w:before="134" w:after="0" w:line="324" w:lineRule="auto"/>
              <w:ind w:left="51" w:right="53" w:firstLine="180"/>
              <w:jc w:val="left"/>
              <w:rPr>
                <w:sz w:val="18"/>
              </w:rPr>
            </w:pPr>
            <w:r>
              <w:rPr>
                <w:spacing w:val="-2"/>
                <w:sz w:val="18"/>
              </w:rPr>
              <w:t>似球形空洞反射波组表现</w:t>
            </w:r>
            <w:r>
              <w:rPr>
                <w:sz w:val="18"/>
              </w:rPr>
              <w:t>为倒悬双曲线；</w:t>
            </w:r>
          </w:p>
          <w:p>
            <w:pPr>
              <w:pStyle w:val="TableParagraph"/>
              <w:numPr>
                <w:ilvl w:val="0"/>
                <w:numId w:val="28"/>
              </w:numPr>
              <w:tabs>
                <w:tab w:val="left" w:pos="369"/>
              </w:tabs>
              <w:spacing w:before="78" w:after="0" w:line="324" w:lineRule="auto"/>
              <w:ind w:left="51" w:right="53" w:firstLine="180"/>
              <w:jc w:val="left"/>
              <w:rPr>
                <w:sz w:val="18"/>
              </w:rPr>
            </w:pPr>
            <w:r>
              <w:rPr>
                <w:spacing w:val="-2"/>
                <w:sz w:val="18"/>
              </w:rPr>
              <w:t>似方形空洞反射波表现为</w:t>
            </w:r>
            <w:r>
              <w:rPr>
                <w:sz w:val="18"/>
              </w:rPr>
              <w:t>正向连续平板状双曲线；</w:t>
            </w:r>
          </w:p>
          <w:p>
            <w:pPr>
              <w:pStyle w:val="TableParagraph"/>
              <w:numPr>
                <w:ilvl w:val="0"/>
                <w:numId w:val="28"/>
              </w:numPr>
              <w:tabs>
                <w:tab w:val="left" w:pos="369"/>
              </w:tabs>
              <w:spacing w:before="81" w:after="0" w:line="240" w:lineRule="auto"/>
              <w:ind w:left="368" w:right="0" w:hanging="138"/>
              <w:jc w:val="left"/>
              <w:rPr>
                <w:sz w:val="18"/>
              </w:rPr>
            </w:pPr>
            <w:r>
              <w:rPr>
                <w:sz w:val="18"/>
              </w:rPr>
              <w:t>绕射波明显；</w:t>
            </w:r>
          </w:p>
          <w:p>
            <w:pPr>
              <w:pStyle w:val="TableParagraph"/>
              <w:numPr>
                <w:ilvl w:val="0"/>
                <w:numId w:val="28"/>
              </w:numPr>
              <w:tabs>
                <w:tab w:val="left" w:pos="369"/>
              </w:tabs>
              <w:spacing w:before="158" w:after="0" w:line="240" w:lineRule="auto"/>
              <w:ind w:left="368" w:right="0" w:hanging="138"/>
              <w:jc w:val="left"/>
              <w:rPr>
                <w:sz w:val="18"/>
              </w:rPr>
            </w:pPr>
            <w:r>
              <w:rPr>
                <w:sz w:val="18"/>
              </w:rPr>
              <w:t>多次波明显</w:t>
            </w:r>
          </w:p>
        </w:tc>
        <w:tc>
          <w:tcPr>
            <w:tcW w:w="1559"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7"/>
              <w:rPr>
                <w:rFonts w:ascii="黑体"/>
                <w:sz w:val="26"/>
              </w:rPr>
            </w:pPr>
          </w:p>
          <w:p>
            <w:pPr>
              <w:pStyle w:val="TableParagraph"/>
              <w:ind w:left="221" w:right="205"/>
              <w:jc w:val="center"/>
              <w:rPr>
                <w:sz w:val="18"/>
              </w:rPr>
            </w:pPr>
            <w:r>
              <w:rPr>
                <w:sz w:val="18"/>
              </w:rPr>
              <w:t>整体振幅强</w:t>
            </w:r>
          </w:p>
        </w:tc>
        <w:tc>
          <w:tcPr>
            <w:tcW w:w="2453" w:type="dxa"/>
            <w:tcBorders>
              <w:top w:val="single" w:sz="4" w:space="0" w:color="000000"/>
              <w:left w:val="single" w:sz="4" w:space="0" w:color="000000"/>
            </w:tcBorders>
          </w:tcPr>
          <w:p>
            <w:pPr>
              <w:pStyle w:val="TableParagraph"/>
              <w:rPr>
                <w:rFonts w:ascii="黑体"/>
                <w:sz w:val="20"/>
              </w:rPr>
            </w:pPr>
          </w:p>
          <w:p>
            <w:pPr>
              <w:pStyle w:val="TableParagraph"/>
              <w:rPr>
                <w:rFonts w:ascii="黑体"/>
                <w:sz w:val="20"/>
              </w:rPr>
            </w:pPr>
          </w:p>
          <w:p>
            <w:pPr>
              <w:pStyle w:val="TableParagraph"/>
              <w:spacing w:before="166"/>
              <w:ind w:left="230"/>
              <w:rPr>
                <w:sz w:val="18"/>
              </w:rPr>
            </w:pPr>
            <w:r>
              <w:rPr>
                <w:rFonts w:ascii="Times New Roman" w:eastAsia="Times New Roman"/>
                <w:sz w:val="18"/>
              </w:rPr>
              <w:t>1.</w:t>
            </w:r>
            <w:r>
              <w:rPr>
                <w:sz w:val="18"/>
              </w:rPr>
              <w:t>顶部反射波与入射波同</w:t>
            </w:r>
          </w:p>
          <w:p>
            <w:pPr>
              <w:pStyle w:val="TableParagraph"/>
              <w:spacing w:before="82"/>
              <w:ind w:left="50" w:right="-72"/>
              <w:rPr>
                <w:sz w:val="18"/>
              </w:rPr>
            </w:pPr>
            <w:r>
              <w:rPr>
                <w:spacing w:val="-9"/>
                <w:sz w:val="18"/>
              </w:rPr>
              <w:t>向，底部反射波与入射波反向；</w:t>
            </w:r>
          </w:p>
          <w:p>
            <w:pPr>
              <w:pStyle w:val="TableParagraph"/>
              <w:spacing w:before="160"/>
              <w:ind w:left="230"/>
              <w:rPr>
                <w:sz w:val="18"/>
              </w:rPr>
            </w:pPr>
            <w:r>
              <w:rPr>
                <w:rFonts w:ascii="Times New Roman" w:eastAsia="Times New Roman"/>
                <w:sz w:val="18"/>
              </w:rPr>
              <w:t>2</w:t>
            </w:r>
            <w:r>
              <w:rPr>
                <w:sz w:val="18"/>
              </w:rPr>
              <w:t>、频率高于背景场</w:t>
            </w:r>
          </w:p>
        </w:tc>
      </w:tr>
    </w:tbl>
    <w:p>
      <w:pPr>
        <w:spacing w:after="0"/>
        <w:rPr>
          <w:sz w:val="18"/>
        </w:rPr>
        <w:sectPr>
          <w:headerReference w:type="default" r:id="rId10"/>
          <w:pgSz w:w="11910" w:h="16840"/>
          <w:pgMar w:top="1640" w:right="260" w:bottom="280" w:left="240" w:header="1449" w:footer="0"/>
          <w:pgNumType w:start="6"/>
          <w:cols w:space="708"/>
        </w:sectPr>
      </w:pPr>
    </w:p>
    <w:p>
      <w:pPr>
        <w:pStyle w:val="BodyText"/>
        <w:rPr>
          <w:rFonts w:ascii="黑体"/>
          <w:sz w:val="20"/>
        </w:rPr>
      </w:pPr>
      <w:r>
        <w:pict>
          <v:line id="_x0000_s1043" style="mso-position-horizontal-relative:page;mso-position-vertical-relative:page;position:absolute;z-index:-251640832" from="66.3pt,551.65pt" to="161.6pt,585.7pt" stroked="t" strokecolor="black" strokeweight="0.5pt">
            <v:stroke dashstyle="solid"/>
          </v:line>
        </w:pict>
      </w:r>
      <w:r>
        <w:pict>
          <v:group id="_x0000_s1044" style="width:468.65pt;height:293.25pt;margin-top:490.87pt;margin-left:70.92pt;mso-position-horizontal-relative:page;mso-position-vertical-relative:page;position:absolute;z-index:-251639808" coordorigin="1418,9817" coordsize="9373,5865">
            <v:shape id="_x0000_s1045" type="#_x0000_t202" style="width:9373;height:989;left:1418;position:absolute;top:9817" filled="f" stroked="f">
              <v:textbox inset="0,0,0,0">
                <w:txbxContent>
                  <w:p>
                    <w:pPr>
                      <w:spacing w:before="0" w:line="241" w:lineRule="exact"/>
                      <w:ind w:left="0" w:right="0" w:firstLine="0"/>
                      <w:jc w:val="left"/>
                      <w:rPr>
                        <w:sz w:val="21"/>
                      </w:rPr>
                    </w:pPr>
                    <w:r>
                      <w:rPr>
                        <w:rFonts w:ascii="黑体" w:eastAsia="黑体" w:hint="eastAsia"/>
                        <w:sz w:val="20"/>
                      </w:rPr>
                      <w:t>6.3</w:t>
                    </w:r>
                    <w:r>
                      <w:rPr>
                        <w:rFonts w:ascii="黑体" w:eastAsia="黑体" w:hint="eastAsia"/>
                        <w:spacing w:val="88"/>
                        <w:sz w:val="20"/>
                      </w:rPr>
                      <w:t xml:space="preserve"> </w:t>
                    </w:r>
                    <w:r>
                      <w:rPr>
                        <w:spacing w:val="-4"/>
                        <w:sz w:val="21"/>
                      </w:rPr>
                      <w:t xml:space="preserve">隐患体等级由高到低划分为 </w:t>
                    </w:r>
                    <w:r>
                      <w:rPr>
                        <w:sz w:val="21"/>
                      </w:rPr>
                      <w:t>I</w:t>
                    </w:r>
                    <w:r>
                      <w:rPr>
                        <w:spacing w:val="-26"/>
                        <w:sz w:val="21"/>
                      </w:rPr>
                      <w:t xml:space="preserve"> 级、</w:t>
                    </w:r>
                    <w:r>
                      <w:rPr>
                        <w:sz w:val="21"/>
                      </w:rPr>
                      <w:t>II</w:t>
                    </w:r>
                    <w:r>
                      <w:rPr>
                        <w:spacing w:val="-26"/>
                        <w:sz w:val="21"/>
                      </w:rPr>
                      <w:t xml:space="preserve"> 级、</w:t>
                    </w:r>
                    <w:r>
                      <w:rPr>
                        <w:sz w:val="21"/>
                      </w:rPr>
                      <w:t>III</w:t>
                    </w:r>
                    <w:r>
                      <w:rPr>
                        <w:spacing w:val="-28"/>
                        <w:sz w:val="21"/>
                      </w:rPr>
                      <w:t xml:space="preserve"> 级和 </w:t>
                    </w:r>
                    <w:r>
                      <w:rPr>
                        <w:sz w:val="21"/>
                      </w:rPr>
                      <w:t>IV</w:t>
                    </w:r>
                    <w:r>
                      <w:rPr>
                        <w:spacing w:val="-9"/>
                        <w:sz w:val="21"/>
                      </w:rPr>
                      <w:t xml:space="preserve"> 级，空洞和脱空宜根据隐患面积和净深等因</w:t>
                    </w:r>
                  </w:p>
                  <w:p>
                    <w:pPr>
                      <w:spacing w:before="40"/>
                      <w:ind w:left="0" w:right="0" w:firstLine="0"/>
                      <w:jc w:val="left"/>
                      <w:rPr>
                        <w:sz w:val="21"/>
                      </w:rPr>
                    </w:pPr>
                    <w:r>
                      <w:rPr>
                        <w:sz w:val="21"/>
                      </w:rPr>
                      <w:t>素，按照表 2 进行隐患等级评定，按最高等级进行确定。</w:t>
                    </w:r>
                  </w:p>
                  <w:p>
                    <w:pPr>
                      <w:spacing w:before="7" w:line="240" w:lineRule="auto"/>
                      <w:rPr>
                        <w:sz w:val="15"/>
                      </w:rPr>
                    </w:pPr>
                  </w:p>
                  <w:p>
                    <w:pPr>
                      <w:spacing w:before="0" w:line="239" w:lineRule="exact"/>
                      <w:ind w:left="1874" w:right="1894" w:firstLine="0"/>
                      <w:jc w:val="center"/>
                      <w:rPr>
                        <w:rFonts w:ascii="黑体" w:eastAsia="黑体" w:hint="eastAsia"/>
                        <w:sz w:val="21"/>
                      </w:rPr>
                    </w:pPr>
                    <w:r>
                      <w:rPr>
                        <w:rFonts w:ascii="黑体" w:eastAsia="黑体" w:hint="eastAsia"/>
                        <w:sz w:val="21"/>
                      </w:rPr>
                      <w:t>表 2 基于隐患面积和净空因素的空洞和脱空隐患等级评定表</w:t>
                    </w:r>
                  </w:p>
                </w:txbxContent>
              </v:textbox>
            </v:shape>
            <v:shape id="_x0000_s1046" type="#_x0000_t202" style="width:9373;height:1833;left:1418;position:absolute;top:13849" filled="f" stroked="f">
              <v:textbox inset="0,0,0,0">
                <w:txbxContent>
                  <w:p>
                    <w:pPr>
                      <w:numPr>
                        <w:ilvl w:val="1"/>
                        <w:numId w:val="18"/>
                      </w:numPr>
                      <w:tabs>
                        <w:tab w:val="left" w:pos="500"/>
                      </w:tabs>
                      <w:spacing w:before="0" w:line="241" w:lineRule="exact"/>
                      <w:ind w:left="499" w:right="0" w:hanging="500"/>
                      <w:jc w:val="left"/>
                      <w:rPr>
                        <w:sz w:val="21"/>
                      </w:rPr>
                    </w:pPr>
                    <w:r>
                      <w:rPr>
                        <w:sz w:val="21"/>
                      </w:rPr>
                      <w:t>疏松体原不宜进行隐患等级评价，但当严重疏松体隐患临近雨污水管线和暗渠化河道、在施地下</w:t>
                    </w:r>
                  </w:p>
                  <w:p>
                    <w:pPr>
                      <w:spacing w:before="40"/>
                      <w:ind w:left="0" w:right="0" w:firstLine="0"/>
                      <w:jc w:val="left"/>
                      <w:rPr>
                        <w:sz w:val="21"/>
                      </w:rPr>
                    </w:pPr>
                    <w:r>
                      <w:rPr>
                        <w:sz w:val="21"/>
                      </w:rPr>
                      <w:t>工程强烈影响区等周边致塌因素发育时，应按照 6.3 条规定评价隐患体等级。</w:t>
                    </w:r>
                  </w:p>
                  <w:p>
                    <w:pPr>
                      <w:numPr>
                        <w:ilvl w:val="1"/>
                        <w:numId w:val="18"/>
                      </w:numPr>
                      <w:tabs>
                        <w:tab w:val="left" w:pos="500"/>
                      </w:tabs>
                      <w:spacing w:before="48" w:line="278" w:lineRule="auto"/>
                      <w:ind w:left="0" w:right="18" w:firstLine="0"/>
                      <w:jc w:val="left"/>
                      <w:rPr>
                        <w:sz w:val="21"/>
                      </w:rPr>
                    </w:pPr>
                    <w:r>
                      <w:rPr>
                        <w:spacing w:val="-6"/>
                        <w:sz w:val="21"/>
                      </w:rPr>
                      <w:t xml:space="preserve">城镇道路坍塌隐患探测工作中，应根据隐患等级及时通报隐患信息，并对 </w:t>
                    </w:r>
                    <w:r>
                      <w:rPr>
                        <w:sz w:val="21"/>
                      </w:rPr>
                      <w:t>I</w:t>
                    </w:r>
                    <w:r>
                      <w:rPr>
                        <w:spacing w:val="-3"/>
                        <w:sz w:val="21"/>
                      </w:rPr>
                      <w:t xml:space="preserve"> 级和 </w:t>
                    </w:r>
                    <w:r>
                      <w:rPr>
                        <w:sz w:val="21"/>
                      </w:rPr>
                      <w:t>II</w:t>
                    </w:r>
                    <w:r>
                      <w:rPr>
                        <w:spacing w:val="-2"/>
                        <w:sz w:val="21"/>
                      </w:rPr>
                      <w:t xml:space="preserve"> 级隐患即时通知相关各方，及时采取应急处置措施。</w:t>
                    </w:r>
                  </w:p>
                  <w:p>
                    <w:pPr>
                      <w:numPr>
                        <w:ilvl w:val="1"/>
                        <w:numId w:val="18"/>
                      </w:numPr>
                      <w:tabs>
                        <w:tab w:val="left" w:pos="500"/>
                      </w:tabs>
                      <w:spacing w:before="2"/>
                      <w:ind w:left="499" w:right="0" w:hanging="500"/>
                      <w:jc w:val="left"/>
                      <w:rPr>
                        <w:sz w:val="21"/>
                      </w:rPr>
                    </w:pPr>
                    <w:r>
                      <w:rPr>
                        <w:sz w:val="21"/>
                      </w:rPr>
                      <w:t>应根据隐患等级、形成原因与施工条件等因素确定处置时机和处置方法。</w:t>
                    </w:r>
                  </w:p>
                  <w:p>
                    <w:pPr>
                      <w:spacing w:before="133" w:line="205" w:lineRule="exact"/>
                      <w:ind w:left="9031" w:right="0" w:firstLine="0"/>
                      <w:jc w:val="left"/>
                      <w:rPr>
                        <w:sz w:val="18"/>
                      </w:rPr>
                    </w:pPr>
                    <w:r>
                      <w:rPr>
                        <w:sz w:val="18"/>
                      </w:rPr>
                      <w:t>4</w:t>
                    </w:r>
                  </w:p>
                </w:txbxContent>
              </v:textbox>
            </v:shape>
          </v:group>
        </w:pict>
      </w:r>
      <w:r>
        <w:drawing>
          <wp:anchor distT="0" distB="0" distL="0" distR="0" simplePos="0" relativeHeight="251674624"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p>
    <w:p>
      <w:pPr>
        <w:pStyle w:val="BodyText"/>
        <w:rPr>
          <w:rFonts w:ascii="黑体"/>
          <w:sz w:val="20"/>
        </w:rPr>
      </w:pPr>
    </w:p>
    <w:p>
      <w:pPr>
        <w:pStyle w:val="BodyText"/>
        <w:spacing w:before="11"/>
        <w:rPr>
          <w:rFonts w:ascii="黑体"/>
          <w:sz w:val="14"/>
        </w:rPr>
      </w:pPr>
    </w:p>
    <w:p>
      <w:pPr>
        <w:pStyle w:val="BodyText"/>
        <w:spacing w:before="70"/>
        <w:ind w:left="2066" w:right="1765"/>
        <w:jc w:val="center"/>
        <w:rPr>
          <w:rFonts w:ascii="黑体" w:eastAsia="黑体" w:hint="eastAsia"/>
        </w:rPr>
      </w:pPr>
      <w:r>
        <w:rPr>
          <w:rFonts w:ascii="黑体" w:eastAsia="黑体" w:hint="eastAsia"/>
        </w:rPr>
        <w:t>表 1 城镇道路坍塌隐患体分类表（续）</w:t>
      </w:r>
    </w:p>
    <w:p>
      <w:pPr>
        <w:pStyle w:val="BodyText"/>
        <w:spacing w:before="11" w:after="1"/>
        <w:rPr>
          <w:rFonts w:ascii="黑体"/>
          <w:sz w:val="13"/>
        </w:rPr>
      </w:pPr>
    </w:p>
    <w:tbl>
      <w:tblPr>
        <w:tblStyle w:val="TableNormal2"/>
        <w:tblW w:w="0" w:type="auto"/>
        <w:jc w:val="left"/>
        <w:tblInd w:w="1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84"/>
        <w:gridCol w:w="557"/>
        <w:gridCol w:w="569"/>
        <w:gridCol w:w="1415"/>
        <w:gridCol w:w="2411"/>
        <w:gridCol w:w="1559"/>
        <w:gridCol w:w="2453"/>
      </w:tblGrid>
      <w:tr>
        <w:tblPrEx>
          <w:tblW w:w="0" w:type="auto"/>
          <w:jc w:val="left"/>
          <w:tblInd w:w="1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83"/>
          <w:jc w:val="left"/>
        </w:trPr>
        <w:tc>
          <w:tcPr>
            <w:tcW w:w="484" w:type="dxa"/>
            <w:vMerge w:val="restart"/>
            <w:tcBorders>
              <w:bottom w:val="single" w:sz="4" w:space="0" w:color="000000"/>
              <w:right w:val="single" w:sz="4" w:space="0" w:color="000000"/>
            </w:tcBorders>
          </w:tcPr>
          <w:p>
            <w:pPr>
              <w:pStyle w:val="TableParagraph"/>
              <w:rPr>
                <w:rFonts w:ascii="黑体"/>
                <w:sz w:val="18"/>
              </w:rPr>
            </w:pPr>
          </w:p>
          <w:p>
            <w:pPr>
              <w:pStyle w:val="TableParagraph"/>
              <w:spacing w:before="148"/>
              <w:ind w:left="61"/>
              <w:rPr>
                <w:sz w:val="18"/>
              </w:rPr>
            </w:pPr>
            <w:r>
              <w:rPr>
                <w:sz w:val="18"/>
              </w:rPr>
              <w:t>序号</w:t>
            </w:r>
          </w:p>
        </w:tc>
        <w:tc>
          <w:tcPr>
            <w:tcW w:w="1126" w:type="dxa"/>
            <w:gridSpan w:val="2"/>
            <w:vMerge w:val="restart"/>
            <w:tcBorders>
              <w:left w:val="single" w:sz="4" w:space="0" w:color="000000"/>
              <w:bottom w:val="single" w:sz="4" w:space="0" w:color="000000"/>
              <w:right w:val="single" w:sz="4" w:space="0" w:color="000000"/>
            </w:tcBorders>
          </w:tcPr>
          <w:p>
            <w:pPr>
              <w:pStyle w:val="TableParagraph"/>
              <w:spacing w:before="25" w:line="390" w:lineRule="atLeast"/>
              <w:ind w:left="386" w:right="276" w:hanging="89"/>
              <w:rPr>
                <w:sz w:val="18"/>
              </w:rPr>
            </w:pPr>
            <w:r>
              <w:rPr>
                <w:sz w:val="18"/>
              </w:rPr>
              <w:t>隐患体类型</w:t>
            </w:r>
          </w:p>
        </w:tc>
        <w:tc>
          <w:tcPr>
            <w:tcW w:w="1415" w:type="dxa"/>
            <w:vMerge w:val="restart"/>
            <w:tcBorders>
              <w:left w:val="single" w:sz="4" w:space="0" w:color="000000"/>
              <w:bottom w:val="single" w:sz="4" w:space="0" w:color="000000"/>
              <w:right w:val="single" w:sz="4" w:space="0" w:color="000000"/>
            </w:tcBorders>
          </w:tcPr>
          <w:p>
            <w:pPr>
              <w:pStyle w:val="TableParagraph"/>
              <w:rPr>
                <w:rFonts w:ascii="黑体"/>
                <w:sz w:val="18"/>
              </w:rPr>
            </w:pPr>
          </w:p>
          <w:p>
            <w:pPr>
              <w:pStyle w:val="TableParagraph"/>
              <w:spacing w:before="148"/>
              <w:ind w:left="352"/>
              <w:rPr>
                <w:sz w:val="18"/>
              </w:rPr>
            </w:pPr>
            <w:r>
              <w:rPr>
                <w:sz w:val="18"/>
              </w:rPr>
              <w:t>介电特征</w:t>
            </w:r>
          </w:p>
        </w:tc>
        <w:tc>
          <w:tcPr>
            <w:tcW w:w="6423" w:type="dxa"/>
            <w:gridSpan w:val="3"/>
            <w:tcBorders>
              <w:left w:val="single" w:sz="4" w:space="0" w:color="000000"/>
              <w:bottom w:val="single" w:sz="4" w:space="0" w:color="000000"/>
            </w:tcBorders>
          </w:tcPr>
          <w:p>
            <w:pPr>
              <w:pStyle w:val="TableParagraph"/>
              <w:spacing w:before="134"/>
              <w:ind w:left="2476" w:right="2451"/>
              <w:jc w:val="center"/>
              <w:rPr>
                <w:sz w:val="18"/>
              </w:rPr>
            </w:pPr>
            <w:r>
              <w:rPr>
                <w:sz w:val="18"/>
              </w:rPr>
              <w:t>探地雷达波形特征</w:t>
            </w:r>
          </w:p>
        </w:tc>
      </w:tr>
      <w:tr>
        <w:tblPrEx>
          <w:tblW w:w="0" w:type="auto"/>
          <w:jc w:val="left"/>
          <w:tblInd w:w="1141" w:type="dxa"/>
          <w:tblLayout w:type="fixed"/>
          <w:tblCellMar>
            <w:top w:w="0" w:type="dxa"/>
            <w:left w:w="0" w:type="dxa"/>
            <w:bottom w:w="0" w:type="dxa"/>
            <w:right w:w="0" w:type="dxa"/>
          </w:tblCellMar>
          <w:tblLook w:val="01E0"/>
        </w:tblPrEx>
        <w:trPr>
          <w:trHeight w:val="482"/>
          <w:jc w:val="left"/>
        </w:trPr>
        <w:tc>
          <w:tcPr>
            <w:tcW w:w="484" w:type="dxa"/>
            <w:vMerge/>
            <w:tcBorders>
              <w:top w:val="nil"/>
              <w:bottom w:val="single" w:sz="4" w:space="0" w:color="000000"/>
              <w:right w:val="single" w:sz="4" w:space="0" w:color="000000"/>
            </w:tcBorders>
          </w:tcPr>
          <w:p>
            <w:pPr>
              <w:rPr>
                <w:sz w:val="2"/>
                <w:szCs w:val="2"/>
              </w:rPr>
            </w:pPr>
          </w:p>
        </w:tc>
        <w:tc>
          <w:tcPr>
            <w:tcW w:w="1126" w:type="dxa"/>
            <w:gridSpan w:val="2"/>
            <w:vMerge/>
            <w:tcBorders>
              <w:top w:val="nil"/>
              <w:left w:val="single" w:sz="4" w:space="0" w:color="000000"/>
              <w:bottom w:val="single" w:sz="4" w:space="0" w:color="000000"/>
              <w:right w:val="single" w:sz="4" w:space="0" w:color="000000"/>
            </w:tcBorders>
          </w:tcPr>
          <w:p>
            <w:pPr>
              <w:rPr>
                <w:sz w:val="2"/>
                <w:szCs w:val="2"/>
              </w:rPr>
            </w:pPr>
          </w:p>
        </w:tc>
        <w:tc>
          <w:tcPr>
            <w:tcW w:w="1415" w:type="dxa"/>
            <w:vMerge/>
            <w:tcBorders>
              <w:top w:val="nil"/>
              <w:left w:val="single" w:sz="4" w:space="0" w:color="000000"/>
              <w:bottom w:val="single" w:sz="4" w:space="0" w:color="000000"/>
              <w:right w:val="single" w:sz="4" w:space="0" w:color="000000"/>
            </w:tcBorders>
          </w:tcPr>
          <w:p>
            <w:pPr>
              <w:rPr>
                <w:sz w:val="2"/>
                <w:szCs w:val="2"/>
              </w:rPr>
            </w:pPr>
          </w:p>
        </w:tc>
        <w:tc>
          <w:tcPr>
            <w:tcW w:w="2411" w:type="dxa"/>
            <w:tcBorders>
              <w:top w:val="single" w:sz="4" w:space="0" w:color="000000"/>
              <w:left w:val="single" w:sz="4" w:space="0" w:color="000000"/>
              <w:bottom w:val="single" w:sz="4" w:space="0" w:color="000000"/>
              <w:right w:val="single" w:sz="4" w:space="0" w:color="000000"/>
            </w:tcBorders>
          </w:tcPr>
          <w:p>
            <w:pPr>
              <w:pStyle w:val="TableParagraph"/>
              <w:spacing w:before="133"/>
              <w:ind w:left="830" w:right="811"/>
              <w:jc w:val="center"/>
              <w:rPr>
                <w:sz w:val="18"/>
              </w:rPr>
            </w:pPr>
            <w:r>
              <w:rPr>
                <w:sz w:val="18"/>
              </w:rPr>
              <w:t>波组形态</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spacing w:before="133"/>
              <w:ind w:left="224" w:right="205"/>
              <w:jc w:val="center"/>
              <w:rPr>
                <w:sz w:val="18"/>
              </w:rPr>
            </w:pPr>
            <w:r>
              <w:rPr>
                <w:sz w:val="18"/>
              </w:rPr>
              <w:t>振幅</w:t>
            </w:r>
          </w:p>
        </w:tc>
        <w:tc>
          <w:tcPr>
            <w:tcW w:w="2453" w:type="dxa"/>
            <w:tcBorders>
              <w:top w:val="single" w:sz="4" w:space="0" w:color="000000"/>
              <w:left w:val="single" w:sz="4" w:space="0" w:color="000000"/>
              <w:bottom w:val="single" w:sz="4" w:space="0" w:color="000000"/>
            </w:tcBorders>
          </w:tcPr>
          <w:p>
            <w:pPr>
              <w:pStyle w:val="TableParagraph"/>
              <w:spacing w:before="133"/>
              <w:ind w:left="780"/>
              <w:rPr>
                <w:sz w:val="18"/>
              </w:rPr>
            </w:pPr>
            <w:r>
              <w:rPr>
                <w:sz w:val="18"/>
              </w:rPr>
              <w:t>相位和频谱</w:t>
            </w:r>
          </w:p>
        </w:tc>
      </w:tr>
      <w:tr>
        <w:tblPrEx>
          <w:tblW w:w="0" w:type="auto"/>
          <w:jc w:val="left"/>
          <w:tblInd w:w="1141" w:type="dxa"/>
          <w:tblLayout w:type="fixed"/>
          <w:tblCellMar>
            <w:top w:w="0" w:type="dxa"/>
            <w:left w:w="0" w:type="dxa"/>
            <w:bottom w:w="0" w:type="dxa"/>
            <w:right w:w="0" w:type="dxa"/>
          </w:tblCellMar>
          <w:tblLook w:val="01E0"/>
        </w:tblPrEx>
        <w:trPr>
          <w:trHeight w:val="1965"/>
          <w:jc w:val="left"/>
        </w:trPr>
        <w:tc>
          <w:tcPr>
            <w:tcW w:w="484" w:type="dxa"/>
            <w:vMerge w:val="restart"/>
            <w:tcBorders>
              <w:top w:val="single" w:sz="4" w:space="0" w:color="000000"/>
              <w:bottom w:val="single" w:sz="4" w:space="0" w:color="000000"/>
              <w:right w:val="single" w:sz="4" w:space="0" w:color="000000"/>
            </w:tcBorders>
          </w:tcPr>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rPr>
                <w:rFonts w:ascii="黑体"/>
                <w:sz w:val="20"/>
              </w:rPr>
            </w:pPr>
          </w:p>
          <w:p>
            <w:pPr>
              <w:pStyle w:val="TableParagraph"/>
              <w:spacing w:before="170"/>
              <w:ind w:left="12"/>
              <w:jc w:val="center"/>
              <w:rPr>
                <w:rFonts w:ascii="Times New Roman"/>
                <w:sz w:val="18"/>
              </w:rPr>
            </w:pPr>
            <w:r>
              <w:rPr>
                <w:rFonts w:ascii="Times New Roman"/>
                <w:sz w:val="18"/>
              </w:rPr>
              <w:t>3</w:t>
            </w:r>
          </w:p>
        </w:tc>
        <w:tc>
          <w:tcPr>
            <w:tcW w:w="557"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4"/>
              <w:rPr>
                <w:rFonts w:ascii="黑体"/>
                <w:sz w:val="14"/>
              </w:rPr>
            </w:pPr>
          </w:p>
          <w:p>
            <w:pPr>
              <w:pStyle w:val="TableParagraph"/>
              <w:spacing w:line="324" w:lineRule="auto"/>
              <w:ind w:left="192" w:right="81" w:hanging="89"/>
              <w:rPr>
                <w:sz w:val="18"/>
              </w:rPr>
            </w:pPr>
            <w:r>
              <w:rPr>
                <w:sz w:val="18"/>
              </w:rPr>
              <w:t>疏松体</w:t>
            </w:r>
          </w:p>
        </w:tc>
        <w:tc>
          <w:tcPr>
            <w:tcW w:w="569"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spacing w:before="11"/>
              <w:rPr>
                <w:rFonts w:ascii="黑体"/>
                <w:sz w:val="22"/>
              </w:rPr>
            </w:pPr>
          </w:p>
          <w:p>
            <w:pPr>
              <w:pStyle w:val="TableParagraph"/>
              <w:ind w:left="107"/>
              <w:rPr>
                <w:sz w:val="18"/>
              </w:rPr>
            </w:pPr>
            <w:r>
              <w:rPr>
                <w:sz w:val="18"/>
              </w:rPr>
              <w:t>严重</w:t>
            </w:r>
          </w:p>
          <w:p>
            <w:pPr>
              <w:pStyle w:val="TableParagraph"/>
              <w:spacing w:before="160" w:line="324" w:lineRule="auto"/>
              <w:ind w:left="198" w:right="89" w:hanging="92"/>
              <w:rPr>
                <w:sz w:val="18"/>
              </w:rPr>
            </w:pPr>
            <w:r>
              <w:rPr>
                <w:spacing w:val="-8"/>
                <w:sz w:val="18"/>
              </w:rPr>
              <w:t>疏松</w:t>
            </w:r>
            <w:r>
              <w:rPr>
                <w:sz w:val="18"/>
              </w:rPr>
              <w:t>体</w:t>
            </w:r>
          </w:p>
        </w:tc>
        <w:tc>
          <w:tcPr>
            <w:tcW w:w="1415" w:type="dxa"/>
            <w:vMerge w:val="restart"/>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numPr>
                <w:ilvl w:val="0"/>
                <w:numId w:val="26"/>
              </w:numPr>
              <w:tabs>
                <w:tab w:val="left" w:pos="190"/>
              </w:tabs>
              <w:spacing w:before="136" w:after="0" w:line="324" w:lineRule="auto"/>
              <w:ind w:left="52" w:right="90" w:firstLine="0"/>
              <w:jc w:val="left"/>
              <w:rPr>
                <w:sz w:val="18"/>
              </w:rPr>
            </w:pPr>
            <w:r>
              <w:rPr>
                <w:sz w:val="18"/>
              </w:rPr>
              <w:t>相对介电常数</w:t>
            </w:r>
            <w:r>
              <w:rPr>
                <w:spacing w:val="-3"/>
                <w:sz w:val="18"/>
              </w:rPr>
              <w:t>小于周边土体；</w:t>
            </w:r>
          </w:p>
          <w:p>
            <w:pPr>
              <w:pStyle w:val="TableParagraph"/>
              <w:numPr>
                <w:ilvl w:val="0"/>
                <w:numId w:val="26"/>
              </w:numPr>
              <w:tabs>
                <w:tab w:val="left" w:pos="190"/>
              </w:tabs>
              <w:spacing w:before="80" w:after="0" w:line="324" w:lineRule="auto"/>
              <w:ind w:left="52" w:right="-44" w:firstLine="0"/>
              <w:jc w:val="left"/>
              <w:rPr>
                <w:sz w:val="18"/>
              </w:rPr>
            </w:pPr>
            <w:r>
              <w:rPr>
                <w:spacing w:val="-3"/>
                <w:sz w:val="18"/>
              </w:rPr>
              <w:t xml:space="preserve">疏松程度越高， </w:t>
            </w:r>
            <w:r>
              <w:rPr>
                <w:sz w:val="18"/>
              </w:rPr>
              <w:t>相对介电常数越小</w:t>
            </w:r>
          </w:p>
        </w:tc>
        <w:tc>
          <w:tcPr>
            <w:tcW w:w="2411" w:type="dxa"/>
            <w:tcBorders>
              <w:top w:val="single" w:sz="4" w:space="0" w:color="000000"/>
              <w:left w:val="single" w:sz="4" w:space="0" w:color="000000"/>
              <w:bottom w:val="single" w:sz="4" w:space="0" w:color="000000"/>
              <w:right w:val="single" w:sz="4" w:space="0" w:color="000000"/>
            </w:tcBorders>
          </w:tcPr>
          <w:p>
            <w:pPr>
              <w:pStyle w:val="TableParagraph"/>
              <w:numPr>
                <w:ilvl w:val="0"/>
                <w:numId w:val="25"/>
              </w:numPr>
              <w:tabs>
                <w:tab w:val="left" w:pos="369"/>
              </w:tabs>
              <w:spacing w:before="135" w:after="0" w:line="324" w:lineRule="auto"/>
              <w:ind w:left="51" w:right="53" w:firstLine="180"/>
              <w:jc w:val="left"/>
              <w:rPr>
                <w:sz w:val="18"/>
              </w:rPr>
            </w:pPr>
            <w:r>
              <w:rPr>
                <w:spacing w:val="-2"/>
                <w:sz w:val="18"/>
              </w:rPr>
              <w:t>顶部形成连续的同向性反</w:t>
            </w:r>
            <w:r>
              <w:rPr>
                <w:sz w:val="18"/>
              </w:rPr>
              <w:t>射波组；</w:t>
            </w:r>
          </w:p>
          <w:p>
            <w:pPr>
              <w:pStyle w:val="TableParagraph"/>
              <w:numPr>
                <w:ilvl w:val="0"/>
                <w:numId w:val="25"/>
              </w:numPr>
              <w:tabs>
                <w:tab w:val="left" w:pos="369"/>
              </w:tabs>
              <w:spacing w:before="78" w:after="0" w:line="240" w:lineRule="auto"/>
              <w:ind w:left="368" w:right="0" w:hanging="138"/>
              <w:jc w:val="left"/>
              <w:rPr>
                <w:sz w:val="18"/>
              </w:rPr>
            </w:pPr>
            <w:r>
              <w:rPr>
                <w:sz w:val="18"/>
              </w:rPr>
              <w:t>多次波较明显；</w:t>
            </w:r>
          </w:p>
          <w:p>
            <w:pPr>
              <w:pStyle w:val="TableParagraph"/>
              <w:numPr>
                <w:ilvl w:val="0"/>
                <w:numId w:val="25"/>
              </w:numPr>
              <w:tabs>
                <w:tab w:val="left" w:pos="369"/>
              </w:tabs>
              <w:spacing w:before="160" w:after="0" w:line="240" w:lineRule="auto"/>
              <w:ind w:left="368" w:right="0" w:hanging="138"/>
              <w:jc w:val="left"/>
              <w:rPr>
                <w:sz w:val="18"/>
              </w:rPr>
            </w:pPr>
            <w:r>
              <w:rPr>
                <w:sz w:val="18"/>
              </w:rPr>
              <w:t>绕射波较明显；</w:t>
            </w:r>
          </w:p>
          <w:p>
            <w:pPr>
              <w:pStyle w:val="TableParagraph"/>
              <w:numPr>
                <w:ilvl w:val="0"/>
                <w:numId w:val="25"/>
              </w:numPr>
              <w:tabs>
                <w:tab w:val="left" w:pos="369"/>
              </w:tabs>
              <w:spacing w:before="158" w:after="0" w:line="240" w:lineRule="auto"/>
              <w:ind w:left="368" w:right="0" w:hanging="138"/>
              <w:jc w:val="left"/>
              <w:rPr>
                <w:sz w:val="18"/>
              </w:rPr>
            </w:pPr>
            <w:r>
              <w:rPr>
                <w:sz w:val="18"/>
              </w:rPr>
              <w:t>内部波形结构杂乱</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2"/>
              <w:rPr>
                <w:rFonts w:ascii="黑体"/>
                <w:sz w:val="14"/>
              </w:rPr>
            </w:pPr>
          </w:p>
          <w:p>
            <w:pPr>
              <w:pStyle w:val="TableParagraph"/>
              <w:ind w:left="221" w:right="205"/>
              <w:jc w:val="center"/>
              <w:rPr>
                <w:sz w:val="18"/>
              </w:rPr>
            </w:pPr>
            <w:r>
              <w:rPr>
                <w:sz w:val="18"/>
              </w:rPr>
              <w:t>整体振幅强</w:t>
            </w:r>
          </w:p>
        </w:tc>
        <w:tc>
          <w:tcPr>
            <w:tcW w:w="2453" w:type="dxa"/>
            <w:tcBorders>
              <w:top w:val="single" w:sz="4" w:space="0" w:color="000000"/>
              <w:left w:val="single" w:sz="4" w:space="0" w:color="000000"/>
              <w:bottom w:val="single" w:sz="4" w:space="0" w:color="000000"/>
            </w:tcBorders>
          </w:tcPr>
          <w:p>
            <w:pPr>
              <w:pStyle w:val="TableParagraph"/>
              <w:rPr>
                <w:rFonts w:ascii="黑体"/>
                <w:sz w:val="20"/>
              </w:rPr>
            </w:pPr>
          </w:p>
          <w:p>
            <w:pPr>
              <w:pStyle w:val="TableParagraph"/>
              <w:spacing w:before="11"/>
              <w:rPr>
                <w:rFonts w:ascii="黑体"/>
                <w:sz w:val="20"/>
              </w:rPr>
            </w:pPr>
          </w:p>
          <w:p>
            <w:pPr>
              <w:pStyle w:val="TableParagraph"/>
              <w:numPr>
                <w:ilvl w:val="0"/>
                <w:numId w:val="24"/>
              </w:numPr>
              <w:tabs>
                <w:tab w:val="left" w:pos="368"/>
              </w:tabs>
              <w:spacing w:before="0" w:after="0" w:line="240" w:lineRule="auto"/>
              <w:ind w:left="367" w:right="0" w:hanging="138"/>
              <w:jc w:val="left"/>
              <w:rPr>
                <w:sz w:val="18"/>
              </w:rPr>
            </w:pPr>
            <w:r>
              <w:rPr>
                <w:sz w:val="18"/>
              </w:rPr>
              <w:t>顶部反射波与入射波同</w:t>
            </w:r>
          </w:p>
          <w:p>
            <w:pPr>
              <w:pStyle w:val="TableParagraph"/>
              <w:spacing w:before="81"/>
              <w:ind w:left="50" w:right="-72"/>
              <w:rPr>
                <w:sz w:val="18"/>
              </w:rPr>
            </w:pPr>
            <w:r>
              <w:rPr>
                <w:spacing w:val="-9"/>
                <w:sz w:val="18"/>
              </w:rPr>
              <w:t>向，底部反射波与入射波反向；</w:t>
            </w:r>
          </w:p>
          <w:p>
            <w:pPr>
              <w:pStyle w:val="TableParagraph"/>
              <w:numPr>
                <w:ilvl w:val="0"/>
                <w:numId w:val="24"/>
              </w:numPr>
              <w:tabs>
                <w:tab w:val="left" w:pos="368"/>
              </w:tabs>
              <w:spacing w:before="161" w:after="0" w:line="240" w:lineRule="auto"/>
              <w:ind w:left="367" w:right="0" w:hanging="138"/>
              <w:jc w:val="left"/>
              <w:rPr>
                <w:sz w:val="18"/>
              </w:rPr>
            </w:pPr>
            <w:r>
              <w:rPr>
                <w:sz w:val="18"/>
              </w:rPr>
              <w:t>频率高于背景场</w:t>
            </w:r>
          </w:p>
        </w:tc>
      </w:tr>
      <w:tr>
        <w:tblPrEx>
          <w:tblW w:w="0" w:type="auto"/>
          <w:jc w:val="left"/>
          <w:tblInd w:w="1141" w:type="dxa"/>
          <w:tblLayout w:type="fixed"/>
          <w:tblCellMar>
            <w:top w:w="0" w:type="dxa"/>
            <w:left w:w="0" w:type="dxa"/>
            <w:bottom w:w="0" w:type="dxa"/>
            <w:right w:w="0" w:type="dxa"/>
          </w:tblCellMar>
          <w:tblLook w:val="01E0"/>
        </w:tblPrEx>
        <w:trPr>
          <w:trHeight w:val="2147"/>
          <w:jc w:val="left"/>
        </w:trPr>
        <w:tc>
          <w:tcPr>
            <w:tcW w:w="484" w:type="dxa"/>
            <w:vMerge/>
            <w:tcBorders>
              <w:top w:val="nil"/>
              <w:bottom w:val="single" w:sz="4" w:space="0" w:color="000000"/>
              <w:right w:val="single" w:sz="4" w:space="0" w:color="000000"/>
            </w:tcBorders>
          </w:tcPr>
          <w:p>
            <w:pPr>
              <w:rPr>
                <w:sz w:val="2"/>
                <w:szCs w:val="2"/>
              </w:rPr>
            </w:pPr>
          </w:p>
        </w:tc>
        <w:tc>
          <w:tcPr>
            <w:tcW w:w="557" w:type="dxa"/>
            <w:vMerge/>
            <w:tcBorders>
              <w:top w:val="nil"/>
              <w:left w:val="single" w:sz="4" w:space="0" w:color="000000"/>
              <w:bottom w:val="single" w:sz="4" w:space="0" w:color="000000"/>
              <w:right w:val="single" w:sz="4" w:space="0" w:color="000000"/>
            </w:tcBorders>
          </w:tcPr>
          <w:p>
            <w:pPr>
              <w:rPr>
                <w:sz w:val="2"/>
                <w:szCs w:val="2"/>
              </w:rPr>
            </w:pPr>
          </w:p>
        </w:tc>
        <w:tc>
          <w:tcPr>
            <w:tcW w:w="569"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53"/>
              <w:ind w:left="107"/>
              <w:rPr>
                <w:sz w:val="18"/>
              </w:rPr>
            </w:pPr>
            <w:r>
              <w:rPr>
                <w:sz w:val="18"/>
              </w:rPr>
              <w:t>一般</w:t>
            </w:r>
          </w:p>
          <w:p>
            <w:pPr>
              <w:pStyle w:val="TableParagraph"/>
              <w:spacing w:before="161" w:line="324" w:lineRule="auto"/>
              <w:ind w:left="198" w:right="89" w:hanging="92"/>
              <w:rPr>
                <w:sz w:val="18"/>
              </w:rPr>
            </w:pPr>
            <w:r>
              <w:rPr>
                <w:spacing w:val="-8"/>
                <w:sz w:val="18"/>
              </w:rPr>
              <w:t>疏松</w:t>
            </w:r>
            <w:r>
              <w:rPr>
                <w:sz w:val="18"/>
              </w:rPr>
              <w:t>体</w:t>
            </w:r>
          </w:p>
        </w:tc>
        <w:tc>
          <w:tcPr>
            <w:tcW w:w="1415" w:type="dxa"/>
            <w:vMerge/>
            <w:tcBorders>
              <w:top w:val="nil"/>
              <w:left w:val="single" w:sz="4" w:space="0" w:color="000000"/>
              <w:bottom w:val="single" w:sz="4" w:space="0" w:color="000000"/>
              <w:right w:val="single" w:sz="4" w:space="0" w:color="000000"/>
            </w:tcBorders>
          </w:tcPr>
          <w:p>
            <w:pPr>
              <w:rPr>
                <w:sz w:val="2"/>
                <w:szCs w:val="2"/>
              </w:rPr>
            </w:pPr>
          </w:p>
        </w:tc>
        <w:tc>
          <w:tcPr>
            <w:tcW w:w="2411"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黑体"/>
                <w:sz w:val="17"/>
              </w:rPr>
            </w:pPr>
          </w:p>
          <w:p>
            <w:pPr>
              <w:pStyle w:val="TableParagraph"/>
              <w:numPr>
                <w:ilvl w:val="0"/>
                <w:numId w:val="23"/>
              </w:numPr>
              <w:tabs>
                <w:tab w:val="left" w:pos="369"/>
              </w:tabs>
              <w:spacing w:before="0" w:after="0" w:line="324" w:lineRule="auto"/>
              <w:ind w:left="51" w:right="53" w:firstLine="180"/>
              <w:jc w:val="left"/>
              <w:rPr>
                <w:sz w:val="18"/>
              </w:rPr>
            </w:pPr>
            <w:r>
              <w:rPr>
                <w:spacing w:val="-2"/>
                <w:sz w:val="18"/>
              </w:rPr>
              <w:t>顶部形成连续的同向性反</w:t>
            </w:r>
            <w:r>
              <w:rPr>
                <w:sz w:val="18"/>
              </w:rPr>
              <w:t>射波组；</w:t>
            </w:r>
          </w:p>
          <w:p>
            <w:pPr>
              <w:pStyle w:val="TableParagraph"/>
              <w:numPr>
                <w:ilvl w:val="0"/>
                <w:numId w:val="23"/>
              </w:numPr>
              <w:tabs>
                <w:tab w:val="left" w:pos="369"/>
              </w:tabs>
              <w:spacing w:before="78" w:after="0" w:line="240" w:lineRule="auto"/>
              <w:ind w:left="368" w:right="0" w:hanging="138"/>
              <w:jc w:val="left"/>
              <w:rPr>
                <w:sz w:val="18"/>
              </w:rPr>
            </w:pPr>
            <w:r>
              <w:rPr>
                <w:sz w:val="18"/>
              </w:rPr>
              <w:t>多次波不明显；</w:t>
            </w:r>
          </w:p>
          <w:p>
            <w:pPr>
              <w:pStyle w:val="TableParagraph"/>
              <w:numPr>
                <w:ilvl w:val="0"/>
                <w:numId w:val="23"/>
              </w:numPr>
              <w:tabs>
                <w:tab w:val="left" w:pos="369"/>
              </w:tabs>
              <w:spacing w:before="161" w:after="0" w:line="240" w:lineRule="auto"/>
              <w:ind w:left="368" w:right="0" w:hanging="138"/>
              <w:jc w:val="left"/>
              <w:rPr>
                <w:sz w:val="18"/>
              </w:rPr>
            </w:pPr>
            <w:r>
              <w:rPr>
                <w:sz w:val="18"/>
              </w:rPr>
              <w:t>绕射波不明显；</w:t>
            </w:r>
          </w:p>
          <w:p>
            <w:pPr>
              <w:pStyle w:val="TableParagraph"/>
              <w:numPr>
                <w:ilvl w:val="0"/>
                <w:numId w:val="23"/>
              </w:numPr>
              <w:tabs>
                <w:tab w:val="left" w:pos="369"/>
              </w:tabs>
              <w:spacing w:before="158" w:after="0" w:line="240" w:lineRule="auto"/>
              <w:ind w:left="368" w:right="0" w:hanging="138"/>
              <w:jc w:val="left"/>
              <w:rPr>
                <w:sz w:val="18"/>
              </w:rPr>
            </w:pPr>
            <w:r>
              <w:rPr>
                <w:sz w:val="18"/>
              </w:rPr>
              <w:t>内部波形结构较杂乱</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4"/>
              <w:rPr>
                <w:rFonts w:ascii="黑体"/>
                <w:sz w:val="21"/>
              </w:rPr>
            </w:pPr>
          </w:p>
          <w:p>
            <w:pPr>
              <w:pStyle w:val="TableParagraph"/>
              <w:ind w:left="224" w:right="205"/>
              <w:jc w:val="center"/>
              <w:rPr>
                <w:sz w:val="18"/>
              </w:rPr>
            </w:pPr>
            <w:r>
              <w:rPr>
                <w:sz w:val="18"/>
              </w:rPr>
              <w:t>整体振幅较强</w:t>
            </w:r>
          </w:p>
        </w:tc>
        <w:tc>
          <w:tcPr>
            <w:tcW w:w="2453" w:type="dxa"/>
            <w:tcBorders>
              <w:top w:val="single" w:sz="4" w:space="0" w:color="000000"/>
              <w:left w:val="single" w:sz="4" w:space="0" w:color="000000"/>
              <w:bottom w:val="single" w:sz="4" w:space="0" w:color="000000"/>
            </w:tcBorders>
          </w:tcPr>
          <w:p>
            <w:pPr>
              <w:pStyle w:val="TableParagraph"/>
              <w:rPr>
                <w:rFonts w:ascii="黑体"/>
                <w:sz w:val="20"/>
              </w:rPr>
            </w:pPr>
          </w:p>
          <w:p>
            <w:pPr>
              <w:pStyle w:val="TableParagraph"/>
              <w:rPr>
                <w:rFonts w:ascii="黑体"/>
                <w:sz w:val="28"/>
              </w:rPr>
            </w:pPr>
          </w:p>
          <w:p>
            <w:pPr>
              <w:pStyle w:val="TableParagraph"/>
              <w:numPr>
                <w:ilvl w:val="0"/>
                <w:numId w:val="22"/>
              </w:numPr>
              <w:tabs>
                <w:tab w:val="left" w:pos="368"/>
              </w:tabs>
              <w:spacing w:before="0" w:after="0" w:line="240" w:lineRule="auto"/>
              <w:ind w:left="367" w:right="0" w:hanging="138"/>
              <w:jc w:val="left"/>
              <w:rPr>
                <w:sz w:val="18"/>
              </w:rPr>
            </w:pPr>
            <w:r>
              <w:rPr>
                <w:sz w:val="18"/>
              </w:rPr>
              <w:t>顶部反射波与入射波同</w:t>
            </w:r>
          </w:p>
          <w:p>
            <w:pPr>
              <w:pStyle w:val="TableParagraph"/>
              <w:spacing w:before="81"/>
              <w:ind w:left="50" w:right="-72"/>
              <w:rPr>
                <w:sz w:val="18"/>
              </w:rPr>
            </w:pPr>
            <w:r>
              <w:rPr>
                <w:spacing w:val="-9"/>
                <w:sz w:val="18"/>
              </w:rPr>
              <w:t>向，底部反射波与入射波反向；</w:t>
            </w:r>
          </w:p>
          <w:p>
            <w:pPr>
              <w:pStyle w:val="TableParagraph"/>
              <w:numPr>
                <w:ilvl w:val="0"/>
                <w:numId w:val="22"/>
              </w:numPr>
              <w:tabs>
                <w:tab w:val="left" w:pos="368"/>
              </w:tabs>
              <w:spacing w:before="161" w:after="0" w:line="240" w:lineRule="auto"/>
              <w:ind w:left="367" w:right="0" w:hanging="138"/>
              <w:jc w:val="left"/>
              <w:rPr>
                <w:sz w:val="18"/>
              </w:rPr>
            </w:pPr>
            <w:r>
              <w:rPr>
                <w:sz w:val="18"/>
              </w:rPr>
              <w:t>频率高于背景场</w:t>
            </w:r>
          </w:p>
        </w:tc>
      </w:tr>
      <w:tr>
        <w:tblPrEx>
          <w:tblW w:w="0" w:type="auto"/>
          <w:jc w:val="left"/>
          <w:tblInd w:w="1141" w:type="dxa"/>
          <w:tblLayout w:type="fixed"/>
          <w:tblCellMar>
            <w:top w:w="0" w:type="dxa"/>
            <w:left w:w="0" w:type="dxa"/>
            <w:bottom w:w="0" w:type="dxa"/>
            <w:right w:w="0" w:type="dxa"/>
          </w:tblCellMar>
          <w:tblLook w:val="01E0"/>
        </w:tblPrEx>
        <w:trPr>
          <w:trHeight w:val="1574"/>
          <w:jc w:val="left"/>
        </w:trPr>
        <w:tc>
          <w:tcPr>
            <w:tcW w:w="484" w:type="dxa"/>
            <w:tcBorders>
              <w:top w:val="single" w:sz="4" w:space="0" w:color="000000"/>
              <w:right w:val="single" w:sz="4" w:space="0" w:color="000000"/>
            </w:tcBorders>
          </w:tcPr>
          <w:p>
            <w:pPr>
              <w:pStyle w:val="TableParagraph"/>
              <w:rPr>
                <w:rFonts w:ascii="黑体"/>
                <w:sz w:val="20"/>
              </w:rPr>
            </w:pPr>
          </w:p>
          <w:p>
            <w:pPr>
              <w:pStyle w:val="TableParagraph"/>
              <w:rPr>
                <w:rFonts w:ascii="黑体"/>
                <w:sz w:val="20"/>
              </w:rPr>
            </w:pPr>
          </w:p>
          <w:p>
            <w:pPr>
              <w:pStyle w:val="TableParagraph"/>
              <w:spacing w:before="177"/>
              <w:ind w:left="12"/>
              <w:jc w:val="center"/>
              <w:rPr>
                <w:rFonts w:ascii="Times New Roman"/>
                <w:sz w:val="18"/>
              </w:rPr>
            </w:pPr>
            <w:r>
              <w:rPr>
                <w:rFonts w:ascii="Times New Roman"/>
                <w:sz w:val="18"/>
              </w:rPr>
              <w:t>4</w:t>
            </w:r>
          </w:p>
        </w:tc>
        <w:tc>
          <w:tcPr>
            <w:tcW w:w="1126" w:type="dxa"/>
            <w:gridSpan w:val="2"/>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
              <w:rPr>
                <w:rFonts w:ascii="黑体"/>
                <w:sz w:val="17"/>
              </w:rPr>
            </w:pPr>
          </w:p>
          <w:p>
            <w:pPr>
              <w:pStyle w:val="TableParagraph"/>
              <w:ind w:left="297"/>
              <w:rPr>
                <w:sz w:val="18"/>
              </w:rPr>
            </w:pPr>
            <w:r>
              <w:rPr>
                <w:sz w:val="18"/>
              </w:rPr>
              <w:t>富水体</w:t>
            </w:r>
          </w:p>
        </w:tc>
        <w:tc>
          <w:tcPr>
            <w:tcW w:w="1415" w:type="dxa"/>
            <w:tcBorders>
              <w:top w:val="single" w:sz="4" w:space="0" w:color="000000"/>
              <w:left w:val="single" w:sz="4" w:space="0" w:color="000000"/>
              <w:right w:val="single" w:sz="4" w:space="0" w:color="000000"/>
            </w:tcBorders>
          </w:tcPr>
          <w:p>
            <w:pPr>
              <w:pStyle w:val="TableParagraph"/>
              <w:spacing w:before="7"/>
              <w:rPr>
                <w:rFonts w:ascii="黑体"/>
                <w:sz w:val="13"/>
              </w:rPr>
            </w:pPr>
          </w:p>
          <w:p>
            <w:pPr>
              <w:pStyle w:val="TableParagraph"/>
              <w:numPr>
                <w:ilvl w:val="0"/>
                <w:numId w:val="21"/>
              </w:numPr>
              <w:tabs>
                <w:tab w:val="left" w:pos="190"/>
              </w:tabs>
              <w:spacing w:before="0" w:after="0" w:line="324" w:lineRule="auto"/>
              <w:ind w:left="52" w:right="90" w:firstLine="0"/>
              <w:jc w:val="left"/>
              <w:rPr>
                <w:sz w:val="18"/>
              </w:rPr>
            </w:pPr>
            <w:r>
              <w:rPr>
                <w:sz w:val="18"/>
              </w:rPr>
              <w:t>相对介电常数</w:t>
            </w:r>
            <w:r>
              <w:rPr>
                <w:spacing w:val="-3"/>
                <w:sz w:val="18"/>
              </w:rPr>
              <w:t>大于周边土体；</w:t>
            </w:r>
          </w:p>
          <w:p>
            <w:pPr>
              <w:pStyle w:val="TableParagraph"/>
              <w:numPr>
                <w:ilvl w:val="0"/>
                <w:numId w:val="21"/>
              </w:numPr>
              <w:tabs>
                <w:tab w:val="left" w:pos="190"/>
              </w:tabs>
              <w:spacing w:before="78" w:after="0" w:line="324" w:lineRule="auto"/>
              <w:ind w:left="52" w:right="30" w:firstLine="0"/>
              <w:jc w:val="left"/>
              <w:rPr>
                <w:sz w:val="18"/>
              </w:rPr>
            </w:pPr>
            <w:r>
              <w:rPr>
                <w:spacing w:val="-14"/>
                <w:sz w:val="18"/>
              </w:rPr>
              <w:t>含水量越高，相</w:t>
            </w:r>
            <w:r>
              <w:rPr>
                <w:sz w:val="18"/>
              </w:rPr>
              <w:t>对介电常数越大</w:t>
            </w:r>
          </w:p>
        </w:tc>
        <w:tc>
          <w:tcPr>
            <w:tcW w:w="2411" w:type="dxa"/>
            <w:tcBorders>
              <w:top w:val="single" w:sz="4" w:space="0" w:color="000000"/>
              <w:left w:val="single" w:sz="4" w:space="0" w:color="000000"/>
              <w:right w:val="single" w:sz="4" w:space="0" w:color="000000"/>
            </w:tcBorders>
          </w:tcPr>
          <w:p>
            <w:pPr>
              <w:pStyle w:val="TableParagraph"/>
              <w:numPr>
                <w:ilvl w:val="0"/>
                <w:numId w:val="20"/>
              </w:numPr>
              <w:tabs>
                <w:tab w:val="left" w:pos="369"/>
              </w:tabs>
              <w:spacing w:before="133" w:after="0" w:line="324" w:lineRule="auto"/>
              <w:ind w:left="51" w:right="53" w:firstLine="180"/>
              <w:jc w:val="left"/>
              <w:rPr>
                <w:sz w:val="18"/>
              </w:rPr>
            </w:pPr>
            <w:r>
              <w:rPr>
                <w:spacing w:val="-2"/>
                <w:sz w:val="18"/>
              </w:rPr>
              <w:t>顶部形成连续的同向性反</w:t>
            </w:r>
            <w:r>
              <w:rPr>
                <w:sz w:val="18"/>
              </w:rPr>
              <w:t>射波组；</w:t>
            </w:r>
          </w:p>
          <w:p>
            <w:pPr>
              <w:pStyle w:val="TableParagraph"/>
              <w:numPr>
                <w:ilvl w:val="0"/>
                <w:numId w:val="20"/>
              </w:numPr>
              <w:tabs>
                <w:tab w:val="left" w:pos="369"/>
              </w:tabs>
              <w:spacing w:before="80" w:after="0" w:line="240" w:lineRule="auto"/>
              <w:ind w:left="368" w:right="0" w:hanging="138"/>
              <w:jc w:val="left"/>
              <w:rPr>
                <w:sz w:val="18"/>
              </w:rPr>
            </w:pPr>
            <w:r>
              <w:rPr>
                <w:sz w:val="18"/>
              </w:rPr>
              <w:t>绕射波不明显；</w:t>
            </w:r>
          </w:p>
          <w:p>
            <w:pPr>
              <w:pStyle w:val="TableParagraph"/>
              <w:numPr>
                <w:ilvl w:val="0"/>
                <w:numId w:val="20"/>
              </w:numPr>
              <w:tabs>
                <w:tab w:val="left" w:pos="369"/>
              </w:tabs>
              <w:spacing w:before="159" w:after="0" w:line="240" w:lineRule="auto"/>
              <w:ind w:left="368" w:right="0" w:hanging="138"/>
              <w:jc w:val="left"/>
              <w:rPr>
                <w:sz w:val="18"/>
              </w:rPr>
            </w:pPr>
            <w:r>
              <w:rPr>
                <w:sz w:val="18"/>
              </w:rPr>
              <w:t>底部反射波不明显</w:t>
            </w:r>
          </w:p>
        </w:tc>
        <w:tc>
          <w:tcPr>
            <w:tcW w:w="1559"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spacing w:before="11"/>
              <w:rPr>
                <w:rFonts w:ascii="黑体"/>
                <w:sz w:val="22"/>
              </w:rPr>
            </w:pPr>
          </w:p>
          <w:p>
            <w:pPr>
              <w:pStyle w:val="TableParagraph"/>
              <w:spacing w:before="1" w:line="324" w:lineRule="auto"/>
              <w:ind w:left="332" w:right="134" w:hanging="180"/>
              <w:rPr>
                <w:sz w:val="18"/>
              </w:rPr>
            </w:pPr>
            <w:r>
              <w:rPr>
                <w:sz w:val="18"/>
              </w:rPr>
              <w:t>顶部反射波振幅强，衰减块</w:t>
            </w:r>
          </w:p>
        </w:tc>
        <w:tc>
          <w:tcPr>
            <w:tcW w:w="2453" w:type="dxa"/>
            <w:tcBorders>
              <w:top w:val="single" w:sz="4" w:space="0" w:color="000000"/>
              <w:left w:val="single" w:sz="4" w:space="0" w:color="000000"/>
            </w:tcBorders>
          </w:tcPr>
          <w:p>
            <w:pPr>
              <w:pStyle w:val="TableParagraph"/>
              <w:spacing w:before="9"/>
              <w:rPr>
                <w:rFonts w:ascii="黑体"/>
                <w:sz w:val="25"/>
              </w:rPr>
            </w:pPr>
          </w:p>
          <w:p>
            <w:pPr>
              <w:pStyle w:val="TableParagraph"/>
              <w:numPr>
                <w:ilvl w:val="0"/>
                <w:numId w:val="19"/>
              </w:numPr>
              <w:tabs>
                <w:tab w:val="left" w:pos="368"/>
              </w:tabs>
              <w:spacing w:before="0" w:after="0" w:line="240" w:lineRule="auto"/>
              <w:ind w:left="367" w:right="0" w:hanging="138"/>
              <w:jc w:val="left"/>
              <w:rPr>
                <w:sz w:val="18"/>
              </w:rPr>
            </w:pPr>
            <w:r>
              <w:rPr>
                <w:sz w:val="18"/>
              </w:rPr>
              <w:t>顶部反射波与入射波反</w:t>
            </w:r>
          </w:p>
          <w:p>
            <w:pPr>
              <w:pStyle w:val="TableParagraph"/>
              <w:spacing w:before="82"/>
              <w:ind w:left="50" w:right="-72"/>
              <w:rPr>
                <w:sz w:val="18"/>
              </w:rPr>
            </w:pPr>
            <w:r>
              <w:rPr>
                <w:spacing w:val="-9"/>
                <w:sz w:val="18"/>
              </w:rPr>
              <w:t>向，底部反射波与入射波同向；</w:t>
            </w:r>
          </w:p>
          <w:p>
            <w:pPr>
              <w:pStyle w:val="TableParagraph"/>
              <w:numPr>
                <w:ilvl w:val="0"/>
                <w:numId w:val="19"/>
              </w:numPr>
              <w:tabs>
                <w:tab w:val="left" w:pos="368"/>
              </w:tabs>
              <w:spacing w:before="158" w:after="0" w:line="240" w:lineRule="auto"/>
              <w:ind w:left="367" w:right="0" w:hanging="138"/>
              <w:jc w:val="left"/>
              <w:rPr>
                <w:sz w:val="18"/>
              </w:rPr>
            </w:pPr>
            <w:r>
              <w:rPr>
                <w:sz w:val="18"/>
              </w:rPr>
              <w:t>频率低于背景场</w:t>
            </w:r>
          </w:p>
        </w:tc>
      </w:tr>
    </w:tbl>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spacing w:before="8"/>
        <w:rPr>
          <w:rFonts w:ascii="黑体"/>
          <w:sz w:val="29"/>
        </w:rPr>
      </w:pPr>
    </w:p>
    <w:tbl>
      <w:tblPr>
        <w:tblStyle w:val="TableNormal2"/>
        <w:tblW w:w="0" w:type="auto"/>
        <w:jc w:val="left"/>
        <w:tblInd w:w="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916"/>
        <w:gridCol w:w="1916"/>
        <w:gridCol w:w="1916"/>
        <w:gridCol w:w="1916"/>
        <w:gridCol w:w="1920"/>
      </w:tblGrid>
      <w:tr>
        <w:tblPrEx>
          <w:tblW w:w="0" w:type="auto"/>
          <w:jc w:val="left"/>
          <w:tblInd w:w="10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676"/>
          <w:jc w:val="left"/>
        </w:trPr>
        <w:tc>
          <w:tcPr>
            <w:tcW w:w="1916" w:type="dxa"/>
            <w:tcBorders>
              <w:bottom w:val="single" w:sz="4" w:space="0" w:color="000000"/>
              <w:right w:val="single" w:sz="4" w:space="0" w:color="000000"/>
            </w:tcBorders>
          </w:tcPr>
          <w:p>
            <w:pPr>
              <w:pStyle w:val="TableParagraph"/>
              <w:spacing w:before="66"/>
              <w:ind w:left="1184"/>
              <w:rPr>
                <w:sz w:val="18"/>
              </w:rPr>
            </w:pPr>
            <w:r>
              <w:rPr>
                <w:sz w:val="18"/>
              </w:rPr>
              <w:t>净深</w:t>
            </w:r>
          </w:p>
          <w:p>
            <w:pPr>
              <w:pStyle w:val="TableParagraph"/>
              <w:spacing w:before="81"/>
              <w:ind w:left="368"/>
              <w:rPr>
                <w:sz w:val="18"/>
              </w:rPr>
            </w:pPr>
            <w:r>
              <w:rPr>
                <w:sz w:val="18"/>
              </w:rPr>
              <w:t>面积</w:t>
            </w:r>
          </w:p>
        </w:tc>
        <w:tc>
          <w:tcPr>
            <w:tcW w:w="1916" w:type="dxa"/>
            <w:tcBorders>
              <w:left w:val="single" w:sz="4" w:space="0" w:color="000000"/>
              <w:bottom w:val="single" w:sz="4" w:space="0" w:color="000000"/>
              <w:right w:val="single" w:sz="4" w:space="0" w:color="000000"/>
            </w:tcBorders>
          </w:tcPr>
          <w:p>
            <w:pPr>
              <w:pStyle w:val="TableParagraph"/>
              <w:spacing w:before="4"/>
              <w:rPr>
                <w:rFonts w:ascii="黑体"/>
                <w:sz w:val="17"/>
              </w:rPr>
            </w:pPr>
          </w:p>
          <w:p>
            <w:pPr>
              <w:pStyle w:val="TableParagraph"/>
              <w:ind w:left="442" w:right="423"/>
              <w:jc w:val="center"/>
              <w:rPr>
                <w:rFonts w:ascii="Times New Roman" w:eastAsia="Times New Roman"/>
                <w:sz w:val="18"/>
              </w:rPr>
            </w:pPr>
            <w:r>
              <w:rPr>
                <w:rFonts w:ascii="Times New Roman" w:eastAsia="Times New Roman"/>
                <w:sz w:val="18"/>
              </w:rPr>
              <w:t>H</w:t>
            </w:r>
            <w:r>
              <w:rPr>
                <w:sz w:val="18"/>
              </w:rPr>
              <w:t>＜</w:t>
            </w:r>
            <w:r>
              <w:rPr>
                <w:rFonts w:ascii="Times New Roman" w:eastAsia="Times New Roman"/>
                <w:sz w:val="18"/>
              </w:rPr>
              <w:t>0.5m</w:t>
            </w:r>
          </w:p>
        </w:tc>
        <w:tc>
          <w:tcPr>
            <w:tcW w:w="1916" w:type="dxa"/>
            <w:tcBorders>
              <w:left w:val="single" w:sz="4" w:space="0" w:color="000000"/>
              <w:bottom w:val="single" w:sz="4" w:space="0" w:color="000000"/>
              <w:right w:val="single" w:sz="4" w:space="0" w:color="000000"/>
            </w:tcBorders>
          </w:tcPr>
          <w:p>
            <w:pPr>
              <w:pStyle w:val="TableParagraph"/>
              <w:spacing w:before="4"/>
              <w:rPr>
                <w:rFonts w:ascii="黑体"/>
                <w:sz w:val="17"/>
              </w:rPr>
            </w:pPr>
          </w:p>
          <w:p>
            <w:pPr>
              <w:pStyle w:val="TableParagraph"/>
              <w:ind w:left="441" w:right="424"/>
              <w:jc w:val="center"/>
              <w:rPr>
                <w:rFonts w:ascii="Times New Roman" w:eastAsia="Times New Roman" w:hAnsi="Times New Roman"/>
                <w:sz w:val="18"/>
              </w:rPr>
            </w:pPr>
            <w:r>
              <w:rPr>
                <w:rFonts w:ascii="Times New Roman" w:eastAsia="Times New Roman" w:hAnsi="Times New Roman"/>
                <w:sz w:val="18"/>
              </w:rPr>
              <w:t>0.5≤H</w:t>
            </w:r>
            <w:r>
              <w:rPr>
                <w:sz w:val="18"/>
              </w:rPr>
              <w:t>＜</w:t>
            </w:r>
            <w:r>
              <w:rPr>
                <w:rFonts w:ascii="Times New Roman" w:eastAsia="Times New Roman" w:hAnsi="Times New Roman"/>
                <w:sz w:val="18"/>
              </w:rPr>
              <w:t>1.5m</w:t>
            </w:r>
          </w:p>
        </w:tc>
        <w:tc>
          <w:tcPr>
            <w:tcW w:w="1916" w:type="dxa"/>
            <w:tcBorders>
              <w:left w:val="single" w:sz="4" w:space="0" w:color="000000"/>
              <w:bottom w:val="single" w:sz="4" w:space="0" w:color="000000"/>
              <w:right w:val="single" w:sz="4" w:space="0" w:color="000000"/>
            </w:tcBorders>
          </w:tcPr>
          <w:p>
            <w:pPr>
              <w:pStyle w:val="TableParagraph"/>
              <w:spacing w:before="4"/>
              <w:rPr>
                <w:rFonts w:ascii="黑体"/>
                <w:sz w:val="17"/>
              </w:rPr>
            </w:pPr>
          </w:p>
          <w:p>
            <w:pPr>
              <w:pStyle w:val="TableParagraph"/>
              <w:ind w:left="442" w:right="424"/>
              <w:jc w:val="center"/>
              <w:rPr>
                <w:rFonts w:ascii="Times New Roman" w:eastAsia="Times New Roman" w:hAnsi="Times New Roman"/>
                <w:sz w:val="18"/>
              </w:rPr>
            </w:pPr>
            <w:r>
              <w:rPr>
                <w:rFonts w:ascii="Times New Roman" w:eastAsia="Times New Roman" w:hAnsi="Times New Roman"/>
                <w:sz w:val="18"/>
              </w:rPr>
              <w:t>1.5≤H</w:t>
            </w:r>
            <w:r>
              <w:rPr>
                <w:sz w:val="18"/>
              </w:rPr>
              <w:t>＜</w:t>
            </w:r>
            <w:r>
              <w:rPr>
                <w:rFonts w:ascii="Times New Roman" w:eastAsia="Times New Roman" w:hAnsi="Times New Roman"/>
                <w:sz w:val="18"/>
              </w:rPr>
              <w:t>4.0m</w:t>
            </w:r>
          </w:p>
        </w:tc>
        <w:tc>
          <w:tcPr>
            <w:tcW w:w="1920" w:type="dxa"/>
            <w:tcBorders>
              <w:left w:val="single" w:sz="4" w:space="0" w:color="000000"/>
              <w:bottom w:val="single" w:sz="4" w:space="0" w:color="000000"/>
            </w:tcBorders>
          </w:tcPr>
          <w:p>
            <w:pPr>
              <w:pStyle w:val="TableParagraph"/>
              <w:spacing w:before="3"/>
              <w:rPr>
                <w:rFonts w:ascii="黑体"/>
                <w:sz w:val="18"/>
              </w:rPr>
            </w:pPr>
          </w:p>
          <w:p>
            <w:pPr>
              <w:pStyle w:val="TableParagraph"/>
              <w:ind w:left="643" w:right="628"/>
              <w:jc w:val="center"/>
              <w:rPr>
                <w:rFonts w:ascii="Times New Roman" w:hAnsi="Times New Roman"/>
                <w:sz w:val="18"/>
              </w:rPr>
            </w:pPr>
            <w:r>
              <w:rPr>
                <w:rFonts w:ascii="Times New Roman" w:hAnsi="Times New Roman"/>
                <w:sz w:val="18"/>
              </w:rPr>
              <w:t>H≥4.0m</w:t>
            </w:r>
          </w:p>
        </w:tc>
      </w:tr>
      <w:tr>
        <w:tblPrEx>
          <w:tblW w:w="0" w:type="auto"/>
          <w:jc w:val="left"/>
          <w:tblInd w:w="1088" w:type="dxa"/>
          <w:tblLayout w:type="fixed"/>
          <w:tblCellMar>
            <w:top w:w="0" w:type="dxa"/>
            <w:left w:w="0" w:type="dxa"/>
            <w:bottom w:w="0" w:type="dxa"/>
            <w:right w:w="0" w:type="dxa"/>
          </w:tblCellMar>
          <w:tblLook w:val="01E0"/>
        </w:tblPrEx>
        <w:trPr>
          <w:trHeight w:val="468"/>
          <w:jc w:val="left"/>
        </w:trPr>
        <w:tc>
          <w:tcPr>
            <w:tcW w:w="1916" w:type="dxa"/>
            <w:tcBorders>
              <w:top w:val="single" w:sz="4" w:space="0" w:color="000000"/>
              <w:bottom w:val="single" w:sz="4" w:space="0" w:color="000000"/>
              <w:right w:val="single" w:sz="4" w:space="0" w:color="000000"/>
            </w:tcBorders>
          </w:tcPr>
          <w:p>
            <w:pPr>
              <w:pStyle w:val="TableParagraph"/>
              <w:spacing w:before="119"/>
              <w:ind w:left="469" w:right="450"/>
              <w:jc w:val="center"/>
              <w:rPr>
                <w:rFonts w:ascii="Times New Roman" w:eastAsia="Times New Roman"/>
                <w:sz w:val="18"/>
              </w:rPr>
            </w:pPr>
            <w:r>
              <w:rPr>
                <w:rFonts w:ascii="Times New Roman" w:eastAsia="Times New Roman"/>
                <w:sz w:val="18"/>
              </w:rPr>
              <w:t>S</w:t>
            </w:r>
            <w:r>
              <w:rPr>
                <w:sz w:val="18"/>
              </w:rPr>
              <w:t>＜</w:t>
            </w:r>
            <w:r>
              <w:rPr>
                <w:rFonts w:ascii="Times New Roman" w:eastAsia="Times New Roman"/>
                <w:sz w:val="18"/>
              </w:rPr>
              <w:t>3.0m</w:t>
            </w:r>
            <w:r>
              <w:rPr>
                <w:rFonts w:ascii="Times New Roman" w:eastAsia="Times New Roman"/>
                <w:sz w:val="18"/>
                <w:vertAlign w:val="superscript"/>
              </w:rPr>
              <w:t>2</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29"/>
              <w:ind w:left="18"/>
              <w:jc w:val="center"/>
              <w:rPr>
                <w:rFonts w:ascii="Times New Roman" w:hAnsi="Times New Roman"/>
                <w:sz w:val="18"/>
              </w:rPr>
            </w:pPr>
            <w:r>
              <w:rPr>
                <w:rFonts w:ascii="Times New Roman" w:hAnsi="Times New Roman"/>
                <w:sz w:val="18"/>
              </w:rPr>
              <w:t>Ⅳ</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29"/>
              <w:ind w:left="16"/>
              <w:jc w:val="center"/>
              <w:rPr>
                <w:rFonts w:ascii="Times New Roman" w:hAnsi="Times New Roman"/>
                <w:sz w:val="18"/>
              </w:rPr>
            </w:pPr>
            <w:r>
              <w:rPr>
                <w:rFonts w:ascii="Times New Roman" w:hAnsi="Times New Roman"/>
                <w:sz w:val="18"/>
              </w:rPr>
              <w:t>Ⅳ</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29"/>
              <w:ind w:left="17"/>
              <w:jc w:val="center"/>
              <w:rPr>
                <w:rFonts w:ascii="Times New Roman" w:hAnsi="Times New Roman"/>
                <w:sz w:val="18"/>
              </w:rPr>
            </w:pPr>
            <w:r>
              <w:rPr>
                <w:rFonts w:ascii="Times New Roman" w:hAnsi="Times New Roman"/>
                <w:sz w:val="18"/>
              </w:rPr>
              <w:t>Ⅲ</w:t>
            </w:r>
          </w:p>
        </w:tc>
        <w:tc>
          <w:tcPr>
            <w:tcW w:w="1920" w:type="dxa"/>
            <w:tcBorders>
              <w:top w:val="single" w:sz="4" w:space="0" w:color="000000"/>
              <w:left w:val="single" w:sz="4" w:space="0" w:color="000000"/>
              <w:bottom w:val="single" w:sz="4" w:space="0" w:color="000000"/>
            </w:tcBorders>
          </w:tcPr>
          <w:p>
            <w:pPr>
              <w:pStyle w:val="TableParagraph"/>
              <w:spacing w:before="129"/>
              <w:ind w:left="12"/>
              <w:jc w:val="center"/>
              <w:rPr>
                <w:rFonts w:ascii="Times New Roman" w:hAnsi="Times New Roman"/>
                <w:sz w:val="18"/>
              </w:rPr>
            </w:pPr>
            <w:r>
              <w:rPr>
                <w:rFonts w:ascii="Times New Roman" w:hAnsi="Times New Roman"/>
                <w:sz w:val="18"/>
              </w:rPr>
              <w:t>Ⅲ</w:t>
            </w:r>
          </w:p>
        </w:tc>
      </w:tr>
      <w:tr>
        <w:tblPrEx>
          <w:tblW w:w="0" w:type="auto"/>
          <w:jc w:val="left"/>
          <w:tblInd w:w="1088" w:type="dxa"/>
          <w:tblLayout w:type="fixed"/>
          <w:tblCellMar>
            <w:top w:w="0" w:type="dxa"/>
            <w:left w:w="0" w:type="dxa"/>
            <w:bottom w:w="0" w:type="dxa"/>
            <w:right w:w="0" w:type="dxa"/>
          </w:tblCellMar>
          <w:tblLook w:val="01E0"/>
        </w:tblPrEx>
        <w:trPr>
          <w:trHeight w:val="467"/>
          <w:jc w:val="left"/>
        </w:trPr>
        <w:tc>
          <w:tcPr>
            <w:tcW w:w="1916" w:type="dxa"/>
            <w:tcBorders>
              <w:top w:val="single" w:sz="4" w:space="0" w:color="000000"/>
              <w:bottom w:val="single" w:sz="4" w:space="0" w:color="000000"/>
              <w:right w:val="single" w:sz="4" w:space="0" w:color="000000"/>
            </w:tcBorders>
          </w:tcPr>
          <w:p>
            <w:pPr>
              <w:pStyle w:val="TableParagraph"/>
              <w:spacing w:before="119"/>
              <w:ind w:left="469" w:right="452"/>
              <w:jc w:val="center"/>
              <w:rPr>
                <w:rFonts w:ascii="Times New Roman" w:eastAsia="Times New Roman" w:hAnsi="Times New Roman"/>
                <w:sz w:val="18"/>
              </w:rPr>
            </w:pPr>
            <w:r>
              <w:rPr>
                <w:rFonts w:ascii="Times New Roman" w:eastAsia="Times New Roman" w:hAnsi="Times New Roman"/>
                <w:sz w:val="18"/>
              </w:rPr>
              <w:t>3≤S</w:t>
            </w:r>
            <w:r>
              <w:rPr>
                <w:sz w:val="18"/>
              </w:rPr>
              <w:t>＜</w:t>
            </w:r>
            <w:r>
              <w:rPr>
                <w:rFonts w:ascii="Times New Roman" w:eastAsia="Times New Roman" w:hAnsi="Times New Roman"/>
                <w:sz w:val="18"/>
              </w:rPr>
              <w:t>10m</w:t>
            </w:r>
            <w:r>
              <w:rPr>
                <w:rFonts w:ascii="Times New Roman" w:eastAsia="Times New Roman" w:hAnsi="Times New Roman"/>
                <w:sz w:val="18"/>
                <w:vertAlign w:val="superscript"/>
              </w:rPr>
              <w:t>2</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31"/>
              <w:ind w:left="18"/>
              <w:jc w:val="center"/>
              <w:rPr>
                <w:rFonts w:ascii="Times New Roman" w:hAnsi="Times New Roman"/>
                <w:sz w:val="18"/>
              </w:rPr>
            </w:pPr>
            <w:r>
              <w:rPr>
                <w:rFonts w:ascii="Times New Roman" w:hAnsi="Times New Roman"/>
                <w:sz w:val="18"/>
              </w:rPr>
              <w:t>Ⅳ</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31"/>
              <w:ind w:left="19"/>
              <w:jc w:val="center"/>
              <w:rPr>
                <w:rFonts w:ascii="Times New Roman" w:hAnsi="Times New Roman"/>
                <w:sz w:val="18"/>
              </w:rPr>
            </w:pPr>
            <w:r>
              <w:rPr>
                <w:rFonts w:ascii="Times New Roman" w:hAnsi="Times New Roman"/>
                <w:sz w:val="18"/>
              </w:rPr>
              <w:t>Ⅲ</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31"/>
              <w:ind w:left="17"/>
              <w:jc w:val="center"/>
              <w:rPr>
                <w:rFonts w:ascii="Times New Roman" w:hAnsi="Times New Roman"/>
                <w:sz w:val="18"/>
              </w:rPr>
            </w:pPr>
            <w:r>
              <w:rPr>
                <w:rFonts w:ascii="Times New Roman" w:hAnsi="Times New Roman"/>
                <w:sz w:val="18"/>
              </w:rPr>
              <w:t>Ⅲ</w:t>
            </w:r>
          </w:p>
        </w:tc>
        <w:tc>
          <w:tcPr>
            <w:tcW w:w="1920" w:type="dxa"/>
            <w:tcBorders>
              <w:top w:val="single" w:sz="4" w:space="0" w:color="000000"/>
              <w:left w:val="single" w:sz="4" w:space="0" w:color="000000"/>
              <w:bottom w:val="single" w:sz="4" w:space="0" w:color="000000"/>
            </w:tcBorders>
          </w:tcPr>
          <w:p>
            <w:pPr>
              <w:pStyle w:val="TableParagraph"/>
              <w:spacing w:before="131"/>
              <w:ind w:left="13"/>
              <w:jc w:val="center"/>
              <w:rPr>
                <w:rFonts w:ascii="Times New Roman" w:hAnsi="Times New Roman"/>
                <w:sz w:val="18"/>
              </w:rPr>
            </w:pPr>
            <w:r>
              <w:rPr>
                <w:rFonts w:ascii="Times New Roman" w:hAnsi="Times New Roman"/>
                <w:sz w:val="18"/>
              </w:rPr>
              <w:t>Ⅱ</w:t>
            </w:r>
          </w:p>
        </w:tc>
      </w:tr>
      <w:tr>
        <w:tblPrEx>
          <w:tblW w:w="0" w:type="auto"/>
          <w:jc w:val="left"/>
          <w:tblInd w:w="1088" w:type="dxa"/>
          <w:tblLayout w:type="fixed"/>
          <w:tblCellMar>
            <w:top w:w="0" w:type="dxa"/>
            <w:left w:w="0" w:type="dxa"/>
            <w:bottom w:w="0" w:type="dxa"/>
            <w:right w:w="0" w:type="dxa"/>
          </w:tblCellMar>
          <w:tblLook w:val="01E0"/>
        </w:tblPrEx>
        <w:trPr>
          <w:trHeight w:val="467"/>
          <w:jc w:val="left"/>
        </w:trPr>
        <w:tc>
          <w:tcPr>
            <w:tcW w:w="1916" w:type="dxa"/>
            <w:tcBorders>
              <w:top w:val="single" w:sz="4" w:space="0" w:color="000000"/>
              <w:bottom w:val="single" w:sz="4" w:space="0" w:color="000000"/>
              <w:right w:val="single" w:sz="4" w:space="0" w:color="000000"/>
            </w:tcBorders>
          </w:tcPr>
          <w:p>
            <w:pPr>
              <w:pStyle w:val="TableParagraph"/>
              <w:spacing w:before="118"/>
              <w:ind w:left="469" w:right="452"/>
              <w:jc w:val="center"/>
              <w:rPr>
                <w:rFonts w:ascii="Times New Roman" w:eastAsia="Times New Roman" w:hAnsi="Times New Roman"/>
                <w:sz w:val="18"/>
              </w:rPr>
            </w:pPr>
            <w:r>
              <w:rPr>
                <w:rFonts w:ascii="Times New Roman" w:eastAsia="Times New Roman" w:hAnsi="Times New Roman"/>
                <w:sz w:val="18"/>
              </w:rPr>
              <w:t>10≤S</w:t>
            </w:r>
            <w:r>
              <w:rPr>
                <w:sz w:val="18"/>
              </w:rPr>
              <w:t>＜</w:t>
            </w:r>
            <w:r>
              <w:rPr>
                <w:rFonts w:ascii="Times New Roman" w:eastAsia="Times New Roman" w:hAnsi="Times New Roman"/>
                <w:sz w:val="18"/>
              </w:rPr>
              <w:t>30m</w:t>
            </w:r>
            <w:r>
              <w:rPr>
                <w:rFonts w:ascii="Times New Roman" w:eastAsia="Times New Roman" w:hAnsi="Times New Roman"/>
                <w:sz w:val="18"/>
                <w:vertAlign w:val="superscript"/>
              </w:rPr>
              <w:t>2</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30"/>
              <w:ind w:left="15"/>
              <w:jc w:val="center"/>
              <w:rPr>
                <w:rFonts w:ascii="Times New Roman" w:hAnsi="Times New Roman"/>
                <w:sz w:val="18"/>
              </w:rPr>
            </w:pPr>
            <w:r>
              <w:rPr>
                <w:rFonts w:ascii="Times New Roman" w:hAnsi="Times New Roman"/>
                <w:sz w:val="18"/>
              </w:rPr>
              <w:t>Ⅲ</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30"/>
              <w:ind w:left="19"/>
              <w:jc w:val="center"/>
              <w:rPr>
                <w:rFonts w:ascii="Times New Roman" w:hAnsi="Times New Roman"/>
                <w:sz w:val="18"/>
              </w:rPr>
            </w:pPr>
            <w:r>
              <w:rPr>
                <w:rFonts w:ascii="Times New Roman" w:hAnsi="Times New Roman"/>
                <w:sz w:val="18"/>
              </w:rPr>
              <w:t>Ⅲ</w:t>
            </w:r>
          </w:p>
        </w:tc>
        <w:tc>
          <w:tcPr>
            <w:tcW w:w="1916" w:type="dxa"/>
            <w:tcBorders>
              <w:top w:val="single" w:sz="4" w:space="0" w:color="000000"/>
              <w:left w:val="single" w:sz="4" w:space="0" w:color="000000"/>
              <w:bottom w:val="single" w:sz="4" w:space="0" w:color="000000"/>
              <w:right w:val="single" w:sz="4" w:space="0" w:color="000000"/>
            </w:tcBorders>
          </w:tcPr>
          <w:p>
            <w:pPr>
              <w:pStyle w:val="TableParagraph"/>
              <w:spacing w:before="130"/>
              <w:ind w:left="18"/>
              <w:jc w:val="center"/>
              <w:rPr>
                <w:rFonts w:ascii="Times New Roman" w:hAnsi="Times New Roman"/>
                <w:sz w:val="18"/>
              </w:rPr>
            </w:pPr>
            <w:r>
              <w:rPr>
                <w:rFonts w:ascii="Times New Roman" w:hAnsi="Times New Roman"/>
                <w:sz w:val="18"/>
              </w:rPr>
              <w:t>Ⅱ</w:t>
            </w:r>
          </w:p>
        </w:tc>
        <w:tc>
          <w:tcPr>
            <w:tcW w:w="1920" w:type="dxa"/>
            <w:tcBorders>
              <w:top w:val="single" w:sz="4" w:space="0" w:color="000000"/>
              <w:left w:val="single" w:sz="4" w:space="0" w:color="000000"/>
              <w:bottom w:val="single" w:sz="4" w:space="0" w:color="000000"/>
            </w:tcBorders>
          </w:tcPr>
          <w:p>
            <w:pPr>
              <w:pStyle w:val="TableParagraph"/>
              <w:spacing w:before="130"/>
              <w:ind w:left="9"/>
              <w:jc w:val="center"/>
              <w:rPr>
                <w:rFonts w:ascii="Times New Roman" w:hAnsi="Times New Roman"/>
                <w:sz w:val="18"/>
              </w:rPr>
            </w:pPr>
            <w:r>
              <w:rPr>
                <w:rFonts w:ascii="Times New Roman" w:hAnsi="Times New Roman"/>
                <w:sz w:val="18"/>
              </w:rPr>
              <w:t>Ⅰ</w:t>
            </w:r>
          </w:p>
        </w:tc>
      </w:tr>
      <w:tr>
        <w:tblPrEx>
          <w:tblW w:w="0" w:type="auto"/>
          <w:jc w:val="left"/>
          <w:tblInd w:w="1088" w:type="dxa"/>
          <w:tblLayout w:type="fixed"/>
          <w:tblCellMar>
            <w:top w:w="0" w:type="dxa"/>
            <w:left w:w="0" w:type="dxa"/>
            <w:bottom w:w="0" w:type="dxa"/>
            <w:right w:w="0" w:type="dxa"/>
          </w:tblCellMar>
          <w:tblLook w:val="01E0"/>
        </w:tblPrEx>
        <w:trPr>
          <w:trHeight w:val="467"/>
          <w:jc w:val="left"/>
        </w:trPr>
        <w:tc>
          <w:tcPr>
            <w:tcW w:w="1916" w:type="dxa"/>
            <w:tcBorders>
              <w:top w:val="single" w:sz="4" w:space="0" w:color="000000"/>
              <w:right w:val="single" w:sz="4" w:space="0" w:color="000000"/>
            </w:tcBorders>
          </w:tcPr>
          <w:p>
            <w:pPr>
              <w:pStyle w:val="TableParagraph"/>
              <w:spacing w:before="130"/>
              <w:ind w:left="469" w:right="452"/>
              <w:jc w:val="center"/>
              <w:rPr>
                <w:rFonts w:ascii="Times New Roman" w:hAnsi="Times New Roman"/>
                <w:sz w:val="18"/>
              </w:rPr>
            </w:pPr>
            <w:r>
              <w:rPr>
                <w:rFonts w:ascii="Times New Roman" w:hAnsi="Times New Roman"/>
                <w:sz w:val="18"/>
              </w:rPr>
              <w:t>S≥30m</w:t>
            </w:r>
            <w:r>
              <w:rPr>
                <w:rFonts w:ascii="Times New Roman" w:hAnsi="Times New Roman"/>
                <w:sz w:val="18"/>
                <w:vertAlign w:val="superscript"/>
              </w:rPr>
              <w:t>2</w:t>
            </w:r>
          </w:p>
        </w:tc>
        <w:tc>
          <w:tcPr>
            <w:tcW w:w="1916" w:type="dxa"/>
            <w:tcBorders>
              <w:top w:val="single" w:sz="4" w:space="0" w:color="000000"/>
              <w:left w:val="single" w:sz="4" w:space="0" w:color="000000"/>
              <w:right w:val="single" w:sz="4" w:space="0" w:color="000000"/>
            </w:tcBorders>
          </w:tcPr>
          <w:p>
            <w:pPr>
              <w:pStyle w:val="TableParagraph"/>
              <w:spacing w:before="130"/>
              <w:ind w:left="15"/>
              <w:jc w:val="center"/>
              <w:rPr>
                <w:rFonts w:ascii="Times New Roman" w:hAnsi="Times New Roman"/>
                <w:sz w:val="18"/>
              </w:rPr>
            </w:pPr>
            <w:r>
              <w:rPr>
                <w:rFonts w:ascii="Times New Roman" w:hAnsi="Times New Roman"/>
                <w:sz w:val="18"/>
              </w:rPr>
              <w:t>Ⅲ</w:t>
            </w:r>
          </w:p>
        </w:tc>
        <w:tc>
          <w:tcPr>
            <w:tcW w:w="1916" w:type="dxa"/>
            <w:tcBorders>
              <w:top w:val="single" w:sz="4" w:space="0" w:color="000000"/>
              <w:left w:val="single" w:sz="4" w:space="0" w:color="000000"/>
              <w:right w:val="single" w:sz="4" w:space="0" w:color="000000"/>
            </w:tcBorders>
          </w:tcPr>
          <w:p>
            <w:pPr>
              <w:pStyle w:val="TableParagraph"/>
              <w:spacing w:before="130"/>
              <w:ind w:left="19"/>
              <w:jc w:val="center"/>
              <w:rPr>
                <w:rFonts w:ascii="Times New Roman" w:hAnsi="Times New Roman"/>
                <w:sz w:val="18"/>
              </w:rPr>
            </w:pPr>
            <w:r>
              <w:rPr>
                <w:rFonts w:ascii="Times New Roman" w:hAnsi="Times New Roman"/>
                <w:sz w:val="18"/>
              </w:rPr>
              <w:t>Ⅲ</w:t>
            </w:r>
          </w:p>
        </w:tc>
        <w:tc>
          <w:tcPr>
            <w:tcW w:w="1916" w:type="dxa"/>
            <w:tcBorders>
              <w:top w:val="single" w:sz="4" w:space="0" w:color="000000"/>
              <w:left w:val="single" w:sz="4" w:space="0" w:color="000000"/>
              <w:right w:val="single" w:sz="4" w:space="0" w:color="000000"/>
            </w:tcBorders>
          </w:tcPr>
          <w:p>
            <w:pPr>
              <w:pStyle w:val="TableParagraph"/>
              <w:spacing w:before="130"/>
              <w:ind w:left="18"/>
              <w:jc w:val="center"/>
              <w:rPr>
                <w:rFonts w:ascii="Times New Roman" w:hAnsi="Times New Roman"/>
                <w:sz w:val="18"/>
              </w:rPr>
            </w:pPr>
            <w:r>
              <w:rPr>
                <w:rFonts w:ascii="Times New Roman" w:hAnsi="Times New Roman"/>
                <w:sz w:val="18"/>
              </w:rPr>
              <w:t>Ⅱ</w:t>
            </w:r>
          </w:p>
        </w:tc>
        <w:tc>
          <w:tcPr>
            <w:tcW w:w="1920" w:type="dxa"/>
            <w:tcBorders>
              <w:top w:val="single" w:sz="4" w:space="0" w:color="000000"/>
              <w:left w:val="single" w:sz="4" w:space="0" w:color="000000"/>
            </w:tcBorders>
          </w:tcPr>
          <w:p>
            <w:pPr>
              <w:pStyle w:val="TableParagraph"/>
              <w:spacing w:before="130"/>
              <w:ind w:left="9"/>
              <w:jc w:val="center"/>
              <w:rPr>
                <w:rFonts w:ascii="Times New Roman" w:hAnsi="Times New Roman"/>
                <w:sz w:val="18"/>
              </w:rPr>
            </w:pPr>
            <w:r>
              <w:rPr>
                <w:rFonts w:ascii="Times New Roman" w:hAnsi="Times New Roman"/>
                <w:sz w:val="18"/>
              </w:rPr>
              <w:t>Ⅰ</w:t>
            </w:r>
          </w:p>
        </w:tc>
      </w:tr>
    </w:tbl>
    <w:p>
      <w:pPr>
        <w:spacing w:after="0"/>
        <w:jc w:val="center"/>
        <w:rPr>
          <w:rFonts w:ascii="Times New Roman" w:hAnsi="Times New Roman"/>
          <w:sz w:val="18"/>
        </w:rPr>
        <w:sectPr>
          <w:headerReference w:type="default" r:id="rId11"/>
          <w:pgSz w:w="11910" w:h="16840"/>
          <w:pgMar w:top="1640" w:right="260" w:bottom="280" w:left="240" w:header="1449" w:footer="0"/>
          <w:pgNumType w:start="7"/>
          <w:cols w:space="708"/>
        </w:sectPr>
      </w:pPr>
    </w:p>
    <w:p>
      <w:pPr>
        <w:pStyle w:val="BodyText"/>
        <w:rPr>
          <w:rFonts w:ascii="黑体"/>
          <w:sz w:val="20"/>
        </w:rPr>
      </w:pPr>
      <w:r>
        <w:drawing>
          <wp:anchor distT="0" distB="0" distL="0" distR="0" simplePos="0" relativeHeight="251677696" behindDoc="0" locked="0" layoutInCell="1" allowOverlap="1">
            <wp:simplePos x="0" y="0"/>
            <wp:positionH relativeFrom="page">
              <wp:posOffset>215900</wp:posOffset>
            </wp:positionH>
            <wp:positionV relativeFrom="page">
              <wp:posOffset>5243830</wp:posOffset>
            </wp:positionV>
            <wp:extent cx="7112000" cy="4876800"/>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p>
    <w:p>
      <w:pPr>
        <w:pStyle w:val="BodyText"/>
        <w:rPr>
          <w:rFonts w:ascii="黑体"/>
          <w:sz w:val="20"/>
        </w:rPr>
      </w:pPr>
    </w:p>
    <w:p>
      <w:pPr>
        <w:pStyle w:val="BodyText"/>
        <w:spacing w:before="11"/>
        <w:rPr>
          <w:rFonts w:ascii="黑体"/>
          <w:sz w:val="14"/>
        </w:rPr>
      </w:pPr>
    </w:p>
    <w:p>
      <w:pPr>
        <w:pStyle w:val="ListParagraph"/>
        <w:numPr>
          <w:ilvl w:val="1"/>
          <w:numId w:val="34"/>
        </w:numPr>
        <w:tabs>
          <w:tab w:val="left" w:pos="1678"/>
        </w:tabs>
        <w:spacing w:before="70" w:after="0" w:line="240" w:lineRule="auto"/>
        <w:ind w:left="1677" w:right="0" w:hanging="500"/>
        <w:jc w:val="left"/>
        <w:rPr>
          <w:sz w:val="21"/>
        </w:rPr>
      </w:pPr>
      <w:r>
        <w:rPr>
          <w:sz w:val="21"/>
        </w:rPr>
        <w:t>隐患体等级具有动态发展特征，应根据最新隐患等级采取相应的处置对策。</w:t>
      </w:r>
    </w:p>
    <w:p>
      <w:pPr>
        <w:pStyle w:val="ListParagraph"/>
        <w:numPr>
          <w:ilvl w:val="1"/>
          <w:numId w:val="34"/>
        </w:numPr>
        <w:tabs>
          <w:tab w:val="left" w:pos="1678"/>
        </w:tabs>
        <w:spacing w:before="48" w:after="0" w:line="240" w:lineRule="auto"/>
        <w:ind w:left="1677" w:right="0" w:hanging="500"/>
        <w:jc w:val="left"/>
        <w:rPr>
          <w:sz w:val="21"/>
        </w:rPr>
      </w:pPr>
      <w:r>
        <w:rPr>
          <w:spacing w:val="-2"/>
          <w:sz w:val="21"/>
        </w:rPr>
        <w:t xml:space="preserve">当城市举行重大社会活动时，对于活动涉及道路，可将隐患等级提高 </w:t>
      </w:r>
      <w:r>
        <w:rPr>
          <w:sz w:val="21"/>
        </w:rPr>
        <w:t>1</w:t>
      </w:r>
      <w:r>
        <w:rPr>
          <w:spacing w:val="-8"/>
          <w:sz w:val="21"/>
        </w:rPr>
        <w:t xml:space="preserve"> 个等级进行风险防控。</w:t>
      </w:r>
    </w:p>
    <w:p>
      <w:pPr>
        <w:pStyle w:val="ListParagraph"/>
        <w:numPr>
          <w:ilvl w:val="1"/>
          <w:numId w:val="34"/>
        </w:numPr>
        <w:tabs>
          <w:tab w:val="left" w:pos="1678"/>
        </w:tabs>
        <w:spacing w:before="45" w:after="0" w:line="240" w:lineRule="auto"/>
        <w:ind w:left="1677" w:right="0" w:hanging="500"/>
        <w:jc w:val="left"/>
        <w:rPr>
          <w:sz w:val="21"/>
        </w:rPr>
      </w:pPr>
      <w:r>
        <w:rPr>
          <w:spacing w:val="-3"/>
          <w:sz w:val="21"/>
        </w:rPr>
        <w:t xml:space="preserve">应根据隐患体等级、现场条件等因素，按照表 </w:t>
      </w:r>
      <w:r>
        <w:rPr>
          <w:sz w:val="21"/>
        </w:rPr>
        <w:t>3</w:t>
      </w:r>
      <w:r>
        <w:rPr>
          <w:spacing w:val="-8"/>
          <w:sz w:val="21"/>
        </w:rPr>
        <w:t xml:space="preserve"> 的规定确定处置建议。</w:t>
      </w:r>
    </w:p>
    <w:p>
      <w:pPr>
        <w:pStyle w:val="BodyText"/>
        <w:spacing w:before="4"/>
        <w:rPr>
          <w:sz w:val="15"/>
        </w:rPr>
      </w:pPr>
    </w:p>
    <w:p>
      <w:pPr>
        <w:pStyle w:val="BodyText"/>
        <w:spacing w:before="1"/>
        <w:ind w:left="2066" w:right="1765"/>
        <w:jc w:val="center"/>
        <w:rPr>
          <w:rFonts w:ascii="黑体" w:eastAsia="黑体" w:hint="eastAsia"/>
        </w:rPr>
      </w:pPr>
      <w:r>
        <w:rPr>
          <w:rFonts w:ascii="黑体" w:eastAsia="黑体" w:hint="eastAsia"/>
        </w:rPr>
        <w:t>表 3 城镇道路坍塌隐患处置建议</w:t>
      </w:r>
    </w:p>
    <w:p>
      <w:pPr>
        <w:pStyle w:val="BodyText"/>
        <w:spacing w:before="12"/>
        <w:rPr>
          <w:rFonts w:ascii="黑体"/>
          <w:sz w:val="13"/>
        </w:rPr>
      </w:pPr>
    </w:p>
    <w:tbl>
      <w:tblPr>
        <w:tblStyle w:val="TableNormal3"/>
        <w:tblW w:w="0" w:type="auto"/>
        <w:jc w:val="left"/>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15"/>
        <w:gridCol w:w="7135"/>
      </w:tblGrid>
      <w:tr>
        <w:tblPrEx>
          <w:tblW w:w="0" w:type="auto"/>
          <w:jc w:val="left"/>
          <w:tblInd w:w="10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468"/>
          <w:jc w:val="left"/>
        </w:trPr>
        <w:tc>
          <w:tcPr>
            <w:tcW w:w="2415" w:type="dxa"/>
            <w:tcBorders>
              <w:bottom w:val="single" w:sz="4" w:space="0" w:color="000000"/>
              <w:right w:val="single" w:sz="4" w:space="0" w:color="000000"/>
            </w:tcBorders>
          </w:tcPr>
          <w:p>
            <w:pPr>
              <w:pStyle w:val="TableParagraph"/>
              <w:spacing w:before="119"/>
              <w:ind w:left="740" w:right="720"/>
              <w:jc w:val="center"/>
              <w:rPr>
                <w:sz w:val="18"/>
              </w:rPr>
            </w:pPr>
            <w:r>
              <w:rPr>
                <w:sz w:val="18"/>
              </w:rPr>
              <w:t>隐患体等级</w:t>
            </w:r>
          </w:p>
        </w:tc>
        <w:tc>
          <w:tcPr>
            <w:tcW w:w="7135" w:type="dxa"/>
            <w:tcBorders>
              <w:left w:val="single" w:sz="4" w:space="0" w:color="000000"/>
              <w:bottom w:val="single" w:sz="4" w:space="0" w:color="000000"/>
            </w:tcBorders>
          </w:tcPr>
          <w:p>
            <w:pPr>
              <w:pStyle w:val="TableParagraph"/>
              <w:spacing w:before="119"/>
              <w:ind w:left="168" w:right="148"/>
              <w:jc w:val="center"/>
              <w:rPr>
                <w:sz w:val="18"/>
              </w:rPr>
            </w:pPr>
            <w:r>
              <w:rPr>
                <w:sz w:val="18"/>
              </w:rPr>
              <w:t>处置建议</w:t>
            </w:r>
          </w:p>
        </w:tc>
      </w:tr>
      <w:tr>
        <w:tblPrEx>
          <w:tblW w:w="0" w:type="auto"/>
          <w:jc w:val="left"/>
          <w:tblInd w:w="1090" w:type="dxa"/>
          <w:tblLayout w:type="fixed"/>
          <w:tblCellMar>
            <w:top w:w="0" w:type="dxa"/>
            <w:left w:w="0" w:type="dxa"/>
            <w:bottom w:w="0" w:type="dxa"/>
            <w:right w:w="0" w:type="dxa"/>
          </w:tblCellMar>
          <w:tblLook w:val="01E0"/>
        </w:tblPrEx>
        <w:trPr>
          <w:trHeight w:val="1404"/>
          <w:jc w:val="left"/>
        </w:trPr>
        <w:tc>
          <w:tcPr>
            <w:tcW w:w="2415"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25"/>
              <w:ind w:left="17"/>
              <w:jc w:val="center"/>
              <w:rPr>
                <w:sz w:val="18"/>
              </w:rPr>
            </w:pPr>
            <w:r>
              <w:rPr>
                <w:sz w:val="18"/>
              </w:rPr>
              <w:t>I</w:t>
            </w:r>
          </w:p>
        </w:tc>
        <w:tc>
          <w:tcPr>
            <w:tcW w:w="7135" w:type="dxa"/>
            <w:tcBorders>
              <w:top w:val="single" w:sz="4" w:space="0" w:color="000000"/>
              <w:left w:val="single" w:sz="4" w:space="0" w:color="000000"/>
              <w:bottom w:val="single" w:sz="4" w:space="0" w:color="000000"/>
            </w:tcBorders>
          </w:tcPr>
          <w:p>
            <w:pPr>
              <w:pStyle w:val="TableParagraph"/>
              <w:spacing w:before="145" w:line="458" w:lineRule="auto"/>
              <w:ind w:left="292" w:right="1874"/>
              <w:rPr>
                <w:sz w:val="18"/>
              </w:rPr>
            </w:pPr>
            <w:r>
              <w:rPr>
                <w:sz w:val="18"/>
              </w:rPr>
              <w:t>立即开展工程处理； 应对隐患区域封闭围挡、设置警示标志； 处理前应实行 24 小时值守；</w:t>
            </w:r>
          </w:p>
          <w:p>
            <w:pPr>
              <w:pStyle w:val="TableParagraph"/>
              <w:spacing w:before="2"/>
              <w:ind w:left="292"/>
              <w:rPr>
                <w:sz w:val="18"/>
              </w:rPr>
            </w:pPr>
            <w:r>
              <w:rPr>
                <w:sz w:val="18"/>
              </w:rPr>
              <w:t>应开展周边区域扩大坍塌风险可能性的探测评估</w:t>
            </w:r>
          </w:p>
        </w:tc>
      </w:tr>
      <w:tr>
        <w:tblPrEx>
          <w:tblW w:w="0" w:type="auto"/>
          <w:jc w:val="left"/>
          <w:tblInd w:w="1090" w:type="dxa"/>
          <w:tblLayout w:type="fixed"/>
          <w:tblCellMar>
            <w:top w:w="0" w:type="dxa"/>
            <w:left w:w="0" w:type="dxa"/>
            <w:bottom w:w="0" w:type="dxa"/>
            <w:right w:w="0" w:type="dxa"/>
          </w:tblCellMar>
          <w:tblLook w:val="01E0"/>
        </w:tblPrEx>
        <w:trPr>
          <w:trHeight w:val="1396"/>
          <w:jc w:val="left"/>
        </w:trPr>
        <w:tc>
          <w:tcPr>
            <w:tcW w:w="2415"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22"/>
              <w:ind w:left="740" w:right="719"/>
              <w:jc w:val="center"/>
              <w:rPr>
                <w:sz w:val="18"/>
              </w:rPr>
            </w:pPr>
            <w:r>
              <w:rPr>
                <w:sz w:val="18"/>
              </w:rPr>
              <w:t>II</w:t>
            </w:r>
          </w:p>
        </w:tc>
        <w:tc>
          <w:tcPr>
            <w:tcW w:w="7135" w:type="dxa"/>
            <w:tcBorders>
              <w:top w:val="single" w:sz="4" w:space="0" w:color="000000"/>
              <w:left w:val="single" w:sz="4" w:space="0" w:color="000000"/>
              <w:bottom w:val="single" w:sz="4" w:space="0" w:color="000000"/>
            </w:tcBorders>
          </w:tcPr>
          <w:p>
            <w:pPr>
              <w:pStyle w:val="TableParagraph"/>
              <w:spacing w:before="144" w:line="456" w:lineRule="auto"/>
              <w:ind w:left="292" w:right="1858"/>
              <w:rPr>
                <w:sz w:val="18"/>
              </w:rPr>
            </w:pPr>
            <w:r>
              <w:rPr>
                <w:sz w:val="18"/>
              </w:rPr>
              <w:t>尽快开展工程处理； 应对隐患区域封闭围挡、设置警示标志； 24 小时监控发展动态；</w:t>
            </w:r>
          </w:p>
          <w:p>
            <w:pPr>
              <w:pStyle w:val="TableParagraph"/>
              <w:spacing w:before="2"/>
              <w:ind w:left="292"/>
              <w:rPr>
                <w:sz w:val="18"/>
              </w:rPr>
            </w:pPr>
            <w:r>
              <w:rPr>
                <w:sz w:val="18"/>
              </w:rPr>
              <w:t>宜开展周边区域的扩大坍塌风险的探测评估</w:t>
            </w:r>
          </w:p>
        </w:tc>
      </w:tr>
      <w:tr>
        <w:tblPrEx>
          <w:tblW w:w="0" w:type="auto"/>
          <w:jc w:val="left"/>
          <w:tblInd w:w="1090" w:type="dxa"/>
          <w:tblLayout w:type="fixed"/>
          <w:tblCellMar>
            <w:top w:w="0" w:type="dxa"/>
            <w:left w:w="0" w:type="dxa"/>
            <w:bottom w:w="0" w:type="dxa"/>
            <w:right w:w="0" w:type="dxa"/>
          </w:tblCellMar>
          <w:tblLook w:val="01E0"/>
        </w:tblPrEx>
        <w:trPr>
          <w:trHeight w:val="1423"/>
          <w:jc w:val="left"/>
        </w:trPr>
        <w:tc>
          <w:tcPr>
            <w:tcW w:w="2415"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34"/>
              <w:ind w:left="739" w:right="720"/>
              <w:jc w:val="center"/>
              <w:rPr>
                <w:sz w:val="18"/>
              </w:rPr>
            </w:pPr>
            <w:r>
              <w:rPr>
                <w:sz w:val="18"/>
              </w:rPr>
              <w:t>III</w:t>
            </w:r>
          </w:p>
        </w:tc>
        <w:tc>
          <w:tcPr>
            <w:tcW w:w="7135" w:type="dxa"/>
            <w:tcBorders>
              <w:top w:val="single" w:sz="4" w:space="0" w:color="000000"/>
              <w:left w:val="single" w:sz="4" w:space="0" w:color="000000"/>
              <w:bottom w:val="single" w:sz="4" w:space="0" w:color="000000"/>
            </w:tcBorders>
          </w:tcPr>
          <w:p>
            <w:pPr>
              <w:pStyle w:val="TableParagraph"/>
              <w:spacing w:before="147" w:line="468" w:lineRule="auto"/>
              <w:ind w:left="292" w:right="2147"/>
              <w:rPr>
                <w:sz w:val="18"/>
              </w:rPr>
            </w:pPr>
            <w:r>
              <w:rPr>
                <w:sz w:val="18"/>
              </w:rPr>
              <w:t>开展工程处理，对脱空隐患，应按道路养护标准进行处置； 应对隐患区域设置警示标志；</w:t>
            </w:r>
          </w:p>
          <w:p>
            <w:pPr>
              <w:pStyle w:val="TableParagraph"/>
              <w:spacing w:line="229" w:lineRule="exact"/>
              <w:ind w:left="292"/>
              <w:rPr>
                <w:sz w:val="18"/>
              </w:rPr>
            </w:pPr>
            <w:r>
              <w:rPr>
                <w:sz w:val="18"/>
              </w:rPr>
              <w:t>处理前宜根据实际情况安排值守</w:t>
            </w:r>
          </w:p>
        </w:tc>
      </w:tr>
      <w:tr>
        <w:tblPrEx>
          <w:tblW w:w="0" w:type="auto"/>
          <w:jc w:val="left"/>
          <w:tblInd w:w="1090" w:type="dxa"/>
          <w:tblLayout w:type="fixed"/>
          <w:tblCellMar>
            <w:top w:w="0" w:type="dxa"/>
            <w:left w:w="0" w:type="dxa"/>
            <w:bottom w:w="0" w:type="dxa"/>
            <w:right w:w="0" w:type="dxa"/>
          </w:tblCellMar>
          <w:tblLook w:val="01E0"/>
        </w:tblPrEx>
        <w:trPr>
          <w:trHeight w:val="753"/>
          <w:jc w:val="left"/>
        </w:trPr>
        <w:tc>
          <w:tcPr>
            <w:tcW w:w="2415" w:type="dxa"/>
            <w:tcBorders>
              <w:top w:val="single" w:sz="4" w:space="0" w:color="000000"/>
              <w:right w:val="single" w:sz="4" w:space="0" w:color="000000"/>
            </w:tcBorders>
          </w:tcPr>
          <w:p>
            <w:pPr>
              <w:pStyle w:val="TableParagraph"/>
              <w:spacing w:before="4"/>
              <w:rPr>
                <w:rFonts w:ascii="黑体"/>
                <w:sz w:val="20"/>
              </w:rPr>
            </w:pPr>
          </w:p>
          <w:p>
            <w:pPr>
              <w:pStyle w:val="TableParagraph"/>
              <w:spacing w:before="1"/>
              <w:ind w:left="740" w:right="719"/>
              <w:jc w:val="center"/>
              <w:rPr>
                <w:sz w:val="18"/>
              </w:rPr>
            </w:pPr>
            <w:r>
              <w:rPr>
                <w:sz w:val="18"/>
              </w:rPr>
              <w:t>IV</w:t>
            </w:r>
          </w:p>
        </w:tc>
        <w:tc>
          <w:tcPr>
            <w:tcW w:w="7135" w:type="dxa"/>
            <w:tcBorders>
              <w:top w:val="single" w:sz="4" w:space="0" w:color="000000"/>
              <w:left w:val="single" w:sz="4" w:space="0" w:color="000000"/>
            </w:tcBorders>
          </w:tcPr>
          <w:p>
            <w:pPr>
              <w:pStyle w:val="TableParagraph"/>
              <w:spacing w:before="4"/>
              <w:rPr>
                <w:rFonts w:ascii="黑体"/>
                <w:sz w:val="20"/>
              </w:rPr>
            </w:pPr>
          </w:p>
          <w:p>
            <w:pPr>
              <w:pStyle w:val="TableParagraph"/>
              <w:spacing w:before="1"/>
              <w:ind w:left="272" w:right="148"/>
              <w:jc w:val="center"/>
              <w:rPr>
                <w:sz w:val="18"/>
              </w:rPr>
            </w:pPr>
            <w:r>
              <w:rPr>
                <w:sz w:val="18"/>
              </w:rPr>
              <w:t>定期开展巡视或探测，对空洞设立警示标志，如有发展，结合新的隐患级别进行处置</w:t>
            </w:r>
          </w:p>
        </w:tc>
      </w:tr>
    </w:tbl>
    <w:p>
      <w:pPr>
        <w:pStyle w:val="BodyText"/>
        <w:spacing w:before="2"/>
        <w:rPr>
          <w:rFonts w:ascii="黑体"/>
          <w:sz w:val="13"/>
        </w:rPr>
      </w:pPr>
      <w:r>
        <w:pict>
          <v:group id="_x0000_s1047" style="width:468.55pt;height:298.65pt;margin-top:10.41pt;margin-left:70.92pt;mso-position-horizontal-relative:page;mso-wrap-distance-left:0;mso-wrap-distance-right:0;position:absolute;z-index:-251637760" coordorigin="1418,208" coordsize="9371,5973">
            <v:shape id="_x0000_s1048" type="#_x0000_t202" style="width:9371;height:521;left:1418;position:absolute;top:208" filled="f" stroked="f">
              <v:textbox inset="0,0,0,0">
                <w:txbxContent>
                  <w:p>
                    <w:pPr>
                      <w:spacing w:before="0" w:line="239" w:lineRule="exact"/>
                      <w:ind w:left="0" w:right="0" w:firstLine="0"/>
                      <w:jc w:val="left"/>
                      <w:rPr>
                        <w:sz w:val="21"/>
                      </w:rPr>
                    </w:pPr>
                    <w:r>
                      <w:rPr>
                        <w:rFonts w:ascii="黑体" w:eastAsia="黑体" w:hint="eastAsia"/>
                        <w:sz w:val="20"/>
                      </w:rPr>
                      <w:t>6.10</w:t>
                    </w:r>
                    <w:r>
                      <w:rPr>
                        <w:rFonts w:ascii="黑体" w:eastAsia="黑体" w:hint="eastAsia"/>
                        <w:spacing w:val="77"/>
                        <w:sz w:val="20"/>
                      </w:rPr>
                      <w:t xml:space="preserve"> </w:t>
                    </w:r>
                    <w:r>
                      <w:rPr>
                        <w:spacing w:val="-3"/>
                        <w:sz w:val="21"/>
                      </w:rPr>
                      <w:t>对于处置后的道路坍塌隐患区域应进行处置结果探测，经过探测和评估后该区域不具有道路坍塌</w:t>
                    </w:r>
                  </w:p>
                  <w:p>
                    <w:pPr>
                      <w:spacing w:before="43" w:line="239" w:lineRule="exact"/>
                      <w:ind w:left="0" w:right="0" w:firstLine="0"/>
                      <w:jc w:val="left"/>
                      <w:rPr>
                        <w:sz w:val="21"/>
                      </w:rPr>
                    </w:pPr>
                    <w:r>
                      <w:rPr>
                        <w:sz w:val="21"/>
                      </w:rPr>
                      <w:t>隐患特征时可消除该隐患。</w:t>
                    </w:r>
                  </w:p>
                </w:txbxContent>
              </v:textbox>
            </v:shape>
            <v:shape id="_x0000_s1049" type="#_x0000_t202" style="width:1998;height:209;left:1418;position:absolute;top:1144"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0"/>
                      </w:rPr>
                      <w:t>7</w:t>
                    </w:r>
                    <w:r>
                      <w:rPr>
                        <w:rFonts w:ascii="黑体" w:eastAsia="黑体" w:hint="eastAsia"/>
                        <w:spacing w:val="94"/>
                        <w:sz w:val="20"/>
                      </w:rPr>
                      <w:t xml:space="preserve"> </w:t>
                    </w:r>
                    <w:bookmarkStart w:id="10" w:name="7　三维探地雷达系统"/>
                    <w:bookmarkEnd w:id="10"/>
                    <w:r>
                      <w:rPr>
                        <w:rFonts w:ascii="黑体" w:eastAsia="黑体" w:hint="eastAsia"/>
                        <w:sz w:val="21"/>
                      </w:rPr>
                      <w:t>三维探地雷达系统</w:t>
                    </w:r>
                  </w:p>
                </w:txbxContent>
              </v:textbox>
            </v:shape>
            <v:shape id="_x0000_s1050" type="#_x0000_t202" style="width:9371;height:4413;left:1418;position:absolute;top:1768" filled="f" stroked="f">
              <v:textbox inset="0,0,0,0">
                <w:txbxContent>
                  <w:p>
                    <w:pPr>
                      <w:numPr>
                        <w:ilvl w:val="1"/>
                        <w:numId w:val="16"/>
                      </w:numPr>
                      <w:tabs>
                        <w:tab w:val="left" w:pos="500"/>
                      </w:tabs>
                      <w:spacing w:before="0" w:line="239" w:lineRule="exact"/>
                      <w:ind w:left="499" w:right="0" w:hanging="500"/>
                      <w:jc w:val="left"/>
                      <w:rPr>
                        <w:rFonts w:ascii="黑体" w:eastAsia="黑体" w:hint="eastAsia"/>
                        <w:sz w:val="21"/>
                      </w:rPr>
                    </w:pPr>
                    <w:bookmarkStart w:id="11" w:name="7.1　一般规定"/>
                    <w:bookmarkEnd w:id="11"/>
                    <w:r>
                      <w:rPr>
                        <w:rFonts w:ascii="黑体" w:eastAsia="黑体" w:hint="eastAsia"/>
                        <w:sz w:val="21"/>
                      </w:rPr>
                      <w:t>一般规定</w:t>
                    </w:r>
                  </w:p>
                  <w:p>
                    <w:pPr>
                      <w:spacing w:before="6" w:line="240" w:lineRule="auto"/>
                      <w:rPr>
                        <w:rFonts w:ascii="黑体"/>
                        <w:sz w:val="15"/>
                      </w:rPr>
                    </w:pPr>
                  </w:p>
                  <w:p>
                    <w:pPr>
                      <w:numPr>
                        <w:ilvl w:val="2"/>
                        <w:numId w:val="16"/>
                      </w:numPr>
                      <w:tabs>
                        <w:tab w:val="left" w:pos="699"/>
                      </w:tabs>
                      <w:spacing w:before="0" w:line="278" w:lineRule="auto"/>
                      <w:ind w:left="0" w:right="18" w:firstLine="0"/>
                      <w:jc w:val="left"/>
                      <w:rPr>
                        <w:sz w:val="21"/>
                      </w:rPr>
                    </w:pPr>
                    <w:r>
                      <w:rPr>
                        <w:sz w:val="21"/>
                      </w:rPr>
                      <w:t>三维探地雷达系统应具备高效率的数据获取能力、高分辨率的地下数据信息成像能力、高精度的地下物体定位能力和高可靠性的数据解译能力。</w:t>
                    </w:r>
                  </w:p>
                  <w:p>
                    <w:pPr>
                      <w:numPr>
                        <w:ilvl w:val="2"/>
                        <w:numId w:val="16"/>
                      </w:numPr>
                      <w:tabs>
                        <w:tab w:val="left" w:pos="699"/>
                      </w:tabs>
                      <w:spacing w:before="3"/>
                      <w:ind w:left="698" w:right="0" w:hanging="699"/>
                      <w:jc w:val="left"/>
                      <w:rPr>
                        <w:sz w:val="21"/>
                      </w:rPr>
                    </w:pPr>
                    <w:r>
                      <w:rPr>
                        <w:sz w:val="21"/>
                      </w:rPr>
                      <w:t>探测设备应周期性比对核查、校准，仪器设备使用前应进行检查调试。</w:t>
                    </w:r>
                  </w:p>
                  <w:p>
                    <w:pPr>
                      <w:numPr>
                        <w:ilvl w:val="2"/>
                        <w:numId w:val="16"/>
                      </w:numPr>
                      <w:tabs>
                        <w:tab w:val="left" w:pos="699"/>
                      </w:tabs>
                      <w:spacing w:before="45"/>
                      <w:ind w:left="698" w:right="0" w:hanging="699"/>
                      <w:jc w:val="left"/>
                      <w:rPr>
                        <w:sz w:val="21"/>
                      </w:rPr>
                    </w:pPr>
                    <w:r>
                      <w:rPr>
                        <w:sz w:val="21"/>
                      </w:rPr>
                      <w:t>探测设备在使用、运输和保管过程中应防水、防潮、防尘、防高温、防寒等。</w:t>
                    </w:r>
                  </w:p>
                  <w:p>
                    <w:pPr>
                      <w:numPr>
                        <w:ilvl w:val="2"/>
                        <w:numId w:val="16"/>
                      </w:numPr>
                      <w:tabs>
                        <w:tab w:val="left" w:pos="699"/>
                      </w:tabs>
                      <w:spacing w:before="48"/>
                      <w:ind w:left="698" w:right="0" w:hanging="699"/>
                      <w:jc w:val="left"/>
                      <w:rPr>
                        <w:sz w:val="21"/>
                      </w:rPr>
                    </w:pPr>
                    <w:r>
                      <w:rPr>
                        <w:sz w:val="21"/>
                      </w:rPr>
                      <w:t>应授权有相应专业能力的人员操作、使用和维护仪器设备。</w:t>
                    </w:r>
                  </w:p>
                  <w:p>
                    <w:pPr>
                      <w:spacing w:before="6" w:line="240" w:lineRule="auto"/>
                      <w:rPr>
                        <w:sz w:val="15"/>
                      </w:rPr>
                    </w:pPr>
                  </w:p>
                  <w:p>
                    <w:pPr>
                      <w:numPr>
                        <w:ilvl w:val="1"/>
                        <w:numId w:val="15"/>
                      </w:numPr>
                      <w:tabs>
                        <w:tab w:val="left" w:pos="500"/>
                      </w:tabs>
                      <w:spacing w:before="0"/>
                      <w:ind w:left="499" w:right="0" w:hanging="500"/>
                      <w:jc w:val="left"/>
                      <w:rPr>
                        <w:rFonts w:ascii="黑体" w:eastAsia="黑体" w:hint="eastAsia"/>
                        <w:sz w:val="21"/>
                      </w:rPr>
                    </w:pPr>
                    <w:bookmarkStart w:id="12" w:name="7.2　探测系统"/>
                    <w:bookmarkEnd w:id="12"/>
                    <w:r>
                      <w:rPr>
                        <w:rFonts w:ascii="黑体" w:eastAsia="黑体" w:hint="eastAsia"/>
                        <w:sz w:val="21"/>
                      </w:rPr>
                      <w:t>探测系统</w:t>
                    </w:r>
                  </w:p>
                  <w:p>
                    <w:pPr>
                      <w:spacing w:before="7" w:line="240" w:lineRule="auto"/>
                      <w:rPr>
                        <w:rFonts w:ascii="黑体"/>
                        <w:sz w:val="15"/>
                      </w:rPr>
                    </w:pPr>
                  </w:p>
                  <w:p>
                    <w:pPr>
                      <w:numPr>
                        <w:ilvl w:val="2"/>
                        <w:numId w:val="15"/>
                      </w:numPr>
                      <w:tabs>
                        <w:tab w:val="left" w:pos="699"/>
                      </w:tabs>
                      <w:spacing w:before="0"/>
                      <w:ind w:left="698" w:right="0" w:hanging="699"/>
                      <w:jc w:val="left"/>
                      <w:rPr>
                        <w:sz w:val="21"/>
                      </w:rPr>
                    </w:pPr>
                    <w:r>
                      <w:rPr>
                        <w:sz w:val="21"/>
                      </w:rPr>
                      <w:t>探测系统应包括探测设备和数据软件。</w:t>
                    </w:r>
                  </w:p>
                  <w:p>
                    <w:pPr>
                      <w:numPr>
                        <w:ilvl w:val="2"/>
                        <w:numId w:val="15"/>
                      </w:numPr>
                      <w:tabs>
                        <w:tab w:val="left" w:pos="699"/>
                      </w:tabs>
                      <w:spacing w:before="46"/>
                      <w:ind w:left="698" w:right="0" w:hanging="699"/>
                      <w:jc w:val="left"/>
                      <w:rPr>
                        <w:sz w:val="21"/>
                      </w:rPr>
                    </w:pPr>
                    <w:r>
                      <w:rPr>
                        <w:sz w:val="21"/>
                      </w:rPr>
                      <w:t>探测设备应包括但不限于下列内容：</w:t>
                    </w:r>
                  </w:p>
                  <w:p>
                    <w:pPr>
                      <w:spacing w:before="45"/>
                      <w:ind w:left="424" w:right="0" w:firstLine="0"/>
                      <w:jc w:val="left"/>
                      <w:rPr>
                        <w:sz w:val="21"/>
                      </w:rPr>
                    </w:pPr>
                    <w:r>
                      <w:rPr>
                        <w:rFonts w:ascii="Cambria Math" w:eastAsia="Cambria Math" w:hAnsi="Cambria Math"/>
                        <w:i/>
                        <w:sz w:val="20"/>
                      </w:rPr>
                      <w:t xml:space="preserve">—— </w:t>
                    </w:r>
                    <w:r>
                      <w:rPr>
                        <w:sz w:val="21"/>
                      </w:rPr>
                      <w:t>载具及操作平台；</w:t>
                    </w:r>
                  </w:p>
                  <w:p>
                    <w:pPr>
                      <w:spacing w:before="43"/>
                      <w:ind w:left="424" w:right="0" w:firstLine="0"/>
                      <w:jc w:val="left"/>
                      <w:rPr>
                        <w:sz w:val="21"/>
                      </w:rPr>
                    </w:pPr>
                    <w:r>
                      <w:rPr>
                        <w:rFonts w:ascii="Cambria Math" w:eastAsia="Cambria Math" w:hAnsi="Cambria Math"/>
                        <w:i/>
                        <w:sz w:val="20"/>
                      </w:rPr>
                      <w:t xml:space="preserve">—— </w:t>
                    </w:r>
                    <w:r>
                      <w:rPr>
                        <w:sz w:val="21"/>
                      </w:rPr>
                      <w:t>三维多通道探地雷达；</w:t>
                    </w:r>
                  </w:p>
                  <w:p>
                    <w:pPr>
                      <w:spacing w:before="43"/>
                      <w:ind w:left="424" w:right="0" w:firstLine="0"/>
                      <w:jc w:val="left"/>
                      <w:rPr>
                        <w:sz w:val="21"/>
                      </w:rPr>
                    </w:pPr>
                    <w:r>
                      <w:rPr>
                        <w:rFonts w:ascii="Cambria Math" w:eastAsia="Cambria Math" w:hAnsi="Cambria Math"/>
                        <w:i/>
                        <w:sz w:val="20"/>
                      </w:rPr>
                      <w:t xml:space="preserve">—— </w:t>
                    </w:r>
                    <w:r>
                      <w:rPr>
                        <w:sz w:val="21"/>
                      </w:rPr>
                      <w:t>便携式探地雷达；</w:t>
                    </w:r>
                  </w:p>
                  <w:p>
                    <w:pPr>
                      <w:spacing w:before="53" w:line="205" w:lineRule="exact"/>
                      <w:ind w:left="0" w:right="246" w:firstLine="0"/>
                      <w:jc w:val="right"/>
                      <w:rPr>
                        <w:sz w:val="18"/>
                      </w:rPr>
                    </w:pPr>
                    <w:r>
                      <w:rPr>
                        <w:sz w:val="18"/>
                      </w:rPr>
                      <w:t>5</w:t>
                    </w:r>
                  </w:p>
                </w:txbxContent>
              </v:textbox>
            </v:shape>
            <w10:wrap type="topAndBottom"/>
          </v:group>
        </w:pict>
      </w:r>
    </w:p>
    <w:p>
      <w:pPr>
        <w:spacing w:after="0"/>
        <w:rPr>
          <w:rFonts w:ascii="黑体"/>
          <w:sz w:val="13"/>
        </w:rPr>
        <w:sectPr>
          <w:headerReference w:type="default" r:id="rId12"/>
          <w:pgSz w:w="11910" w:h="16840"/>
          <w:pgMar w:top="1640" w:right="260" w:bottom="280" w:left="240" w:header="1449" w:footer="0"/>
          <w:pgNumType w:start="8"/>
          <w:cols w:space="708"/>
        </w:sectPr>
      </w:pPr>
    </w:p>
    <w:p>
      <w:pPr>
        <w:pStyle w:val="BodyText"/>
        <w:rPr>
          <w:rFonts w:ascii="黑体"/>
          <w:sz w:val="20"/>
        </w:rPr>
      </w:pPr>
    </w:p>
    <w:p>
      <w:pPr>
        <w:pStyle w:val="BodyText"/>
        <w:rPr>
          <w:rFonts w:ascii="黑体"/>
          <w:sz w:val="20"/>
        </w:rPr>
      </w:pPr>
    </w:p>
    <w:p>
      <w:pPr>
        <w:pStyle w:val="BodyText"/>
        <w:spacing w:before="2"/>
        <w:rPr>
          <w:rFonts w:ascii="黑体"/>
          <w:sz w:val="14"/>
        </w:rPr>
      </w:pPr>
    </w:p>
    <w:p>
      <w:pPr>
        <w:spacing w:before="79"/>
        <w:ind w:left="1603" w:right="0" w:firstLine="0"/>
        <w:jc w:val="left"/>
        <w:rPr>
          <w:sz w:val="21"/>
        </w:rPr>
      </w:pPr>
      <w:r>
        <w:rPr>
          <w:rFonts w:ascii="Cambria Math" w:eastAsia="Cambria Math" w:hAnsi="Cambria Math"/>
          <w:i/>
          <w:spacing w:val="-8"/>
          <w:sz w:val="20"/>
        </w:rPr>
        <w:t xml:space="preserve">—— </w:t>
      </w:r>
      <w:r>
        <w:rPr>
          <w:sz w:val="21"/>
        </w:rPr>
        <w:t>定位设备；</w:t>
      </w:r>
    </w:p>
    <w:p>
      <w:pPr>
        <w:spacing w:before="43"/>
        <w:ind w:left="1603" w:right="0" w:firstLine="0"/>
        <w:jc w:val="left"/>
        <w:rPr>
          <w:sz w:val="21"/>
        </w:rPr>
      </w:pPr>
      <w:r>
        <w:rPr>
          <w:rFonts w:ascii="Cambria Math" w:eastAsia="Cambria Math" w:hAnsi="Cambria Math"/>
          <w:i/>
          <w:spacing w:val="-8"/>
          <w:sz w:val="20"/>
        </w:rPr>
        <w:t xml:space="preserve">—— </w:t>
      </w:r>
      <w:r>
        <w:rPr>
          <w:sz w:val="21"/>
        </w:rPr>
        <w:t>视频设备；</w:t>
      </w:r>
    </w:p>
    <w:p>
      <w:pPr>
        <w:spacing w:before="43"/>
        <w:ind w:left="1603" w:right="0" w:firstLine="0"/>
        <w:jc w:val="left"/>
        <w:rPr>
          <w:sz w:val="21"/>
        </w:rPr>
      </w:pPr>
      <w:r>
        <w:rPr>
          <w:rFonts w:ascii="Cambria Math" w:eastAsia="Cambria Math" w:hAnsi="Cambria Math"/>
          <w:i/>
          <w:spacing w:val="-8"/>
          <w:sz w:val="20"/>
        </w:rPr>
        <w:t xml:space="preserve">—— </w:t>
      </w:r>
      <w:r>
        <w:rPr>
          <w:sz w:val="21"/>
        </w:rPr>
        <w:t>辅助设备。</w:t>
      </w:r>
    </w:p>
    <w:p>
      <w:pPr>
        <w:spacing w:before="43"/>
        <w:ind w:left="1178" w:right="0" w:firstLine="0"/>
        <w:jc w:val="left"/>
        <w:rPr>
          <w:sz w:val="21"/>
        </w:rPr>
      </w:pPr>
      <w:r>
        <w:rPr>
          <w:rFonts w:ascii="黑体" w:eastAsia="黑体" w:hint="eastAsia"/>
          <w:sz w:val="20"/>
        </w:rPr>
        <w:t>7.2.3</w:t>
      </w:r>
      <w:r>
        <w:rPr>
          <w:rFonts w:ascii="黑体" w:eastAsia="黑体" w:hint="eastAsia"/>
          <w:spacing w:val="97"/>
          <w:sz w:val="20"/>
        </w:rPr>
        <w:t xml:space="preserve"> </w:t>
      </w:r>
      <w:r>
        <w:rPr>
          <w:sz w:val="21"/>
        </w:rPr>
        <w:t>数据软件应包括下列内容：</w:t>
      </w:r>
    </w:p>
    <w:p>
      <w:pPr>
        <w:spacing w:before="43"/>
        <w:ind w:left="1603" w:right="0" w:firstLine="0"/>
        <w:jc w:val="left"/>
        <w:rPr>
          <w:sz w:val="21"/>
        </w:rPr>
      </w:pPr>
      <w:r>
        <w:rPr>
          <w:rFonts w:ascii="Cambria Math" w:eastAsia="Cambria Math" w:hAnsi="Cambria Math"/>
          <w:i/>
          <w:spacing w:val="-8"/>
          <w:sz w:val="20"/>
        </w:rPr>
        <w:t xml:space="preserve">—— </w:t>
      </w:r>
      <w:r>
        <w:rPr>
          <w:sz w:val="21"/>
        </w:rPr>
        <w:t>采集控制软件；</w:t>
      </w:r>
    </w:p>
    <w:p>
      <w:pPr>
        <w:spacing w:before="43"/>
        <w:ind w:left="1603" w:right="0" w:firstLine="0"/>
        <w:jc w:val="left"/>
        <w:rPr>
          <w:sz w:val="21"/>
        </w:rPr>
      </w:pPr>
      <w:r>
        <w:rPr>
          <w:rFonts w:ascii="Cambria Math" w:eastAsia="Cambria Math" w:hAnsi="Cambria Math"/>
          <w:i/>
          <w:spacing w:val="-8"/>
          <w:sz w:val="20"/>
        </w:rPr>
        <w:t xml:space="preserve">—— </w:t>
      </w:r>
      <w:r>
        <w:rPr>
          <w:sz w:val="21"/>
        </w:rPr>
        <w:t>数据解译软件。</w:t>
      </w:r>
    </w:p>
    <w:p>
      <w:pPr>
        <w:pStyle w:val="BodyText"/>
        <w:spacing w:before="7"/>
        <w:rPr>
          <w:sz w:val="15"/>
        </w:rPr>
      </w:pPr>
    </w:p>
    <w:p>
      <w:pPr>
        <w:pStyle w:val="ListParagraph"/>
        <w:numPr>
          <w:ilvl w:val="1"/>
          <w:numId w:val="14"/>
        </w:numPr>
        <w:tabs>
          <w:tab w:val="left" w:pos="1678"/>
        </w:tabs>
        <w:spacing w:before="0" w:after="0" w:line="240" w:lineRule="auto"/>
        <w:ind w:left="1677" w:right="0" w:hanging="500"/>
        <w:jc w:val="left"/>
        <w:rPr>
          <w:rFonts w:ascii="黑体" w:eastAsia="黑体" w:hint="eastAsia"/>
          <w:sz w:val="21"/>
        </w:rPr>
      </w:pPr>
      <w:bookmarkStart w:id="13" w:name="7.3　三维多通道探地雷达"/>
      <w:bookmarkEnd w:id="13"/>
      <w:r>
        <w:rPr>
          <w:rFonts w:ascii="黑体" w:eastAsia="黑体" w:hint="eastAsia"/>
          <w:sz w:val="21"/>
        </w:rPr>
        <w:t>三维多通道探地雷达</w:t>
      </w:r>
    </w:p>
    <w:p>
      <w:pPr>
        <w:pStyle w:val="BodyText"/>
        <w:spacing w:before="6"/>
        <w:rPr>
          <w:rFonts w:ascii="黑体"/>
          <w:sz w:val="15"/>
        </w:rPr>
      </w:pPr>
    </w:p>
    <w:p>
      <w:pPr>
        <w:pStyle w:val="ListParagraph"/>
        <w:numPr>
          <w:ilvl w:val="2"/>
          <w:numId w:val="14"/>
        </w:numPr>
        <w:tabs>
          <w:tab w:val="left" w:pos="1877"/>
        </w:tabs>
        <w:spacing w:before="0" w:after="0" w:line="278" w:lineRule="auto"/>
        <w:ind w:left="1178" w:right="875" w:firstLine="0"/>
        <w:jc w:val="left"/>
        <w:rPr>
          <w:sz w:val="21"/>
        </w:rPr>
      </w:pPr>
      <w:r>
        <w:rPr>
          <w:sz w:val="21"/>
        </w:rPr>
        <w:t>三维多通道探地雷达天线阵列应具有 16</w:t>
      </w:r>
      <w:r>
        <w:rPr>
          <w:spacing w:val="-6"/>
          <w:sz w:val="21"/>
        </w:rPr>
        <w:t xml:space="preserve"> 通道及以上，应能实现多通道同步数据采集，具有测距触发功能和定位设备接口。</w:t>
      </w:r>
    </w:p>
    <w:p>
      <w:pPr>
        <w:pStyle w:val="ListParagraph"/>
        <w:numPr>
          <w:ilvl w:val="2"/>
          <w:numId w:val="14"/>
        </w:numPr>
        <w:tabs>
          <w:tab w:val="left" w:pos="1877"/>
        </w:tabs>
        <w:spacing w:before="5" w:after="0" w:line="240" w:lineRule="auto"/>
        <w:ind w:left="1876" w:right="0" w:hanging="699"/>
        <w:jc w:val="left"/>
        <w:rPr>
          <w:sz w:val="21"/>
        </w:rPr>
      </w:pPr>
      <w:r>
        <w:rPr>
          <w:sz w:val="21"/>
        </w:rPr>
        <w:t>三维多通道探地雷达系统参数应符合下列规定：</w:t>
      </w:r>
    </w:p>
    <w:p>
      <w:pPr>
        <w:pStyle w:val="BodyText"/>
        <w:spacing w:before="43"/>
        <w:ind w:left="1603"/>
      </w:pPr>
      <w:r>
        <w:rPr>
          <w:rFonts w:ascii="Cambria Math" w:eastAsia="Cambria Math" w:hAnsi="Cambria Math"/>
          <w:i/>
          <w:sz w:val="20"/>
        </w:rPr>
        <w:t xml:space="preserve">—— </w:t>
      </w:r>
      <w:r>
        <w:t>天线的同极化方向测线间距应小于或等于 14 cm；</w:t>
      </w:r>
    </w:p>
    <w:p>
      <w:pPr>
        <w:pStyle w:val="BodyText"/>
        <w:spacing w:before="43"/>
        <w:ind w:left="1603"/>
      </w:pPr>
      <w:r>
        <w:rPr>
          <w:rFonts w:ascii="Cambria Math" w:eastAsia="Cambria Math" w:hAnsi="Cambria Math"/>
          <w:i/>
          <w:sz w:val="20"/>
        </w:rPr>
        <w:t xml:space="preserve">—— </w:t>
      </w:r>
      <w:r>
        <w:t>天线阵列主频应为 200 MHz～500 MHz；</w:t>
      </w:r>
    </w:p>
    <w:p>
      <w:pPr>
        <w:pStyle w:val="BodyText"/>
        <w:spacing w:before="43"/>
        <w:ind w:left="1603"/>
      </w:pPr>
      <w:r>
        <w:rPr>
          <w:rFonts w:ascii="Cambria Math" w:eastAsia="Cambria Math" w:hAnsi="Cambria Math"/>
          <w:i/>
          <w:sz w:val="20"/>
        </w:rPr>
        <w:t xml:space="preserve">—— </w:t>
      </w:r>
      <w:r>
        <w:t>扫描道间距应小于或等于 5 cm/道；</w:t>
      </w:r>
    </w:p>
    <w:p>
      <w:pPr>
        <w:pStyle w:val="BodyText"/>
        <w:spacing w:before="43"/>
        <w:ind w:left="1603"/>
      </w:pPr>
      <w:r>
        <w:rPr>
          <w:rFonts w:ascii="Cambria Math" w:eastAsia="Cambria Math" w:hAnsi="Cambria Math"/>
          <w:i/>
          <w:sz w:val="20"/>
        </w:rPr>
        <w:t xml:space="preserve">—— </w:t>
      </w:r>
      <w:r>
        <w:t>信噪比应大于或等于 90 dB；</w:t>
      </w:r>
    </w:p>
    <w:p>
      <w:pPr>
        <w:pStyle w:val="BodyText"/>
        <w:spacing w:before="43"/>
        <w:ind w:left="1603"/>
      </w:pPr>
      <w:r>
        <w:rPr>
          <w:rFonts w:ascii="Cambria Math" w:eastAsia="Cambria Math" w:hAnsi="Cambria Math"/>
          <w:i/>
          <w:sz w:val="20"/>
        </w:rPr>
        <w:t xml:space="preserve">—— </w:t>
      </w:r>
      <w:r>
        <w:t>测距误差应小于或等于 0.1%；</w:t>
      </w:r>
    </w:p>
    <w:p>
      <w:pPr>
        <w:pStyle w:val="BodyText"/>
        <w:spacing w:before="43"/>
        <w:ind w:left="1603"/>
      </w:pPr>
      <w:r>
        <w:rPr>
          <w:rFonts w:ascii="Cambria Math" w:eastAsia="Cambria Math" w:hAnsi="Cambria Math"/>
          <w:i/>
          <w:sz w:val="20"/>
        </w:rPr>
        <w:t xml:space="preserve">—— </w:t>
      </w:r>
      <w:r>
        <w:t>A/D 转换的位数应大于或等于 16 位；</w:t>
      </w:r>
    </w:p>
    <w:p>
      <w:pPr>
        <w:pStyle w:val="BodyText"/>
        <w:spacing w:before="43"/>
        <w:ind w:left="1603"/>
      </w:pPr>
      <w:r>
        <w:rPr>
          <w:rFonts w:ascii="Cambria Math" w:eastAsia="Cambria Math" w:hAnsi="Cambria Math"/>
          <w:i/>
          <w:sz w:val="20"/>
        </w:rPr>
        <w:t xml:space="preserve">—— </w:t>
      </w:r>
      <w:r>
        <w:t>配置天线应具备屏蔽功能。</w:t>
      </w:r>
    </w:p>
    <w:p>
      <w:pPr>
        <w:pStyle w:val="BodyText"/>
        <w:spacing w:before="9"/>
        <w:rPr>
          <w:sz w:val="15"/>
        </w:rPr>
      </w:pPr>
    </w:p>
    <w:p>
      <w:pPr>
        <w:pStyle w:val="ListParagraph"/>
        <w:numPr>
          <w:ilvl w:val="1"/>
          <w:numId w:val="14"/>
        </w:numPr>
        <w:tabs>
          <w:tab w:val="left" w:pos="1678"/>
        </w:tabs>
        <w:spacing w:before="0" w:after="0" w:line="240" w:lineRule="auto"/>
        <w:ind w:left="1677" w:right="0" w:hanging="500"/>
        <w:jc w:val="left"/>
        <w:rPr>
          <w:rFonts w:ascii="黑体" w:eastAsia="黑体" w:hint="eastAsia"/>
          <w:sz w:val="21"/>
        </w:rPr>
      </w:pPr>
      <w:r>
        <w:drawing>
          <wp:anchor distT="0" distB="0" distL="0" distR="0" simplePos="0" relativeHeight="251679744" behindDoc="0" locked="0" layoutInCell="1" allowOverlap="1">
            <wp:simplePos x="0" y="0"/>
            <wp:positionH relativeFrom="page">
              <wp:posOffset>215900</wp:posOffset>
            </wp:positionH>
            <wp:positionV relativeFrom="paragraph">
              <wp:posOffset>30365</wp:posOffset>
            </wp:positionV>
            <wp:extent cx="7112000" cy="4876800"/>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bookmarkStart w:id="14" w:name="7.4　便携式探地雷达"/>
      <w:bookmarkEnd w:id="14"/>
      <w:r>
        <w:rPr>
          <w:rFonts w:ascii="黑体" w:eastAsia="黑体" w:hint="eastAsia"/>
          <w:sz w:val="21"/>
        </w:rPr>
        <w:t>便携式探地雷达</w:t>
      </w:r>
    </w:p>
    <w:p>
      <w:pPr>
        <w:pStyle w:val="BodyText"/>
        <w:spacing w:before="6"/>
        <w:rPr>
          <w:rFonts w:ascii="黑体"/>
          <w:sz w:val="15"/>
        </w:rPr>
      </w:pPr>
    </w:p>
    <w:p>
      <w:pPr>
        <w:pStyle w:val="ListParagraph"/>
        <w:numPr>
          <w:ilvl w:val="2"/>
          <w:numId w:val="14"/>
        </w:numPr>
        <w:tabs>
          <w:tab w:val="left" w:pos="1877"/>
        </w:tabs>
        <w:spacing w:before="0" w:after="0" w:line="240" w:lineRule="auto"/>
        <w:ind w:left="1876" w:right="0" w:hanging="699"/>
        <w:jc w:val="left"/>
        <w:rPr>
          <w:sz w:val="21"/>
        </w:rPr>
      </w:pPr>
      <w:r>
        <w:rPr>
          <w:sz w:val="21"/>
        </w:rPr>
        <w:t>便携式探地雷达应适应交叉路口、巷道、人行道等车载式探地雷达不便到达区域的探测。</w:t>
      </w:r>
    </w:p>
    <w:p>
      <w:pPr>
        <w:pStyle w:val="ListParagraph"/>
        <w:numPr>
          <w:ilvl w:val="2"/>
          <w:numId w:val="14"/>
        </w:numPr>
        <w:tabs>
          <w:tab w:val="left" w:pos="1877"/>
        </w:tabs>
        <w:spacing w:before="43" w:after="0" w:line="240" w:lineRule="auto"/>
        <w:ind w:left="1876" w:right="0" w:hanging="699"/>
        <w:jc w:val="left"/>
        <w:rPr>
          <w:sz w:val="21"/>
        </w:rPr>
      </w:pPr>
      <w:r>
        <w:rPr>
          <w:sz w:val="21"/>
        </w:rPr>
        <w:t>便携式探地雷达宜配备两种不同频率天线，以满足不同探测深度要求。</w:t>
      </w:r>
    </w:p>
    <w:p>
      <w:pPr>
        <w:pStyle w:val="ListParagraph"/>
        <w:numPr>
          <w:ilvl w:val="2"/>
          <w:numId w:val="14"/>
        </w:numPr>
        <w:tabs>
          <w:tab w:val="left" w:pos="1877"/>
        </w:tabs>
        <w:spacing w:before="43" w:after="0" w:line="240" w:lineRule="auto"/>
        <w:ind w:left="1876" w:right="0" w:hanging="699"/>
        <w:jc w:val="left"/>
        <w:rPr>
          <w:sz w:val="21"/>
        </w:rPr>
      </w:pPr>
      <w:r>
        <w:rPr>
          <w:sz w:val="21"/>
        </w:rPr>
        <w:t>便携式探地雷达参数应符合下列规定：</w:t>
      </w:r>
    </w:p>
    <w:p>
      <w:pPr>
        <w:pStyle w:val="BodyText"/>
        <w:spacing w:before="41"/>
        <w:ind w:left="1603"/>
      </w:pPr>
      <w:r>
        <w:rPr>
          <w:rFonts w:ascii="Cambria Math" w:eastAsia="Cambria Math" w:hAnsi="Cambria Math"/>
          <w:i/>
          <w:sz w:val="20"/>
        </w:rPr>
        <w:t xml:space="preserve">—— </w:t>
      </w:r>
      <w:r>
        <w:t>扫描道间距应小于或等于 2 cm/道；</w:t>
      </w:r>
    </w:p>
    <w:p>
      <w:pPr>
        <w:pStyle w:val="BodyText"/>
        <w:spacing w:before="43"/>
        <w:ind w:left="1603"/>
      </w:pPr>
      <w:r>
        <w:rPr>
          <w:rFonts w:ascii="Cambria Math" w:eastAsia="Cambria Math" w:hAnsi="Cambria Math"/>
          <w:i/>
          <w:sz w:val="20"/>
        </w:rPr>
        <w:t xml:space="preserve">—— </w:t>
      </w:r>
      <w:r>
        <w:t>扫描速率应大于或等于 300 道/s；</w:t>
      </w:r>
    </w:p>
    <w:p>
      <w:pPr>
        <w:pStyle w:val="BodyText"/>
        <w:spacing w:before="43"/>
        <w:ind w:left="1603"/>
      </w:pPr>
      <w:r>
        <w:rPr>
          <w:rFonts w:ascii="Cambria Math" w:eastAsia="Cambria Math" w:hAnsi="Cambria Math"/>
          <w:i/>
          <w:sz w:val="20"/>
        </w:rPr>
        <w:t xml:space="preserve">—— </w:t>
      </w:r>
      <w:r>
        <w:t>探测时窗应为 0 ns～512 ns；</w:t>
      </w:r>
    </w:p>
    <w:p>
      <w:pPr>
        <w:pStyle w:val="BodyText"/>
        <w:spacing w:before="43"/>
        <w:ind w:left="1603"/>
      </w:pPr>
      <w:r>
        <w:rPr>
          <w:rFonts w:ascii="Cambria Math" w:eastAsia="Cambria Math" w:hAnsi="Cambria Math"/>
          <w:i/>
          <w:sz w:val="20"/>
        </w:rPr>
        <w:t xml:space="preserve">—— </w:t>
      </w:r>
      <w:r>
        <w:t>信噪比应大于或等于 90 dB；</w:t>
      </w:r>
    </w:p>
    <w:p>
      <w:pPr>
        <w:pStyle w:val="BodyText"/>
        <w:spacing w:before="43"/>
        <w:ind w:left="1603"/>
      </w:pPr>
      <w:r>
        <w:rPr>
          <w:rFonts w:ascii="Cambria Math" w:eastAsia="Cambria Math" w:hAnsi="Cambria Math"/>
          <w:i/>
          <w:sz w:val="20"/>
        </w:rPr>
        <w:t xml:space="preserve">—— </w:t>
      </w:r>
      <w:r>
        <w:t>测距误差应小于或等于 0.1%；</w:t>
      </w:r>
    </w:p>
    <w:p>
      <w:pPr>
        <w:pStyle w:val="BodyText"/>
        <w:spacing w:before="43"/>
        <w:ind w:left="1603"/>
      </w:pPr>
      <w:r>
        <w:rPr>
          <w:rFonts w:ascii="Cambria Math" w:eastAsia="Cambria Math" w:hAnsi="Cambria Math"/>
          <w:i/>
          <w:sz w:val="20"/>
        </w:rPr>
        <w:t xml:space="preserve">—— </w:t>
      </w:r>
      <w:r>
        <w:t>A/D 转换的位数应大于或等于 16 位；</w:t>
      </w:r>
    </w:p>
    <w:p>
      <w:pPr>
        <w:pStyle w:val="BodyText"/>
        <w:spacing w:before="43"/>
        <w:ind w:left="1603"/>
      </w:pPr>
      <w:r>
        <w:rPr>
          <w:rFonts w:ascii="Cambria Math" w:eastAsia="Cambria Math" w:hAnsi="Cambria Math"/>
          <w:i/>
          <w:sz w:val="20"/>
        </w:rPr>
        <w:t xml:space="preserve">—— </w:t>
      </w:r>
      <w:r>
        <w:t>配置天线应具备屏蔽功能。</w:t>
      </w:r>
    </w:p>
    <w:p>
      <w:pPr>
        <w:pStyle w:val="BodyText"/>
        <w:spacing w:before="8"/>
        <w:rPr>
          <w:sz w:val="15"/>
        </w:rPr>
      </w:pPr>
    </w:p>
    <w:p>
      <w:pPr>
        <w:pStyle w:val="ListParagraph"/>
        <w:numPr>
          <w:ilvl w:val="1"/>
          <w:numId w:val="14"/>
        </w:numPr>
        <w:tabs>
          <w:tab w:val="left" w:pos="1678"/>
        </w:tabs>
        <w:spacing w:before="1" w:after="0" w:line="240" w:lineRule="auto"/>
        <w:ind w:left="1677" w:right="0" w:hanging="500"/>
        <w:jc w:val="left"/>
        <w:rPr>
          <w:rFonts w:ascii="黑体" w:eastAsia="黑体" w:hint="eastAsia"/>
          <w:sz w:val="21"/>
        </w:rPr>
      </w:pPr>
      <w:bookmarkStart w:id="15" w:name="7.5　定位设备"/>
      <w:bookmarkEnd w:id="15"/>
      <w:r>
        <w:rPr>
          <w:rFonts w:ascii="黑体" w:eastAsia="黑体" w:hint="eastAsia"/>
          <w:sz w:val="21"/>
        </w:rPr>
        <w:t>定位设备</w:t>
      </w:r>
    </w:p>
    <w:p>
      <w:pPr>
        <w:pStyle w:val="BodyText"/>
        <w:spacing w:before="6"/>
        <w:rPr>
          <w:rFonts w:ascii="黑体"/>
          <w:sz w:val="15"/>
        </w:rPr>
      </w:pPr>
    </w:p>
    <w:p>
      <w:pPr>
        <w:pStyle w:val="ListParagraph"/>
        <w:numPr>
          <w:ilvl w:val="2"/>
          <w:numId w:val="14"/>
        </w:numPr>
        <w:tabs>
          <w:tab w:val="left" w:pos="1877"/>
        </w:tabs>
        <w:spacing w:before="0" w:after="0" w:line="276" w:lineRule="auto"/>
        <w:ind w:left="1178" w:right="768" w:firstLine="0"/>
        <w:jc w:val="both"/>
        <w:rPr>
          <w:sz w:val="21"/>
        </w:rPr>
      </w:pPr>
      <w:r>
        <w:rPr>
          <w:spacing w:val="-3"/>
          <w:w w:val="95"/>
          <w:sz w:val="21"/>
        </w:rPr>
        <w:t xml:space="preserve">定位设备应能在城镇道路坍塌隐患雷达探测作业过程中快速、实时为探测系统定位，提供目标、   </w:t>
      </w:r>
      <w:r>
        <w:rPr>
          <w:spacing w:val="-3"/>
          <w:sz w:val="21"/>
        </w:rPr>
        <w:t>雷达和运载平台的空间位置、探测时的运行轨迹和雷达数据联动视频。</w:t>
      </w:r>
    </w:p>
    <w:p>
      <w:pPr>
        <w:pStyle w:val="ListParagraph"/>
        <w:numPr>
          <w:ilvl w:val="2"/>
          <w:numId w:val="14"/>
        </w:numPr>
        <w:tabs>
          <w:tab w:val="left" w:pos="1877"/>
        </w:tabs>
        <w:spacing w:before="8" w:after="0" w:line="240" w:lineRule="auto"/>
        <w:ind w:left="1876" w:right="0" w:hanging="699"/>
        <w:jc w:val="both"/>
        <w:rPr>
          <w:sz w:val="21"/>
        </w:rPr>
      </w:pPr>
      <w:r>
        <w:rPr>
          <w:sz w:val="21"/>
        </w:rPr>
        <w:t>定位设备应包括下列功能：</w:t>
      </w:r>
    </w:p>
    <w:p>
      <w:pPr>
        <w:pStyle w:val="BodyText"/>
        <w:spacing w:before="43" w:line="278" w:lineRule="auto"/>
        <w:ind w:left="2028" w:right="978" w:hanging="425"/>
        <w:jc w:val="both"/>
      </w:pPr>
      <w:r>
        <w:rPr>
          <w:rFonts w:ascii="Cambria Math" w:eastAsia="Cambria Math" w:hAnsi="Cambria Math"/>
          <w:i/>
          <w:spacing w:val="-10"/>
          <w:sz w:val="20"/>
        </w:rPr>
        <w:t xml:space="preserve">—— </w:t>
      </w:r>
      <w:r>
        <w:t>定位设备应能与探测设备进行关联，探测设备通过获取定位设备端口、波特率、数据位长、</w:t>
      </w:r>
      <w:r>
        <w:rPr>
          <w:w w:val="95"/>
        </w:rPr>
        <w:t xml:space="preserve">停止位、奇偶校验等信息，可将地理信息系统连接到选定的定位设备，对定位数据进行管理   </w:t>
      </w:r>
      <w:r>
        <w:t>显示；</w:t>
      </w:r>
    </w:p>
    <w:p>
      <w:pPr>
        <w:pStyle w:val="BodyText"/>
        <w:spacing w:line="278" w:lineRule="auto"/>
        <w:ind w:left="2028" w:right="925" w:hanging="425"/>
        <w:jc w:val="both"/>
      </w:pPr>
      <w:r>
        <w:rPr>
          <w:rFonts w:ascii="Cambria Math" w:eastAsia="Cambria Math" w:hAnsi="Cambria Math"/>
          <w:i/>
          <w:spacing w:val="-8"/>
          <w:sz w:val="20"/>
        </w:rPr>
        <w:t xml:space="preserve">—— </w:t>
      </w:r>
      <w:r>
        <w:rPr>
          <w:spacing w:val="-3"/>
        </w:rPr>
        <w:t xml:space="preserve">雷达探测时，定位设备应能同步记录每个探测点的 </w:t>
      </w:r>
      <w:r>
        <w:t>X、Y、Z</w:t>
      </w:r>
      <w:r>
        <w:rPr>
          <w:spacing w:val="-3"/>
        </w:rPr>
        <w:t xml:space="preserve"> 空间坐标，将该坐标导入到地理信息图形显示系统后，可实现探测工作的定位、导航；</w:t>
      </w:r>
    </w:p>
    <w:p>
      <w:pPr>
        <w:pStyle w:val="BodyText"/>
        <w:spacing w:line="269" w:lineRule="exact"/>
        <w:ind w:left="1603"/>
        <w:jc w:val="both"/>
      </w:pPr>
      <w:r>
        <w:rPr>
          <w:rFonts w:ascii="Cambria Math" w:eastAsia="Cambria Math" w:hAnsi="Cambria Math"/>
          <w:i/>
          <w:sz w:val="20"/>
        </w:rPr>
        <w:t xml:space="preserve">—— </w:t>
      </w:r>
      <w:r>
        <w:t>定位设备应能显示探测点轨迹线，应能读取异常点坐标信息；</w:t>
      </w:r>
    </w:p>
    <w:p>
      <w:pPr>
        <w:pStyle w:val="BodyText"/>
        <w:spacing w:before="6"/>
        <w:rPr>
          <w:sz w:val="16"/>
        </w:rPr>
      </w:pPr>
    </w:p>
    <w:p>
      <w:pPr>
        <w:spacing w:before="75"/>
        <w:ind w:left="0" w:right="1104" w:firstLine="0"/>
        <w:jc w:val="right"/>
        <w:rPr>
          <w:sz w:val="18"/>
        </w:rPr>
      </w:pPr>
      <w:r>
        <w:rPr>
          <w:sz w:val="18"/>
        </w:rPr>
        <w:t>6</w:t>
      </w:r>
    </w:p>
    <w:p>
      <w:pPr>
        <w:spacing w:after="0"/>
        <w:jc w:val="right"/>
        <w:rPr>
          <w:sz w:val="18"/>
        </w:rPr>
        <w:sectPr>
          <w:headerReference w:type="default" r:id="rId13"/>
          <w:pgSz w:w="11910" w:h="16840"/>
          <w:pgMar w:top="1640" w:right="260" w:bottom="280" w:left="240" w:header="1449" w:footer="0"/>
          <w:pgNumType w:start="9"/>
          <w:cols w:space="708"/>
        </w:sectPr>
      </w:pPr>
    </w:p>
    <w:p>
      <w:pPr>
        <w:pStyle w:val="BodyText"/>
        <w:rPr>
          <w:sz w:val="20"/>
        </w:rPr>
      </w:pPr>
    </w:p>
    <w:p>
      <w:pPr>
        <w:pStyle w:val="BodyText"/>
        <w:rPr>
          <w:sz w:val="20"/>
        </w:rPr>
      </w:pPr>
    </w:p>
    <w:p>
      <w:pPr>
        <w:pStyle w:val="BodyText"/>
        <w:spacing w:before="2"/>
        <w:rPr>
          <w:sz w:val="14"/>
        </w:rPr>
      </w:pPr>
    </w:p>
    <w:p>
      <w:pPr>
        <w:pStyle w:val="BodyText"/>
        <w:spacing w:before="79"/>
        <w:ind w:left="1603"/>
      </w:pPr>
      <w:r>
        <w:rPr>
          <w:rFonts w:ascii="Cambria Math" w:eastAsia="Cambria Math" w:hAnsi="Cambria Math"/>
          <w:i/>
          <w:sz w:val="20"/>
        </w:rPr>
        <w:t xml:space="preserve">—— </w:t>
      </w:r>
      <w:r>
        <w:t>定位设备的选定应根据测量的精度和移动速度确定；</w:t>
      </w:r>
    </w:p>
    <w:p>
      <w:pPr>
        <w:pStyle w:val="BodyText"/>
        <w:spacing w:before="43"/>
        <w:ind w:left="1603"/>
      </w:pPr>
      <w:r>
        <w:rPr>
          <w:rFonts w:ascii="Cambria Math" w:eastAsia="Cambria Math" w:hAnsi="Cambria Math"/>
          <w:i/>
          <w:sz w:val="20"/>
        </w:rPr>
        <w:t xml:space="preserve">—— </w:t>
      </w:r>
      <w:r>
        <w:t>定位数据平面精度应 ≤ 500 mm；</w:t>
      </w:r>
    </w:p>
    <w:p>
      <w:pPr>
        <w:pStyle w:val="BodyText"/>
        <w:spacing w:before="43"/>
        <w:ind w:left="1603"/>
      </w:pPr>
      <w:r>
        <w:rPr>
          <w:rFonts w:ascii="Cambria Math" w:eastAsia="Cambria Math" w:hAnsi="Cambria Math"/>
          <w:i/>
          <w:sz w:val="20"/>
        </w:rPr>
        <w:t xml:space="preserve">—— </w:t>
      </w:r>
      <w:r>
        <w:t>数据采样间隔应 ≤ 0.2 s。</w:t>
      </w:r>
    </w:p>
    <w:p>
      <w:pPr>
        <w:pStyle w:val="BodyText"/>
        <w:spacing w:before="7"/>
        <w:rPr>
          <w:sz w:val="15"/>
        </w:rPr>
      </w:pPr>
    </w:p>
    <w:p>
      <w:pPr>
        <w:pStyle w:val="ListParagraph"/>
        <w:numPr>
          <w:ilvl w:val="1"/>
          <w:numId w:val="14"/>
        </w:numPr>
        <w:tabs>
          <w:tab w:val="left" w:pos="1678"/>
        </w:tabs>
        <w:spacing w:before="0" w:after="0" w:line="240" w:lineRule="auto"/>
        <w:ind w:left="1677" w:right="0" w:hanging="500"/>
        <w:jc w:val="left"/>
        <w:rPr>
          <w:rFonts w:ascii="黑体" w:eastAsia="黑体" w:hint="eastAsia"/>
          <w:sz w:val="21"/>
        </w:rPr>
      </w:pPr>
      <w:bookmarkStart w:id="16" w:name="7.6　视频设备"/>
      <w:bookmarkEnd w:id="16"/>
      <w:r>
        <w:rPr>
          <w:rFonts w:ascii="黑体" w:eastAsia="黑体" w:hint="eastAsia"/>
          <w:sz w:val="21"/>
        </w:rPr>
        <w:t>视频设备</w:t>
      </w:r>
    </w:p>
    <w:p>
      <w:pPr>
        <w:pStyle w:val="BodyText"/>
        <w:spacing w:before="6"/>
        <w:rPr>
          <w:rFonts w:ascii="黑体"/>
          <w:sz w:val="15"/>
        </w:rPr>
      </w:pPr>
    </w:p>
    <w:p>
      <w:pPr>
        <w:pStyle w:val="ListParagraph"/>
        <w:numPr>
          <w:ilvl w:val="2"/>
          <w:numId w:val="14"/>
        </w:numPr>
        <w:tabs>
          <w:tab w:val="left" w:pos="1877"/>
        </w:tabs>
        <w:spacing w:before="1" w:after="0" w:line="240" w:lineRule="auto"/>
        <w:ind w:left="1876" w:right="0" w:hanging="699"/>
        <w:jc w:val="left"/>
        <w:rPr>
          <w:sz w:val="21"/>
        </w:rPr>
      </w:pPr>
      <w:r>
        <w:rPr>
          <w:sz w:val="21"/>
        </w:rPr>
        <w:t>视频设备宜由摄像机、传输线缆、视频监控平台组成。</w:t>
      </w:r>
    </w:p>
    <w:p>
      <w:pPr>
        <w:pStyle w:val="ListParagraph"/>
        <w:numPr>
          <w:ilvl w:val="2"/>
          <w:numId w:val="14"/>
        </w:numPr>
        <w:tabs>
          <w:tab w:val="left" w:pos="1877"/>
        </w:tabs>
        <w:spacing w:before="47" w:after="0" w:line="240" w:lineRule="auto"/>
        <w:ind w:left="1876" w:right="0" w:hanging="699"/>
        <w:jc w:val="left"/>
        <w:rPr>
          <w:sz w:val="21"/>
        </w:rPr>
      </w:pPr>
      <w:r>
        <w:rPr>
          <w:sz w:val="21"/>
        </w:rPr>
        <w:t>视频数据应与定位信息、雷达数据进行同步，辅助判别雷达异常区域。</w:t>
      </w:r>
    </w:p>
    <w:p>
      <w:pPr>
        <w:pStyle w:val="BodyText"/>
        <w:spacing w:before="7"/>
        <w:rPr>
          <w:sz w:val="15"/>
        </w:rPr>
      </w:pPr>
    </w:p>
    <w:p>
      <w:pPr>
        <w:pStyle w:val="ListParagraph"/>
        <w:numPr>
          <w:ilvl w:val="1"/>
          <w:numId w:val="14"/>
        </w:numPr>
        <w:tabs>
          <w:tab w:val="left" w:pos="1678"/>
        </w:tabs>
        <w:spacing w:before="0" w:after="0" w:line="240" w:lineRule="auto"/>
        <w:ind w:left="1677" w:right="0" w:hanging="500"/>
        <w:jc w:val="left"/>
        <w:rPr>
          <w:rFonts w:ascii="黑体" w:eastAsia="黑体" w:hint="eastAsia"/>
          <w:sz w:val="21"/>
        </w:rPr>
      </w:pPr>
      <w:bookmarkStart w:id="17" w:name="7.7　辅助设备"/>
      <w:bookmarkEnd w:id="17"/>
      <w:r>
        <w:rPr>
          <w:rFonts w:ascii="黑体" w:eastAsia="黑体" w:hint="eastAsia"/>
          <w:sz w:val="21"/>
        </w:rPr>
        <w:t>辅助设备</w:t>
      </w:r>
    </w:p>
    <w:p>
      <w:pPr>
        <w:pStyle w:val="BodyText"/>
        <w:spacing w:before="7"/>
        <w:rPr>
          <w:rFonts w:ascii="黑体"/>
          <w:sz w:val="15"/>
        </w:rPr>
      </w:pPr>
    </w:p>
    <w:p>
      <w:pPr>
        <w:pStyle w:val="ListParagraph"/>
        <w:numPr>
          <w:ilvl w:val="2"/>
          <w:numId w:val="14"/>
        </w:numPr>
        <w:tabs>
          <w:tab w:val="left" w:pos="1877"/>
        </w:tabs>
        <w:spacing w:before="0" w:after="0" w:line="240" w:lineRule="auto"/>
        <w:ind w:left="1876" w:right="0" w:hanging="699"/>
        <w:jc w:val="left"/>
        <w:rPr>
          <w:sz w:val="21"/>
        </w:rPr>
      </w:pPr>
      <w:r>
        <w:rPr>
          <w:sz w:val="21"/>
        </w:rPr>
        <w:t>辅助设备的电源供电方式包括车体供电、蓄电池供电及两者兼用三种供电方式。</w:t>
      </w:r>
    </w:p>
    <w:p>
      <w:pPr>
        <w:pStyle w:val="ListParagraph"/>
        <w:numPr>
          <w:ilvl w:val="2"/>
          <w:numId w:val="14"/>
        </w:numPr>
        <w:tabs>
          <w:tab w:val="left" w:pos="1877"/>
        </w:tabs>
        <w:spacing w:before="43" w:after="0" w:line="240" w:lineRule="auto"/>
        <w:ind w:left="1876" w:right="0" w:hanging="699"/>
        <w:jc w:val="left"/>
        <w:rPr>
          <w:sz w:val="21"/>
        </w:rPr>
      </w:pPr>
      <w:r>
        <w:rPr>
          <w:sz w:val="21"/>
        </w:rPr>
        <w:t>同步控制系统应由距离测量装置（DMI）进行触发，可单独控制各设备的触发间隔。</w:t>
      </w:r>
    </w:p>
    <w:p>
      <w:pPr>
        <w:pStyle w:val="BodyText"/>
        <w:spacing w:before="6"/>
        <w:rPr>
          <w:sz w:val="15"/>
        </w:rPr>
      </w:pPr>
    </w:p>
    <w:p>
      <w:pPr>
        <w:pStyle w:val="ListParagraph"/>
        <w:numPr>
          <w:ilvl w:val="1"/>
          <w:numId w:val="14"/>
        </w:numPr>
        <w:tabs>
          <w:tab w:val="left" w:pos="1678"/>
        </w:tabs>
        <w:spacing w:before="1" w:after="0" w:line="240" w:lineRule="auto"/>
        <w:ind w:left="1677" w:right="0" w:hanging="500"/>
        <w:jc w:val="left"/>
        <w:rPr>
          <w:rFonts w:ascii="黑体" w:eastAsia="黑体" w:hint="eastAsia"/>
          <w:sz w:val="21"/>
        </w:rPr>
      </w:pPr>
      <w:bookmarkStart w:id="18" w:name="7.8　数据采集软件"/>
      <w:bookmarkEnd w:id="18"/>
      <w:r>
        <w:rPr>
          <w:rFonts w:ascii="黑体" w:eastAsia="黑体" w:hint="eastAsia"/>
          <w:sz w:val="21"/>
        </w:rPr>
        <w:t>数据采集软件</w:t>
      </w:r>
    </w:p>
    <w:p>
      <w:pPr>
        <w:pStyle w:val="BodyText"/>
        <w:spacing w:before="6"/>
        <w:rPr>
          <w:rFonts w:ascii="黑体"/>
          <w:sz w:val="15"/>
        </w:rPr>
      </w:pPr>
    </w:p>
    <w:p>
      <w:pPr>
        <w:pStyle w:val="ListParagraph"/>
        <w:numPr>
          <w:ilvl w:val="2"/>
          <w:numId w:val="14"/>
        </w:numPr>
        <w:tabs>
          <w:tab w:val="left" w:pos="1877"/>
        </w:tabs>
        <w:spacing w:before="0" w:after="0" w:line="276" w:lineRule="auto"/>
        <w:ind w:left="1178" w:right="875" w:firstLine="0"/>
        <w:jc w:val="left"/>
        <w:rPr>
          <w:sz w:val="21"/>
        </w:rPr>
      </w:pPr>
      <w:r>
        <w:rPr>
          <w:sz w:val="21"/>
        </w:rPr>
        <w:t>采集控制软件应能实现对探测系统的控制，包括对雷达数据和定位数据的实时采集、存储与显示。</w:t>
      </w:r>
    </w:p>
    <w:p>
      <w:pPr>
        <w:pStyle w:val="ListParagraph"/>
        <w:numPr>
          <w:ilvl w:val="2"/>
          <w:numId w:val="14"/>
        </w:numPr>
        <w:tabs>
          <w:tab w:val="left" w:pos="1877"/>
        </w:tabs>
        <w:spacing w:before="8" w:after="0" w:line="240" w:lineRule="auto"/>
        <w:ind w:left="1876" w:right="0" w:hanging="699"/>
        <w:jc w:val="left"/>
        <w:rPr>
          <w:sz w:val="21"/>
        </w:rPr>
      </w:pPr>
      <w:r>
        <w:rPr>
          <w:sz w:val="21"/>
        </w:rPr>
        <w:t>采集控制软件应具备下列功能：</w:t>
      </w:r>
    </w:p>
    <w:p>
      <w:pPr>
        <w:pStyle w:val="BodyText"/>
        <w:spacing w:before="45"/>
        <w:ind w:left="1603"/>
      </w:pPr>
      <w:r>
        <w:rPr>
          <w:rFonts w:ascii="Cambria Math" w:eastAsia="Cambria Math" w:hAnsi="Cambria Math"/>
          <w:i/>
          <w:sz w:val="20"/>
        </w:rPr>
        <w:t xml:space="preserve">—— </w:t>
      </w:r>
      <w:r>
        <w:t>控制设备的启停，监测设备的运行状态；</w:t>
      </w:r>
    </w:p>
    <w:p>
      <w:pPr>
        <w:pStyle w:val="BodyText"/>
        <w:spacing w:before="43"/>
        <w:ind w:left="1603"/>
      </w:pPr>
      <w:r>
        <w:rPr>
          <w:rFonts w:ascii="Cambria Math" w:eastAsia="Cambria Math" w:hAnsi="Cambria Math"/>
          <w:i/>
          <w:sz w:val="20"/>
        </w:rPr>
        <w:t xml:space="preserve">—— </w:t>
      </w:r>
      <w:r>
        <w:t>对雷达设备、定位设备、视频设备的参数进行设定，实现数据的创建、存储和显示；</w:t>
      </w:r>
    </w:p>
    <w:p>
      <w:pPr>
        <w:pStyle w:val="BodyText"/>
        <w:spacing w:before="43"/>
        <w:ind w:left="1603"/>
      </w:pPr>
      <w:r>
        <w:drawing>
          <wp:anchor distT="0" distB="0" distL="0" distR="0" simplePos="0" relativeHeight="251680768" behindDoc="0" locked="0" layoutInCell="1" allowOverlap="1">
            <wp:simplePos x="0" y="0"/>
            <wp:positionH relativeFrom="page">
              <wp:posOffset>215900</wp:posOffset>
            </wp:positionH>
            <wp:positionV relativeFrom="paragraph">
              <wp:posOffset>155194</wp:posOffset>
            </wp:positionV>
            <wp:extent cx="7112000" cy="4876800"/>
            <wp:effectExtent l="0" t="0" r="0" b="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rFonts w:ascii="Cambria Math" w:eastAsia="Cambria Math" w:hAnsi="Cambria Math"/>
          <w:i/>
          <w:sz w:val="20"/>
        </w:rPr>
        <w:t xml:space="preserve">—— </w:t>
      </w:r>
      <w:r>
        <w:t>提供基于地理信息系统的实时探测轨迹显示；</w:t>
      </w:r>
    </w:p>
    <w:p>
      <w:pPr>
        <w:pStyle w:val="BodyText"/>
        <w:spacing w:before="43"/>
        <w:ind w:left="1603"/>
      </w:pPr>
      <w:r>
        <w:rPr>
          <w:rFonts w:ascii="Cambria Math" w:eastAsia="Cambria Math" w:hAnsi="Cambria Math"/>
          <w:i/>
          <w:sz w:val="20"/>
        </w:rPr>
        <w:t xml:space="preserve">—— </w:t>
      </w:r>
      <w:r>
        <w:t>实现雷达数据与视频数据的同步回放和关联定位；</w:t>
      </w:r>
    </w:p>
    <w:p>
      <w:pPr>
        <w:spacing w:before="43"/>
        <w:ind w:left="1603" w:right="0" w:firstLine="0"/>
        <w:jc w:val="left"/>
        <w:rPr>
          <w:sz w:val="21"/>
        </w:rPr>
      </w:pPr>
      <w:r>
        <w:rPr>
          <w:rFonts w:ascii="Cambria Math" w:eastAsia="Cambria Math" w:hAnsi="Cambria Math"/>
          <w:i/>
          <w:sz w:val="20"/>
        </w:rPr>
        <w:t xml:space="preserve">—— </w:t>
      </w:r>
      <w:r>
        <w:rPr>
          <w:sz w:val="21"/>
        </w:rPr>
        <w:t>采集数据的导出功能。</w:t>
      </w:r>
    </w:p>
    <w:p>
      <w:pPr>
        <w:pStyle w:val="BodyText"/>
        <w:spacing w:before="7"/>
        <w:rPr>
          <w:sz w:val="15"/>
        </w:rPr>
      </w:pPr>
    </w:p>
    <w:p>
      <w:pPr>
        <w:pStyle w:val="ListParagraph"/>
        <w:numPr>
          <w:ilvl w:val="1"/>
          <w:numId w:val="14"/>
        </w:numPr>
        <w:tabs>
          <w:tab w:val="left" w:pos="1678"/>
        </w:tabs>
        <w:spacing w:before="0" w:after="0" w:line="240" w:lineRule="auto"/>
        <w:ind w:left="1677" w:right="0" w:hanging="500"/>
        <w:jc w:val="left"/>
        <w:rPr>
          <w:rFonts w:ascii="黑体" w:eastAsia="黑体" w:hint="eastAsia"/>
          <w:sz w:val="21"/>
        </w:rPr>
      </w:pPr>
      <w:bookmarkStart w:id="19" w:name="7.9　数据解译软件"/>
      <w:bookmarkEnd w:id="19"/>
      <w:r>
        <w:rPr>
          <w:rFonts w:ascii="黑体" w:eastAsia="黑体" w:hint="eastAsia"/>
          <w:sz w:val="21"/>
        </w:rPr>
        <w:t>数据解译软件</w:t>
      </w:r>
    </w:p>
    <w:p>
      <w:pPr>
        <w:pStyle w:val="BodyText"/>
        <w:spacing w:before="6"/>
        <w:rPr>
          <w:rFonts w:ascii="黑体"/>
          <w:sz w:val="15"/>
        </w:rPr>
      </w:pPr>
    </w:p>
    <w:p>
      <w:pPr>
        <w:pStyle w:val="ListParagraph"/>
        <w:numPr>
          <w:ilvl w:val="2"/>
          <w:numId w:val="14"/>
        </w:numPr>
        <w:tabs>
          <w:tab w:val="left" w:pos="1877"/>
        </w:tabs>
        <w:spacing w:before="0" w:after="0" w:line="240" w:lineRule="auto"/>
        <w:ind w:left="1876" w:right="0" w:hanging="699"/>
        <w:jc w:val="left"/>
        <w:rPr>
          <w:sz w:val="21"/>
        </w:rPr>
      </w:pPr>
      <w:r>
        <w:rPr>
          <w:sz w:val="21"/>
        </w:rPr>
        <w:t>数据解译软件应能实现对雷达数据和定位数据的处理，识别并定位道路坍塌隐患疑似点。</w:t>
      </w:r>
    </w:p>
    <w:p>
      <w:pPr>
        <w:pStyle w:val="ListParagraph"/>
        <w:numPr>
          <w:ilvl w:val="2"/>
          <w:numId w:val="14"/>
        </w:numPr>
        <w:tabs>
          <w:tab w:val="left" w:pos="1877"/>
        </w:tabs>
        <w:spacing w:before="46" w:after="0" w:line="240" w:lineRule="auto"/>
        <w:ind w:left="1876" w:right="0" w:hanging="699"/>
        <w:jc w:val="left"/>
        <w:rPr>
          <w:sz w:val="21"/>
        </w:rPr>
      </w:pPr>
      <w:r>
        <w:rPr>
          <w:sz w:val="21"/>
        </w:rPr>
        <w:t>数据解译软件应使用国产自主知识产权解译软件。</w:t>
      </w:r>
    </w:p>
    <w:p>
      <w:pPr>
        <w:pStyle w:val="ListParagraph"/>
        <w:numPr>
          <w:ilvl w:val="2"/>
          <w:numId w:val="14"/>
        </w:numPr>
        <w:tabs>
          <w:tab w:val="left" w:pos="1877"/>
        </w:tabs>
        <w:spacing w:before="48" w:after="0" w:line="240" w:lineRule="auto"/>
        <w:ind w:left="1876" w:right="0" w:hanging="699"/>
        <w:jc w:val="left"/>
        <w:rPr>
          <w:sz w:val="21"/>
        </w:rPr>
      </w:pPr>
      <w:r>
        <w:rPr>
          <w:sz w:val="21"/>
        </w:rPr>
        <w:t>数据解译软件应具备下列功能：</w:t>
      </w:r>
    </w:p>
    <w:p>
      <w:pPr>
        <w:pStyle w:val="BodyText"/>
        <w:spacing w:before="40"/>
        <w:ind w:left="1603"/>
      </w:pPr>
      <w:r>
        <w:rPr>
          <w:rFonts w:ascii="Cambria Math" w:eastAsia="Cambria Math" w:hAnsi="Cambria Math"/>
          <w:i/>
          <w:sz w:val="20"/>
        </w:rPr>
        <w:t xml:space="preserve">—— </w:t>
      </w:r>
      <w:r>
        <w:t>文件管理：包括数据打开、数据存储、文件的检索和过滤；</w:t>
      </w:r>
    </w:p>
    <w:p>
      <w:pPr>
        <w:pStyle w:val="BodyText"/>
        <w:spacing w:before="43"/>
        <w:ind w:left="1603"/>
      </w:pPr>
      <w:r>
        <w:rPr>
          <w:rFonts w:ascii="Cambria Math" w:eastAsia="Cambria Math" w:hAnsi="Cambria Math"/>
          <w:i/>
          <w:sz w:val="20"/>
        </w:rPr>
        <w:t xml:space="preserve">—— </w:t>
      </w:r>
      <w:r>
        <w:t>数据预处理：包括数据自检、数据转换和数据整理；</w:t>
      </w:r>
    </w:p>
    <w:p>
      <w:pPr>
        <w:pStyle w:val="BodyText"/>
        <w:spacing w:before="43" w:line="278" w:lineRule="auto"/>
        <w:ind w:left="2028" w:right="930" w:hanging="425"/>
      </w:pPr>
      <w:r>
        <w:rPr>
          <w:rFonts w:ascii="Cambria Math" w:eastAsia="Cambria Math" w:hAnsi="Cambria Math"/>
          <w:i/>
          <w:sz w:val="20"/>
        </w:rPr>
        <w:t xml:space="preserve">—— </w:t>
      </w:r>
      <w:r>
        <w:t>雷达数据处理：包括零点校正、去除背景干扰信号、去除直流偏置信号、信号带通滤波、去除多次反射、三维偏移处理、信号增益调节等；</w:t>
      </w:r>
    </w:p>
    <w:p>
      <w:pPr>
        <w:pStyle w:val="BodyText"/>
        <w:spacing w:line="269" w:lineRule="exact"/>
        <w:ind w:left="1603"/>
      </w:pPr>
      <w:r>
        <w:rPr>
          <w:rFonts w:ascii="Cambria Math" w:eastAsia="Cambria Math" w:hAnsi="Cambria Math"/>
          <w:i/>
          <w:sz w:val="20"/>
        </w:rPr>
        <w:t xml:space="preserve">—— </w:t>
      </w:r>
      <w:r>
        <w:t>实时回放：包括雷达数据、视频数据和探测轨迹的同步回放；</w:t>
      </w:r>
    </w:p>
    <w:p>
      <w:pPr>
        <w:pStyle w:val="BodyText"/>
        <w:spacing w:before="43"/>
        <w:ind w:left="1603"/>
      </w:pPr>
      <w:r>
        <w:rPr>
          <w:rFonts w:ascii="Cambria Math" w:eastAsia="Cambria Math" w:hAnsi="Cambria Math"/>
          <w:i/>
          <w:sz w:val="20"/>
        </w:rPr>
        <w:t xml:space="preserve">—— </w:t>
      </w:r>
      <w:r>
        <w:t>城镇道路坍塌隐患识别分析和定位：包括隐患标记，信息同步和数据输出等。</w:t>
      </w:r>
    </w:p>
    <w:p>
      <w:pPr>
        <w:pStyle w:val="BodyText"/>
        <w:spacing w:before="11"/>
        <w:rPr>
          <w:sz w:val="27"/>
        </w:rPr>
      </w:pPr>
    </w:p>
    <w:p>
      <w:pPr>
        <w:pStyle w:val="ListParagraph"/>
        <w:numPr>
          <w:ilvl w:val="0"/>
          <w:numId w:val="13"/>
        </w:numPr>
        <w:tabs>
          <w:tab w:val="left" w:pos="1479"/>
        </w:tabs>
        <w:spacing w:before="0" w:after="0" w:line="240" w:lineRule="auto"/>
        <w:ind w:left="1478" w:right="0" w:hanging="301"/>
        <w:jc w:val="left"/>
        <w:rPr>
          <w:rFonts w:ascii="黑体" w:eastAsia="黑体" w:hint="eastAsia"/>
          <w:sz w:val="21"/>
        </w:rPr>
      </w:pPr>
      <w:bookmarkStart w:id="20" w:name="8　探测方法与流程"/>
      <w:bookmarkEnd w:id="20"/>
      <w:r>
        <w:rPr>
          <w:rFonts w:ascii="黑体" w:eastAsia="黑体" w:hint="eastAsia"/>
          <w:sz w:val="21"/>
        </w:rPr>
        <w:t>探测方法与流程</w:t>
      </w:r>
    </w:p>
    <w:p>
      <w:pPr>
        <w:pStyle w:val="BodyText"/>
        <w:spacing w:before="9"/>
        <w:rPr>
          <w:rFonts w:ascii="黑体"/>
          <w:sz w:val="27"/>
        </w:rPr>
      </w:pPr>
    </w:p>
    <w:p>
      <w:pPr>
        <w:pStyle w:val="ListParagraph"/>
        <w:numPr>
          <w:ilvl w:val="1"/>
          <w:numId w:val="13"/>
        </w:numPr>
        <w:tabs>
          <w:tab w:val="left" w:pos="1678"/>
        </w:tabs>
        <w:spacing w:before="0" w:after="0" w:line="240" w:lineRule="auto"/>
        <w:ind w:left="1677" w:right="0" w:hanging="500"/>
        <w:jc w:val="left"/>
        <w:rPr>
          <w:rFonts w:ascii="黑体" w:eastAsia="黑体" w:hint="eastAsia"/>
          <w:sz w:val="21"/>
        </w:rPr>
      </w:pPr>
      <w:bookmarkStart w:id="21" w:name="8.1　一般规定"/>
      <w:bookmarkEnd w:id="21"/>
      <w:r>
        <w:rPr>
          <w:rFonts w:ascii="黑体" w:eastAsia="黑体" w:hint="eastAsia"/>
          <w:sz w:val="21"/>
        </w:rPr>
        <w:t>一般规定</w:t>
      </w:r>
    </w:p>
    <w:p>
      <w:pPr>
        <w:pStyle w:val="BodyText"/>
        <w:spacing w:before="12"/>
        <w:rPr>
          <w:rFonts w:ascii="黑体"/>
          <w:sz w:val="9"/>
        </w:rPr>
      </w:pPr>
    </w:p>
    <w:p>
      <w:pPr>
        <w:pStyle w:val="ListParagraph"/>
        <w:numPr>
          <w:ilvl w:val="2"/>
          <w:numId w:val="13"/>
        </w:numPr>
        <w:tabs>
          <w:tab w:val="left" w:pos="1877"/>
        </w:tabs>
        <w:spacing w:before="72" w:after="0" w:line="240" w:lineRule="auto"/>
        <w:ind w:left="1876" w:right="0" w:hanging="699"/>
        <w:jc w:val="left"/>
        <w:rPr>
          <w:sz w:val="21"/>
        </w:rPr>
      </w:pPr>
      <w:r>
        <w:rPr>
          <w:sz w:val="21"/>
        </w:rPr>
        <w:t>道路坍塌隐患雷达探测工作流程应包括下列内容：</w:t>
      </w:r>
    </w:p>
    <w:p>
      <w:pPr>
        <w:spacing w:before="40"/>
        <w:ind w:left="1603" w:right="0" w:firstLine="0"/>
        <w:jc w:val="left"/>
        <w:rPr>
          <w:sz w:val="21"/>
        </w:rPr>
      </w:pPr>
      <w:r>
        <w:rPr>
          <w:rFonts w:ascii="Cambria Math" w:eastAsia="Cambria Math" w:hAnsi="Cambria Math"/>
          <w:i/>
          <w:sz w:val="20"/>
        </w:rPr>
        <w:t xml:space="preserve">—— </w:t>
      </w:r>
      <w:r>
        <w:rPr>
          <w:sz w:val="21"/>
        </w:rPr>
        <w:t>接受探测任务委托；</w:t>
      </w:r>
    </w:p>
    <w:p>
      <w:pPr>
        <w:spacing w:before="43"/>
        <w:ind w:left="1603" w:right="0" w:firstLine="0"/>
        <w:jc w:val="left"/>
        <w:rPr>
          <w:sz w:val="21"/>
        </w:rPr>
      </w:pPr>
      <w:r>
        <w:rPr>
          <w:rFonts w:ascii="Cambria Math" w:eastAsia="Cambria Math" w:hAnsi="Cambria Math"/>
          <w:i/>
          <w:sz w:val="20"/>
        </w:rPr>
        <w:t xml:space="preserve">—— </w:t>
      </w:r>
      <w:r>
        <w:rPr>
          <w:sz w:val="21"/>
        </w:rPr>
        <w:t>现场踏勘与资料收集；</w:t>
      </w:r>
    </w:p>
    <w:p>
      <w:pPr>
        <w:spacing w:before="43"/>
        <w:ind w:left="1603" w:right="0" w:firstLine="0"/>
        <w:jc w:val="left"/>
        <w:rPr>
          <w:sz w:val="21"/>
        </w:rPr>
      </w:pPr>
      <w:r>
        <w:rPr>
          <w:rFonts w:ascii="Cambria Math" w:eastAsia="Cambria Math" w:hAnsi="Cambria Math"/>
          <w:i/>
          <w:spacing w:val="-8"/>
          <w:sz w:val="20"/>
        </w:rPr>
        <w:t xml:space="preserve">—— </w:t>
      </w:r>
      <w:r>
        <w:rPr>
          <w:sz w:val="21"/>
        </w:rPr>
        <w:t>探测方案制定；</w:t>
      </w:r>
    </w:p>
    <w:p>
      <w:pPr>
        <w:spacing w:before="43"/>
        <w:ind w:left="1603" w:right="0" w:firstLine="0"/>
        <w:jc w:val="left"/>
        <w:rPr>
          <w:sz w:val="21"/>
        </w:rPr>
      </w:pPr>
      <w:r>
        <w:rPr>
          <w:rFonts w:ascii="Cambria Math" w:eastAsia="Cambria Math" w:hAnsi="Cambria Math"/>
          <w:i/>
          <w:spacing w:val="-8"/>
          <w:sz w:val="20"/>
        </w:rPr>
        <w:t xml:space="preserve">—— </w:t>
      </w:r>
      <w:r>
        <w:rPr>
          <w:sz w:val="21"/>
        </w:rPr>
        <w:t>现场数据采集；</w:t>
      </w:r>
    </w:p>
    <w:p>
      <w:pPr>
        <w:spacing w:before="126"/>
        <w:ind w:left="0" w:right="1104" w:firstLine="0"/>
        <w:jc w:val="right"/>
        <w:rPr>
          <w:sz w:val="18"/>
        </w:rPr>
      </w:pPr>
      <w:r>
        <w:rPr>
          <w:sz w:val="18"/>
        </w:rPr>
        <w:t>7</w:t>
      </w:r>
    </w:p>
    <w:p>
      <w:pPr>
        <w:spacing w:after="0"/>
        <w:jc w:val="right"/>
        <w:rPr>
          <w:sz w:val="18"/>
        </w:rPr>
        <w:sectPr>
          <w:headerReference w:type="default" r:id="rId14"/>
          <w:pgSz w:w="11910" w:h="16840"/>
          <w:pgMar w:top="1640" w:right="260" w:bottom="280" w:left="240" w:header="1449" w:footer="0"/>
          <w:pgNumType w:start="10"/>
          <w:cols w:space="708"/>
        </w:sectPr>
      </w:pPr>
    </w:p>
    <w:p>
      <w:pPr>
        <w:pStyle w:val="BodyText"/>
        <w:rPr>
          <w:sz w:val="20"/>
        </w:rPr>
      </w:pPr>
    </w:p>
    <w:p>
      <w:pPr>
        <w:pStyle w:val="BodyText"/>
        <w:rPr>
          <w:sz w:val="20"/>
        </w:rPr>
      </w:pPr>
    </w:p>
    <w:p>
      <w:pPr>
        <w:pStyle w:val="BodyText"/>
        <w:spacing w:before="2"/>
        <w:rPr>
          <w:sz w:val="14"/>
        </w:rPr>
      </w:pPr>
    </w:p>
    <w:p>
      <w:pPr>
        <w:spacing w:before="79"/>
        <w:ind w:left="1603" w:right="0" w:firstLine="0"/>
        <w:jc w:val="left"/>
        <w:rPr>
          <w:sz w:val="21"/>
        </w:rPr>
      </w:pPr>
      <w:r>
        <w:rPr>
          <w:rFonts w:ascii="Cambria Math" w:eastAsia="Cambria Math" w:hAnsi="Cambria Math"/>
          <w:i/>
          <w:sz w:val="20"/>
        </w:rPr>
        <w:t xml:space="preserve">—— </w:t>
      </w:r>
      <w:r>
        <w:rPr>
          <w:sz w:val="21"/>
        </w:rPr>
        <w:t>雷达数据解译；</w:t>
      </w:r>
    </w:p>
    <w:p>
      <w:pPr>
        <w:spacing w:before="43"/>
        <w:ind w:left="1603" w:right="0" w:firstLine="0"/>
        <w:jc w:val="left"/>
        <w:rPr>
          <w:sz w:val="21"/>
        </w:rPr>
      </w:pPr>
      <w:r>
        <w:rPr>
          <w:rFonts w:ascii="Cambria Math" w:eastAsia="Cambria Math" w:hAnsi="Cambria Math"/>
          <w:i/>
          <w:sz w:val="20"/>
        </w:rPr>
        <w:t xml:space="preserve">—— </w:t>
      </w:r>
      <w:r>
        <w:rPr>
          <w:sz w:val="21"/>
        </w:rPr>
        <w:t>疑似隐患定位与复测；</w:t>
      </w:r>
    </w:p>
    <w:p>
      <w:pPr>
        <w:spacing w:before="43"/>
        <w:ind w:left="1603" w:right="0" w:firstLine="0"/>
        <w:jc w:val="left"/>
        <w:rPr>
          <w:sz w:val="21"/>
        </w:rPr>
      </w:pPr>
      <w:r>
        <w:rPr>
          <w:rFonts w:ascii="Cambria Math" w:eastAsia="Cambria Math" w:hAnsi="Cambria Math"/>
          <w:i/>
          <w:sz w:val="20"/>
        </w:rPr>
        <w:t xml:space="preserve">—— </w:t>
      </w:r>
      <w:r>
        <w:rPr>
          <w:sz w:val="21"/>
        </w:rPr>
        <w:t>成果验证；</w:t>
      </w:r>
    </w:p>
    <w:p>
      <w:pPr>
        <w:spacing w:before="43"/>
        <w:ind w:left="1603" w:right="0" w:firstLine="0"/>
        <w:jc w:val="left"/>
        <w:rPr>
          <w:sz w:val="21"/>
        </w:rPr>
      </w:pPr>
      <w:r>
        <w:rPr>
          <w:rFonts w:ascii="Cambria Math" w:eastAsia="Cambria Math" w:hAnsi="Cambria Math"/>
          <w:i/>
          <w:spacing w:val="-9"/>
          <w:sz w:val="20"/>
        </w:rPr>
        <w:t xml:space="preserve">—— </w:t>
      </w:r>
      <w:r>
        <w:rPr>
          <w:sz w:val="21"/>
        </w:rPr>
        <w:t>成因分析与处置建议；</w:t>
      </w:r>
    </w:p>
    <w:p>
      <w:pPr>
        <w:spacing w:before="43"/>
        <w:ind w:left="1603" w:right="0" w:firstLine="0"/>
        <w:jc w:val="left"/>
        <w:rPr>
          <w:sz w:val="21"/>
        </w:rPr>
      </w:pPr>
      <w:r>
        <w:rPr>
          <w:rFonts w:ascii="Cambria Math" w:eastAsia="Cambria Math" w:hAnsi="Cambria Math"/>
          <w:i/>
          <w:spacing w:val="-9"/>
          <w:sz w:val="20"/>
        </w:rPr>
        <w:t xml:space="preserve">—— </w:t>
      </w:r>
      <w:r>
        <w:rPr>
          <w:sz w:val="21"/>
        </w:rPr>
        <w:t>探测报告编写与提交。</w:t>
      </w:r>
    </w:p>
    <w:p>
      <w:pPr>
        <w:pStyle w:val="ListParagraph"/>
        <w:numPr>
          <w:ilvl w:val="2"/>
          <w:numId w:val="13"/>
        </w:numPr>
        <w:tabs>
          <w:tab w:val="left" w:pos="1877"/>
        </w:tabs>
        <w:spacing w:before="48" w:after="0" w:line="276" w:lineRule="auto"/>
        <w:ind w:left="1178" w:right="875" w:firstLine="0"/>
        <w:jc w:val="left"/>
        <w:rPr>
          <w:sz w:val="21"/>
        </w:rPr>
      </w:pPr>
      <w:r>
        <w:rPr>
          <w:sz w:val="21"/>
        </w:rPr>
        <w:t>采用三维探地雷达进行道路地下隐患探测作业时，应对整个道路实现全覆盖探测。进行测线规划时应符合以下规定：</w:t>
      </w:r>
    </w:p>
    <w:p>
      <w:pPr>
        <w:pStyle w:val="BodyText"/>
        <w:spacing w:before="5"/>
        <w:ind w:left="1603"/>
      </w:pPr>
      <w:r>
        <w:rPr>
          <w:rFonts w:ascii="Cambria Math" w:eastAsia="Cambria Math" w:hAnsi="Cambria Math"/>
          <w:i/>
          <w:sz w:val="20"/>
        </w:rPr>
        <w:t xml:space="preserve">—— </w:t>
      </w:r>
      <w:r>
        <w:t>每条标准车道至少规划 2 条作业测线，每条作业测线不少于 16 通道雷达数据；</w:t>
      </w:r>
    </w:p>
    <w:p>
      <w:pPr>
        <w:spacing w:before="43"/>
        <w:ind w:left="1603" w:right="0" w:firstLine="0"/>
        <w:jc w:val="left"/>
        <w:rPr>
          <w:sz w:val="21"/>
        </w:rPr>
      </w:pPr>
      <w:r>
        <w:rPr>
          <w:rFonts w:ascii="Cambria Math" w:eastAsia="Cambria Math" w:hAnsi="Cambria Math"/>
          <w:i/>
          <w:sz w:val="20"/>
        </w:rPr>
        <w:t xml:space="preserve">—— </w:t>
      </w:r>
      <w:r>
        <w:rPr>
          <w:sz w:val="21"/>
        </w:rPr>
        <w:t>测线应沿车辆前进方向；</w:t>
      </w:r>
    </w:p>
    <w:p>
      <w:pPr>
        <w:pStyle w:val="BodyText"/>
        <w:spacing w:before="43"/>
        <w:ind w:left="1603"/>
      </w:pPr>
      <w:r>
        <w:rPr>
          <w:rFonts w:ascii="Cambria Math" w:eastAsia="Cambria Math" w:hAnsi="Cambria Math"/>
          <w:i/>
          <w:sz w:val="20"/>
        </w:rPr>
        <w:t xml:space="preserve">—— </w:t>
      </w:r>
      <w:r>
        <w:t>每条测线的长度在 5km 以内为宜；</w:t>
      </w:r>
    </w:p>
    <w:p>
      <w:pPr>
        <w:pStyle w:val="BodyText"/>
        <w:spacing w:before="43"/>
        <w:ind w:left="1603"/>
      </w:pPr>
      <w:r>
        <w:rPr>
          <w:rFonts w:ascii="Cambria Math" w:eastAsia="Cambria Math" w:hAnsi="Cambria Math"/>
          <w:i/>
          <w:sz w:val="20"/>
        </w:rPr>
        <w:t xml:space="preserve">—— </w:t>
      </w:r>
      <w:r>
        <w:t>相邻作业测线边缘距离不应大于 30cm，可以有部分重合；</w:t>
      </w:r>
    </w:p>
    <w:p>
      <w:pPr>
        <w:pStyle w:val="BodyText"/>
        <w:spacing w:before="43"/>
        <w:ind w:left="1603"/>
      </w:pPr>
      <w:r>
        <w:rPr>
          <w:rFonts w:ascii="Cambria Math" w:eastAsia="Cambria Math" w:hAnsi="Cambria Math"/>
          <w:i/>
          <w:sz w:val="20"/>
        </w:rPr>
        <w:t xml:space="preserve">—— </w:t>
      </w:r>
      <w:r>
        <w:t>规划测区及测线时应充分考虑车辆调头及转弯需要；</w:t>
      </w:r>
    </w:p>
    <w:p>
      <w:pPr>
        <w:pStyle w:val="BodyText"/>
        <w:spacing w:before="43"/>
        <w:ind w:left="1603"/>
      </w:pPr>
      <w:r>
        <w:rPr>
          <w:rFonts w:ascii="Cambria Math" w:eastAsia="Cambria Math" w:hAnsi="Cambria Math"/>
          <w:i/>
          <w:sz w:val="20"/>
        </w:rPr>
        <w:t xml:space="preserve">—— </w:t>
      </w:r>
      <w:r>
        <w:t>转弯车道及港湾式公交车站等特殊区域宜单独设立测线；</w:t>
      </w:r>
    </w:p>
    <w:p>
      <w:pPr>
        <w:pStyle w:val="BodyText"/>
        <w:spacing w:before="43"/>
        <w:ind w:left="1603"/>
      </w:pPr>
      <w:r>
        <w:rPr>
          <w:rFonts w:ascii="Cambria Math" w:eastAsia="Cambria Math" w:hAnsi="Cambria Math"/>
          <w:i/>
          <w:sz w:val="20"/>
        </w:rPr>
        <w:t xml:space="preserve">—— </w:t>
      </w:r>
      <w:r>
        <w:t>对测区范围内的地下管线分布情况调查清楚，管线周边区域应重点探查，不得有遗漏。</w:t>
      </w:r>
    </w:p>
    <w:p>
      <w:pPr>
        <w:pStyle w:val="ListParagraph"/>
        <w:numPr>
          <w:ilvl w:val="2"/>
          <w:numId w:val="13"/>
        </w:numPr>
        <w:tabs>
          <w:tab w:val="left" w:pos="1877"/>
        </w:tabs>
        <w:spacing w:before="47" w:after="0" w:line="240" w:lineRule="auto"/>
        <w:ind w:left="1876" w:right="0" w:hanging="699"/>
        <w:jc w:val="left"/>
        <w:rPr>
          <w:sz w:val="21"/>
        </w:rPr>
      </w:pPr>
      <w:r>
        <w:drawing>
          <wp:anchor distT="0" distB="0" distL="0" distR="0" simplePos="0" relativeHeight="251681792" behindDoc="0" locked="0" layoutInCell="1" allowOverlap="1">
            <wp:simplePos x="0" y="0"/>
            <wp:positionH relativeFrom="page">
              <wp:posOffset>215900</wp:posOffset>
            </wp:positionH>
            <wp:positionV relativeFrom="paragraph">
              <wp:posOffset>950213</wp:posOffset>
            </wp:positionV>
            <wp:extent cx="7112000" cy="4876800"/>
            <wp:effectExtent l="0" t="0" r="0" b="0"/>
            <wp:wrapNone/>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spacing w:val="-3"/>
          <w:sz w:val="21"/>
        </w:rPr>
        <w:t xml:space="preserve">城镇道路坍塌隐患雷达探测流程应按照图 </w:t>
      </w:r>
      <w:r>
        <w:rPr>
          <w:sz w:val="21"/>
        </w:rPr>
        <w:t>1</w:t>
      </w:r>
      <w:r>
        <w:rPr>
          <w:spacing w:val="-14"/>
          <w:sz w:val="21"/>
        </w:rPr>
        <w:t xml:space="preserve"> 进行。</w:t>
      </w:r>
    </w:p>
    <w:p>
      <w:pPr>
        <w:pStyle w:val="BodyText"/>
        <w:ind w:left="3271"/>
        <w:rPr>
          <w:sz w:val="20"/>
        </w:rPr>
      </w:pPr>
      <w:r>
        <w:rPr>
          <w:sz w:val="20"/>
        </w:rPr>
        <w:drawing>
          <wp:inline distT="0" distB="0" distL="0" distR="0">
            <wp:extent cx="3841945" cy="4901184"/>
            <wp:effectExtent l="0" t="0" r="0" b="0"/>
            <wp:docPr id="2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jpeg"/>
                    <pic:cNvPicPr/>
                  </pic:nvPicPr>
                  <pic:blipFill>
                    <a:blip xmlns:r="http://schemas.openxmlformats.org/officeDocument/2006/relationships" r:embed="rId15" cstate="print"/>
                    <a:stretch>
                      <a:fillRect/>
                    </a:stretch>
                  </pic:blipFill>
                  <pic:spPr>
                    <a:xfrm>
                      <a:off x="0" y="0"/>
                      <a:ext cx="3841945" cy="4901184"/>
                    </a:xfrm>
                    <a:prstGeom prst="rect">
                      <a:avLst/>
                    </a:prstGeom>
                  </pic:spPr>
                </pic:pic>
              </a:graphicData>
            </a:graphic>
          </wp:inline>
        </w:drawing>
      </w:r>
    </w:p>
    <w:p>
      <w:pPr>
        <w:pStyle w:val="BodyText"/>
        <w:spacing w:before="5"/>
      </w:pPr>
      <w:r>
        <w:pict>
          <v:group id="_x0000_s1051" style="width:316.45pt;height:28.65pt;margin-top:15.66pt;margin-left:211.56pt;mso-position-horizontal-relative:page;mso-wrap-distance-left:0;mso-wrap-distance-right:0;position:absolute;z-index:-251633664" coordorigin="4231,313" coordsize="6329,573">
            <v:shape id="_x0000_s1052" type="#_x0000_t202" style="width:3745;height:209;left:4231;position:absolute;top:313" filled="f" stroked="f">
              <v:textbox inset="0,0,0,0">
                <w:txbxContent>
                  <w:p>
                    <w:pPr>
                      <w:spacing w:before="0" w:line="209" w:lineRule="exact"/>
                      <w:ind w:left="0" w:right="0" w:firstLine="0"/>
                      <w:jc w:val="left"/>
                      <w:rPr>
                        <w:rFonts w:ascii="黑体" w:eastAsia="黑体" w:hint="eastAsia"/>
                        <w:sz w:val="21"/>
                      </w:rPr>
                    </w:pPr>
                    <w:r>
                      <w:rPr>
                        <w:rFonts w:ascii="黑体" w:eastAsia="黑体" w:hint="eastAsia"/>
                        <w:sz w:val="21"/>
                      </w:rPr>
                      <w:t>图 1 城镇道路坍塌隐患雷达探测流程图</w:t>
                    </w:r>
                  </w:p>
                </w:txbxContent>
              </v:textbox>
            </v:shape>
            <v:shape id="_x0000_s1053" type="#_x0000_t202" style="width:110;height:180;left:10449;position:absolute;top:705" filled="f" stroked="f">
              <v:textbox inset="0,0,0,0">
                <w:txbxContent>
                  <w:p>
                    <w:pPr>
                      <w:spacing w:before="0" w:line="180" w:lineRule="exact"/>
                      <w:ind w:left="0" w:right="0" w:firstLine="0"/>
                      <w:jc w:val="left"/>
                      <w:rPr>
                        <w:sz w:val="18"/>
                      </w:rPr>
                    </w:pPr>
                    <w:r>
                      <w:rPr>
                        <w:sz w:val="18"/>
                      </w:rPr>
                      <w:t>8</w:t>
                    </w:r>
                  </w:p>
                </w:txbxContent>
              </v:textbox>
            </v:shape>
            <w10:wrap type="topAndBottom"/>
          </v:group>
        </w:pict>
      </w:r>
    </w:p>
    <w:p>
      <w:pPr>
        <w:spacing w:after="0"/>
        <w:sectPr>
          <w:headerReference w:type="default" r:id="rId16"/>
          <w:pgSz w:w="11910" w:h="16840"/>
          <w:pgMar w:top="1640" w:right="260" w:bottom="280" w:left="240" w:header="1449" w:footer="0"/>
          <w:pgNumType w:start="11"/>
          <w:cols w:space="708"/>
        </w:sectPr>
      </w:pPr>
    </w:p>
    <w:p>
      <w:pPr>
        <w:pStyle w:val="BodyText"/>
        <w:rPr>
          <w:sz w:val="20"/>
        </w:rPr>
      </w:pPr>
    </w:p>
    <w:p>
      <w:pPr>
        <w:pStyle w:val="BodyText"/>
        <w:rPr>
          <w:sz w:val="20"/>
        </w:rPr>
      </w:pPr>
    </w:p>
    <w:p>
      <w:pPr>
        <w:pStyle w:val="BodyText"/>
        <w:spacing w:before="11"/>
        <w:rPr>
          <w:sz w:val="14"/>
        </w:rPr>
      </w:pPr>
    </w:p>
    <w:p>
      <w:pPr>
        <w:pStyle w:val="ListParagraph"/>
        <w:numPr>
          <w:ilvl w:val="2"/>
          <w:numId w:val="13"/>
        </w:numPr>
        <w:tabs>
          <w:tab w:val="left" w:pos="1877"/>
        </w:tabs>
        <w:spacing w:before="70" w:after="16" w:line="240" w:lineRule="auto"/>
        <w:ind w:left="1876" w:right="0" w:hanging="699"/>
        <w:jc w:val="left"/>
        <w:rPr>
          <w:sz w:val="21"/>
        </w:rPr>
      </w:pPr>
      <w:r>
        <w:rPr>
          <w:spacing w:val="-4"/>
          <w:sz w:val="21"/>
        </w:rPr>
        <w:t xml:space="preserve">应急探测方法和流程应按照图 </w:t>
      </w:r>
      <w:r>
        <w:rPr>
          <w:sz w:val="21"/>
        </w:rPr>
        <w:t>2</w:t>
      </w:r>
      <w:r>
        <w:rPr>
          <w:spacing w:val="-14"/>
          <w:sz w:val="21"/>
        </w:rPr>
        <w:t xml:space="preserve"> 进行。</w:t>
      </w:r>
    </w:p>
    <w:p>
      <w:pPr>
        <w:pStyle w:val="BodyText"/>
        <w:ind w:left="3551"/>
        <w:rPr>
          <w:sz w:val="20"/>
        </w:rPr>
      </w:pPr>
      <w:r>
        <w:rPr>
          <w:sz w:val="20"/>
        </w:rPr>
        <w:drawing>
          <wp:inline distT="0" distB="0" distL="0" distR="0">
            <wp:extent cx="3265694" cy="3828288"/>
            <wp:effectExtent l="0" t="0" r="0" b="0"/>
            <wp:docPr id="2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4.jpeg"/>
                    <pic:cNvPicPr/>
                  </pic:nvPicPr>
                  <pic:blipFill>
                    <a:blip xmlns:r="http://schemas.openxmlformats.org/officeDocument/2006/relationships" r:embed="rId17" cstate="print"/>
                    <a:stretch>
                      <a:fillRect/>
                    </a:stretch>
                  </pic:blipFill>
                  <pic:spPr>
                    <a:xfrm>
                      <a:off x="0" y="0"/>
                      <a:ext cx="3265694" cy="3828288"/>
                    </a:xfrm>
                    <a:prstGeom prst="rect">
                      <a:avLst/>
                    </a:prstGeom>
                  </pic:spPr>
                </pic:pic>
              </a:graphicData>
            </a:graphic>
          </wp:inline>
        </w:drawing>
      </w:r>
    </w:p>
    <w:p>
      <w:pPr>
        <w:pStyle w:val="BodyText"/>
        <w:rPr>
          <w:sz w:val="20"/>
        </w:rPr>
      </w:pPr>
    </w:p>
    <w:p>
      <w:pPr>
        <w:pStyle w:val="BodyText"/>
        <w:spacing w:before="140"/>
        <w:ind w:left="2066" w:right="1765"/>
        <w:jc w:val="center"/>
        <w:rPr>
          <w:rFonts w:ascii="黑体" w:eastAsia="黑体" w:hint="eastAsia"/>
        </w:rPr>
      </w:pPr>
      <w:r>
        <w:drawing>
          <wp:anchor distT="0" distB="0" distL="0" distR="0" simplePos="0" relativeHeight="251683840" behindDoc="0" locked="0" layoutInCell="1" allowOverlap="1">
            <wp:simplePos x="0" y="0"/>
            <wp:positionH relativeFrom="page">
              <wp:posOffset>215900</wp:posOffset>
            </wp:positionH>
            <wp:positionV relativeFrom="paragraph">
              <wp:posOffset>-472046</wp:posOffset>
            </wp:positionV>
            <wp:extent cx="7112000" cy="4876800"/>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png"/>
                    <pic:cNvPicPr/>
                  </pic:nvPicPr>
                  <pic:blipFill>
                    <a:blip xmlns:r="http://schemas.openxmlformats.org/officeDocument/2006/relationships" r:embed="rId5" cstate="print"/>
                    <a:stretch>
                      <a:fillRect/>
                    </a:stretch>
                  </pic:blipFill>
                  <pic:spPr>
                    <a:xfrm>
                      <a:off x="0" y="0"/>
                      <a:ext cx="7112000" cy="4876800"/>
                    </a:xfrm>
                    <a:prstGeom prst="rect">
                      <a:avLst/>
                    </a:prstGeom>
                  </pic:spPr>
                </pic:pic>
              </a:graphicData>
            </a:graphic>
          </wp:anchor>
        </w:drawing>
      </w:r>
      <w:r>
        <w:rPr>
          <w:rFonts w:ascii="黑体" w:eastAsia="黑体" w:hint="eastAsia"/>
        </w:rPr>
        <w:t>图 2 应急探测作业流程图</w:t>
      </w:r>
    </w:p>
    <w:p>
      <w:pPr>
        <w:pStyle w:val="BodyText"/>
        <w:spacing w:before="9"/>
        <w:rPr>
          <w:rFonts w:ascii="黑体"/>
          <w:sz w:val="15"/>
        </w:rPr>
      </w:pPr>
    </w:p>
    <w:p>
      <w:pPr>
        <w:pStyle w:val="ListParagraph"/>
        <w:numPr>
          <w:ilvl w:val="2"/>
          <w:numId w:val="13"/>
        </w:numPr>
        <w:tabs>
          <w:tab w:val="left" w:pos="1877"/>
        </w:tabs>
        <w:spacing w:before="0" w:after="0" w:line="276" w:lineRule="auto"/>
        <w:ind w:left="1178" w:right="875" w:firstLine="0"/>
        <w:jc w:val="left"/>
        <w:rPr>
          <w:sz w:val="21"/>
        </w:rPr>
      </w:pPr>
      <w:r>
        <w:rPr>
          <w:sz w:val="21"/>
        </w:rPr>
        <w:t>应急探测方法应突出时效性，宜进行数据实时处理，采集完成后立刻进行复测验证工作，在外场作业场景中完成规模较大的隐患体筛选查找与现场隐患范围标记工作。</w:t>
      </w:r>
    </w:p>
    <w:p>
      <w:pPr>
        <w:pStyle w:val="ListParagraph"/>
        <w:numPr>
          <w:ilvl w:val="1"/>
          <w:numId w:val="13"/>
        </w:numPr>
        <w:tabs>
          <w:tab w:val="left" w:pos="1678"/>
        </w:tabs>
        <w:spacing w:before="161" w:after="0" w:line="240" w:lineRule="auto"/>
        <w:ind w:left="1677" w:right="0" w:hanging="500"/>
        <w:jc w:val="left"/>
        <w:rPr>
          <w:rFonts w:ascii="黑体" w:eastAsia="黑体" w:hint="eastAsia"/>
          <w:sz w:val="21"/>
        </w:rPr>
      </w:pPr>
      <w:bookmarkStart w:id="22" w:name="8.2　探测准备工作"/>
      <w:bookmarkEnd w:id="22"/>
      <w:r>
        <w:rPr>
          <w:rFonts w:ascii="黑体" w:eastAsia="黑体" w:hint="eastAsia"/>
          <w:sz w:val="21"/>
        </w:rPr>
        <w:t>探测准备工作</w:t>
      </w:r>
    </w:p>
    <w:p>
      <w:pPr>
        <w:pStyle w:val="BodyText"/>
        <w:spacing w:before="7"/>
        <w:rPr>
          <w:rFonts w:ascii="黑体"/>
          <w:sz w:val="15"/>
        </w:rPr>
      </w:pPr>
    </w:p>
    <w:p>
      <w:pPr>
        <w:pStyle w:val="ListParagraph"/>
        <w:numPr>
          <w:ilvl w:val="2"/>
          <w:numId w:val="13"/>
        </w:numPr>
        <w:tabs>
          <w:tab w:val="left" w:pos="1877"/>
        </w:tabs>
        <w:spacing w:before="0" w:after="0" w:line="240" w:lineRule="auto"/>
        <w:ind w:left="1876" w:right="0" w:hanging="699"/>
        <w:jc w:val="left"/>
        <w:rPr>
          <w:sz w:val="21"/>
        </w:rPr>
      </w:pPr>
      <w:r>
        <w:rPr>
          <w:sz w:val="21"/>
        </w:rPr>
        <w:t>雷达探测工作不宜在路面积水或积雪时进行，探测环境温度应符合设备适用温度要求。</w:t>
      </w:r>
    </w:p>
    <w:p>
      <w:pPr>
        <w:pStyle w:val="ListParagraph"/>
        <w:numPr>
          <w:ilvl w:val="2"/>
          <w:numId w:val="13"/>
        </w:numPr>
        <w:tabs>
          <w:tab w:val="left" w:pos="1877"/>
        </w:tabs>
        <w:spacing w:before="45" w:after="0" w:line="240" w:lineRule="auto"/>
        <w:ind w:left="1876" w:right="0" w:hanging="699"/>
        <w:jc w:val="left"/>
        <w:rPr>
          <w:sz w:val="21"/>
        </w:rPr>
      </w:pPr>
      <w:r>
        <w:rPr>
          <w:spacing w:val="-3"/>
          <w:sz w:val="21"/>
        </w:rPr>
        <w:t>城镇道路坍塌隐患雷达探测的技术准备工作应包括资料收集、现场踏勘、编写探测方案等内容。</w:t>
      </w:r>
    </w:p>
    <w:p>
      <w:pPr>
        <w:pStyle w:val="ListParagraph"/>
        <w:numPr>
          <w:ilvl w:val="2"/>
          <w:numId w:val="13"/>
        </w:numPr>
        <w:tabs>
          <w:tab w:val="left" w:pos="1877"/>
        </w:tabs>
        <w:spacing w:before="46" w:after="0" w:line="240" w:lineRule="auto"/>
        <w:ind w:left="1876" w:right="0" w:hanging="699"/>
        <w:jc w:val="left"/>
        <w:rPr>
          <w:sz w:val="21"/>
        </w:rPr>
      </w:pPr>
      <w:r>
        <w:rPr>
          <w:sz w:val="21"/>
        </w:rPr>
        <w:t>资料收集应包括下列主要内容：</w:t>
      </w:r>
    </w:p>
    <w:p>
      <w:pPr>
        <w:pStyle w:val="BodyText"/>
        <w:spacing w:before="43"/>
        <w:ind w:left="1603"/>
      </w:pPr>
      <w:r>
        <w:rPr>
          <w:rFonts w:ascii="Cambria Math" w:eastAsia="Cambria Math" w:hAnsi="Cambria Math"/>
          <w:i/>
          <w:sz w:val="20"/>
        </w:rPr>
        <w:t xml:space="preserve">—— </w:t>
      </w:r>
      <w:r>
        <w:t>探测区地形图和测量控制点资料；</w:t>
      </w:r>
    </w:p>
    <w:p>
      <w:pPr>
        <w:pStyle w:val="BodyText"/>
        <w:spacing w:before="42" w:line="278" w:lineRule="auto"/>
        <w:ind w:left="2028" w:right="930" w:hanging="425"/>
      </w:pPr>
      <w:r>
        <w:rPr>
          <w:rFonts w:ascii="Cambria Math" w:eastAsia="Cambria Math" w:hAnsi="Cambria Math"/>
          <w:i/>
          <w:sz w:val="20"/>
        </w:rPr>
        <w:t xml:space="preserve">—— </w:t>
      </w:r>
      <w:r>
        <w:t>探测区内的地下管线现状资料、已有的各类地下管道探测成果资料、给水管道漏水检测成果资料；</w:t>
      </w:r>
    </w:p>
    <w:p>
      <w:pPr>
        <w:pStyle w:val="BodyText"/>
        <w:spacing w:line="269" w:lineRule="exact"/>
        <w:ind w:left="1603"/>
      </w:pPr>
      <w:r>
        <w:rPr>
          <w:rFonts w:ascii="Cambria Math" w:eastAsia="Cambria Math" w:hAnsi="Cambria Math"/>
          <w:i/>
          <w:sz w:val="20"/>
        </w:rPr>
        <w:t xml:space="preserve">—— </w:t>
      </w:r>
      <w:r>
        <w:t>探测区内的道路工程、各类地下工程的设计和施工资料；</w:t>
      </w:r>
    </w:p>
    <w:p>
      <w:pPr>
        <w:pStyle w:val="BodyText"/>
        <w:spacing w:before="43"/>
        <w:ind w:left="1603"/>
      </w:pPr>
      <w:r>
        <w:rPr>
          <w:rFonts w:ascii="Cambria Math" w:eastAsia="Cambria Math" w:hAnsi="Cambria Math"/>
          <w:i/>
          <w:sz w:val="20"/>
        </w:rPr>
        <w:t xml:space="preserve">—— </w:t>
      </w:r>
      <w:r>
        <w:t>探测区内岩土工程、工程地质和水文地质勘察资料；</w:t>
      </w:r>
    </w:p>
    <w:p>
      <w:pPr>
        <w:pStyle w:val="BodyText"/>
        <w:spacing w:before="43"/>
        <w:ind w:left="1603"/>
      </w:pPr>
      <w:r>
        <w:rPr>
          <w:rFonts w:ascii="Cambria Math" w:eastAsia="Cambria Math" w:hAnsi="Cambria Math"/>
          <w:i/>
          <w:sz w:val="20"/>
        </w:rPr>
        <w:t xml:space="preserve">—— </w:t>
      </w:r>
      <w:r>
        <w:t>探测区内既有道路的坍塌隐患探测资料及其修复的设计及施工资料。</w:t>
      </w:r>
    </w:p>
    <w:p>
      <w:pPr>
        <w:pStyle w:val="ListParagraph"/>
        <w:numPr>
          <w:ilvl w:val="2"/>
          <w:numId w:val="13"/>
        </w:numPr>
        <w:tabs>
          <w:tab w:val="left" w:pos="1877"/>
        </w:tabs>
        <w:spacing w:before="43" w:after="0" w:line="278" w:lineRule="auto"/>
        <w:ind w:left="1178" w:right="875" w:firstLine="0"/>
        <w:jc w:val="left"/>
        <w:rPr>
          <w:sz w:val="21"/>
        </w:rPr>
      </w:pPr>
      <w:r>
        <w:rPr>
          <w:sz w:val="21"/>
        </w:rPr>
        <w:t>现场踏勘应了解工作环境条件及典型干扰源的分布、地形地貌及其变化情况，核实已收集资料的完备性及可利用程度，评估现场作业条件及风险。</w:t>
      </w:r>
    </w:p>
    <w:p>
      <w:pPr>
        <w:pStyle w:val="ListParagraph"/>
        <w:numPr>
          <w:ilvl w:val="2"/>
          <w:numId w:val="13"/>
        </w:numPr>
        <w:tabs>
          <w:tab w:val="left" w:pos="1877"/>
        </w:tabs>
        <w:spacing w:before="2" w:after="0" w:line="240" w:lineRule="auto"/>
        <w:ind w:left="1876" w:right="0" w:hanging="699"/>
        <w:jc w:val="left"/>
        <w:rPr>
          <w:sz w:val="21"/>
        </w:rPr>
      </w:pPr>
      <w:r>
        <w:rPr>
          <w:sz w:val="21"/>
        </w:rPr>
        <w:t>应根据工作要求、城镇道路坍塌隐患属性、场地干扰因素和作业条件等选择探测方法。</w:t>
      </w:r>
    </w:p>
    <w:p>
      <w:pPr>
        <w:pStyle w:val="ListParagraph"/>
        <w:numPr>
          <w:ilvl w:val="2"/>
          <w:numId w:val="13"/>
        </w:numPr>
        <w:tabs>
          <w:tab w:val="left" w:pos="1877"/>
        </w:tabs>
        <w:spacing w:before="48" w:after="0" w:line="276" w:lineRule="auto"/>
        <w:ind w:left="1178" w:right="768" w:firstLine="0"/>
        <w:jc w:val="left"/>
        <w:rPr>
          <w:sz w:val="21"/>
        </w:rPr>
      </w:pPr>
      <w:r>
        <w:rPr>
          <w:spacing w:val="-4"/>
          <w:w w:val="95"/>
          <w:sz w:val="21"/>
        </w:rPr>
        <w:t xml:space="preserve">探测方案应包括但不限于下列内容：项目概况、方案编制依据、场地工程、地质环境条件分析、   </w:t>
      </w:r>
      <w:r>
        <w:rPr>
          <w:spacing w:val="-4"/>
          <w:sz w:val="21"/>
        </w:rPr>
        <w:t>工作流程和技术路线、工作技术方法和措施、探测组织、项目实施保障措施。</w:t>
      </w:r>
    </w:p>
    <w:p>
      <w:pPr>
        <w:pStyle w:val="BodyText"/>
        <w:rPr>
          <w:sz w:val="13"/>
        </w:rPr>
      </w:pPr>
    </w:p>
    <w:p>
      <w:pPr>
        <w:spacing w:before="75"/>
        <w:ind w:left="0" w:right="1104" w:firstLine="0"/>
        <w:jc w:val="right"/>
        <w:rPr>
          <w:sz w:val="18"/>
        </w:rPr>
      </w:pPr>
      <w:r>
        <w:rPr>
          <w:sz w:val="18"/>
        </w:rPr>
        <w:t>9</w:t>
      </w:r>
    </w:p>
    <w:p>
      <w:pPr>
        <w:spacing w:after="0"/>
        <w:jc w:val="right"/>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8" w:history="1">
        <w:r>
          <w:rPr>
            <w:rFonts w:ascii="SimSun" w:eastAsia="SimSun" w:hAnsi="SimSun" w:cs="SimSun"/>
            <w:b/>
            <w:bCs/>
            <w:color w:val="0000EE"/>
            <w:sz w:val="30"/>
            <w:szCs w:val="30"/>
            <w:u w:val="single" w:color="0000EE"/>
          </w:rPr>
          <w:t>https://d.book118.com/607104201161006036</w:t>
        </w:r>
      </w:hyperlink>
    </w:p>
    <w:p>
      <w:pPr>
        <w:spacing w:after="0"/>
        <w:jc w:val="right"/>
        <w:rPr>
          <w:sz w:val="18"/>
        </w:rPr>
      </w:pPr>
    </w:p>
    <w:sectPr>
      <w:headerReference w:type="default" r:id="rId19"/>
      <w:pgSz w:w="11910" w:h="16840"/>
      <w:pgMar w:top="1640" w:right="260" w:bottom="280" w:left="240" w:header="1449" w:footer="0"/>
      <w:pgNumType w:start="1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1.25pt;height:12.45pt;margin-top:71.43pt;margin-left:448.4pt;mso-position-horizontal-relative:page;mso-position-vertical-relative:page;position:absolute;z-index:-251658240"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91.25pt;height:12.45pt;margin-top:71.43pt;margin-left:448.4pt;mso-position-horizontal-relative:page;mso-position-vertical-relative:page;position:absolute;z-index:-251649024"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91.25pt;height:12.45pt;margin-top:71.43pt;margin-left:448.4pt;mso-position-horizontal-relative:page;mso-position-vertical-relative:page;position:absolute;z-index:-251648000"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91.25pt;height:12.45pt;margin-top:71.43pt;margin-left:448.4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91.25pt;height:12.45pt;margin-top:71.43pt;margin-left:448.4pt;mso-position-horizontal-relative:page;mso-position-vertical-relative:page;position:absolute;z-index:-251656192"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91.25pt;height:12.45pt;margin-top:71.43pt;margin-left:448.4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1.25pt;height:12.45pt;margin-top:71.43pt;margin-left:448.4pt;mso-position-horizontal-relative:page;mso-position-vertical-relative:page;position:absolute;z-index:-251654144"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91.25pt;height:12.45pt;margin-top:71.43pt;margin-left:448.4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91.25pt;height:12.45pt;margin-top:71.43pt;margin-left:448.4pt;mso-position-horizontal-relative:page;mso-position-vertical-relative:page;position:absolute;z-index:-251652096"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91.25pt;height:12.45pt;margin-top:71.43pt;margin-left:448.4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1.25pt;height:12.45pt;margin-top:71.43pt;margin-left:448.4pt;mso-position-horizontal-relative:page;mso-position-vertical-relative:page;position:absolute;z-index:-251650048" filled="f" stroked="f">
          <v:textbox inset="0,0,0,0">
            <w:txbxContent>
              <w:p>
                <w:pPr>
                  <w:pStyle w:val="BodyText"/>
                  <w:spacing w:line="249" w:lineRule="exact"/>
                  <w:ind w:left="20"/>
                  <w:rPr>
                    <w:rFonts w:ascii="黑体" w:hAnsi="黑体"/>
                  </w:rPr>
                </w:pPr>
                <w:r>
                  <w:rPr>
                    <w:rFonts w:ascii="黑体" w:hAnsi="黑体"/>
                  </w:rPr>
                  <w:t>DB23/T 3674—2023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5186"/>
    <w:multiLevelType w:val="hybridMultilevel"/>
    <w:tmpl w:val="00000000"/>
    <w:lvl w:ilvl="0">
      <w:start w:val="1"/>
      <w:numFmt w:val="decimal"/>
      <w:lvlText w:val="%1."/>
      <w:lvlJc w:val="left"/>
      <w:pPr>
        <w:ind w:left="367" w:hanging="138"/>
        <w:jc w:val="left"/>
      </w:pPr>
      <w:rPr>
        <w:rFonts w:ascii="Times New Roman" w:eastAsia="Times New Roman" w:hAnsi="Times New Roman" w:cs="Times New Roman" w:hint="default"/>
        <w:spacing w:val="0"/>
        <w:w w:val="100"/>
        <w:sz w:val="16"/>
        <w:szCs w:val="16"/>
        <w:lang w:val="en-US" w:eastAsia="en-US" w:bidi="ar-SA"/>
      </w:rPr>
    </w:lvl>
    <w:lvl w:ilvl="1">
      <w:start w:val="0"/>
      <w:numFmt w:val="bullet"/>
      <w:lvlText w:val="•"/>
      <w:lvlJc w:val="left"/>
      <w:pPr>
        <w:ind w:left="567" w:hanging="138"/>
      </w:pPr>
      <w:rPr>
        <w:rFonts w:hint="default"/>
        <w:lang w:val="en-US" w:eastAsia="en-US" w:bidi="ar-SA"/>
      </w:rPr>
    </w:lvl>
    <w:lvl w:ilvl="2">
      <w:start w:val="0"/>
      <w:numFmt w:val="bullet"/>
      <w:lvlText w:val="•"/>
      <w:lvlJc w:val="left"/>
      <w:pPr>
        <w:ind w:left="775" w:hanging="138"/>
      </w:pPr>
      <w:rPr>
        <w:rFonts w:hint="default"/>
        <w:lang w:val="en-US" w:eastAsia="en-US" w:bidi="ar-SA"/>
      </w:rPr>
    </w:lvl>
    <w:lvl w:ilvl="3">
      <w:start w:val="0"/>
      <w:numFmt w:val="bullet"/>
      <w:lvlText w:val="•"/>
      <w:lvlJc w:val="left"/>
      <w:pPr>
        <w:ind w:left="983" w:hanging="138"/>
      </w:pPr>
      <w:rPr>
        <w:rFonts w:hint="default"/>
        <w:lang w:val="en-US" w:eastAsia="en-US" w:bidi="ar-SA"/>
      </w:rPr>
    </w:lvl>
    <w:lvl w:ilvl="4">
      <w:start w:val="0"/>
      <w:numFmt w:val="bullet"/>
      <w:lvlText w:val="•"/>
      <w:lvlJc w:val="left"/>
      <w:pPr>
        <w:ind w:left="1191" w:hanging="138"/>
      </w:pPr>
      <w:rPr>
        <w:rFonts w:hint="default"/>
        <w:lang w:val="en-US" w:eastAsia="en-US" w:bidi="ar-SA"/>
      </w:rPr>
    </w:lvl>
    <w:lvl w:ilvl="5">
      <w:start w:val="0"/>
      <w:numFmt w:val="bullet"/>
      <w:lvlText w:val="•"/>
      <w:lvlJc w:val="left"/>
      <w:pPr>
        <w:ind w:left="1399" w:hanging="138"/>
      </w:pPr>
      <w:rPr>
        <w:rFonts w:hint="default"/>
        <w:lang w:val="en-US" w:eastAsia="en-US" w:bidi="ar-SA"/>
      </w:rPr>
    </w:lvl>
    <w:lvl w:ilvl="6">
      <w:start w:val="0"/>
      <w:numFmt w:val="bullet"/>
      <w:lvlText w:val="•"/>
      <w:lvlJc w:val="left"/>
      <w:pPr>
        <w:ind w:left="1606" w:hanging="138"/>
      </w:pPr>
      <w:rPr>
        <w:rFonts w:hint="default"/>
        <w:lang w:val="en-US" w:eastAsia="en-US" w:bidi="ar-SA"/>
      </w:rPr>
    </w:lvl>
    <w:lvl w:ilvl="7">
      <w:start w:val="0"/>
      <w:numFmt w:val="bullet"/>
      <w:lvlText w:val="•"/>
      <w:lvlJc w:val="left"/>
      <w:pPr>
        <w:ind w:left="1814" w:hanging="138"/>
      </w:pPr>
      <w:rPr>
        <w:rFonts w:hint="default"/>
        <w:lang w:val="en-US" w:eastAsia="en-US" w:bidi="ar-SA"/>
      </w:rPr>
    </w:lvl>
    <w:lvl w:ilvl="8">
      <w:start w:val="0"/>
      <w:numFmt w:val="bullet"/>
      <w:lvlText w:val="•"/>
      <w:lvlJc w:val="left"/>
      <w:pPr>
        <w:ind w:left="2022" w:hanging="138"/>
      </w:pPr>
      <w:rPr>
        <w:rFonts w:hint="default"/>
        <w:lang w:val="en-US" w:eastAsia="en-US" w:bidi="ar-SA"/>
      </w:rPr>
    </w:lvl>
  </w:abstractNum>
  <w:abstractNum w:abstractNumId="1">
    <w:nsid w:val="0FFBCF67"/>
    <w:multiLevelType w:val="hybridMultilevel"/>
    <w:tmpl w:val="00000000"/>
    <w:lvl w:ilvl="0">
      <w:start w:val="1"/>
      <w:numFmt w:val="decimal"/>
      <w:lvlText w:val="%1."/>
      <w:lvlJc w:val="left"/>
      <w:pPr>
        <w:ind w:left="51"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294" w:hanging="138"/>
      </w:pPr>
      <w:rPr>
        <w:rFonts w:hint="default"/>
        <w:lang w:val="en-US" w:eastAsia="en-US" w:bidi="ar-SA"/>
      </w:rPr>
    </w:lvl>
    <w:lvl w:ilvl="2">
      <w:start w:val="0"/>
      <w:numFmt w:val="bullet"/>
      <w:lvlText w:val="•"/>
      <w:lvlJc w:val="left"/>
      <w:pPr>
        <w:ind w:left="528" w:hanging="138"/>
      </w:pPr>
      <w:rPr>
        <w:rFonts w:hint="default"/>
        <w:lang w:val="en-US" w:eastAsia="en-US" w:bidi="ar-SA"/>
      </w:rPr>
    </w:lvl>
    <w:lvl w:ilvl="3">
      <w:start w:val="0"/>
      <w:numFmt w:val="bullet"/>
      <w:lvlText w:val="•"/>
      <w:lvlJc w:val="left"/>
      <w:pPr>
        <w:ind w:left="762" w:hanging="138"/>
      </w:pPr>
      <w:rPr>
        <w:rFonts w:hint="default"/>
        <w:lang w:val="en-US" w:eastAsia="en-US" w:bidi="ar-SA"/>
      </w:rPr>
    </w:lvl>
    <w:lvl w:ilvl="4">
      <w:start w:val="0"/>
      <w:numFmt w:val="bullet"/>
      <w:lvlText w:val="•"/>
      <w:lvlJc w:val="left"/>
      <w:pPr>
        <w:ind w:left="996" w:hanging="138"/>
      </w:pPr>
      <w:rPr>
        <w:rFonts w:hint="default"/>
        <w:lang w:val="en-US" w:eastAsia="en-US" w:bidi="ar-SA"/>
      </w:rPr>
    </w:lvl>
    <w:lvl w:ilvl="5">
      <w:start w:val="0"/>
      <w:numFmt w:val="bullet"/>
      <w:lvlText w:val="•"/>
      <w:lvlJc w:val="left"/>
      <w:pPr>
        <w:ind w:left="1230" w:hanging="138"/>
      </w:pPr>
      <w:rPr>
        <w:rFonts w:hint="default"/>
        <w:lang w:val="en-US" w:eastAsia="en-US" w:bidi="ar-SA"/>
      </w:rPr>
    </w:lvl>
    <w:lvl w:ilvl="6">
      <w:start w:val="0"/>
      <w:numFmt w:val="bullet"/>
      <w:lvlText w:val="•"/>
      <w:lvlJc w:val="left"/>
      <w:pPr>
        <w:ind w:left="1464" w:hanging="138"/>
      </w:pPr>
      <w:rPr>
        <w:rFonts w:hint="default"/>
        <w:lang w:val="en-US" w:eastAsia="en-US" w:bidi="ar-SA"/>
      </w:rPr>
    </w:lvl>
    <w:lvl w:ilvl="7">
      <w:start w:val="0"/>
      <w:numFmt w:val="bullet"/>
      <w:lvlText w:val="•"/>
      <w:lvlJc w:val="left"/>
      <w:pPr>
        <w:ind w:left="1698" w:hanging="138"/>
      </w:pPr>
      <w:rPr>
        <w:rFonts w:hint="default"/>
        <w:lang w:val="en-US" w:eastAsia="en-US" w:bidi="ar-SA"/>
      </w:rPr>
    </w:lvl>
    <w:lvl w:ilvl="8">
      <w:start w:val="0"/>
      <w:numFmt w:val="bullet"/>
      <w:lvlText w:val="•"/>
      <w:lvlJc w:val="left"/>
      <w:pPr>
        <w:ind w:left="1932" w:hanging="138"/>
      </w:pPr>
      <w:rPr>
        <w:rFonts w:hint="default"/>
        <w:lang w:val="en-US" w:eastAsia="en-US" w:bidi="ar-SA"/>
      </w:rPr>
    </w:lvl>
  </w:abstractNum>
  <w:abstractNum w:abstractNumId="2">
    <w:nsid w:val="16D76306"/>
    <w:multiLevelType w:val="hybridMultilevel"/>
    <w:tmpl w:val="00000000"/>
    <w:lvl w:ilvl="0">
      <w:start w:val="1"/>
      <w:numFmt w:val="decimal"/>
      <w:lvlText w:val="%1."/>
      <w:lvlJc w:val="left"/>
      <w:pPr>
        <w:ind w:left="51"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294" w:hanging="138"/>
      </w:pPr>
      <w:rPr>
        <w:rFonts w:hint="default"/>
        <w:lang w:val="en-US" w:eastAsia="en-US" w:bidi="ar-SA"/>
      </w:rPr>
    </w:lvl>
    <w:lvl w:ilvl="2">
      <w:start w:val="0"/>
      <w:numFmt w:val="bullet"/>
      <w:lvlText w:val="•"/>
      <w:lvlJc w:val="left"/>
      <w:pPr>
        <w:ind w:left="528" w:hanging="138"/>
      </w:pPr>
      <w:rPr>
        <w:rFonts w:hint="default"/>
        <w:lang w:val="en-US" w:eastAsia="en-US" w:bidi="ar-SA"/>
      </w:rPr>
    </w:lvl>
    <w:lvl w:ilvl="3">
      <w:start w:val="0"/>
      <w:numFmt w:val="bullet"/>
      <w:lvlText w:val="•"/>
      <w:lvlJc w:val="left"/>
      <w:pPr>
        <w:ind w:left="762" w:hanging="138"/>
      </w:pPr>
      <w:rPr>
        <w:rFonts w:hint="default"/>
        <w:lang w:val="en-US" w:eastAsia="en-US" w:bidi="ar-SA"/>
      </w:rPr>
    </w:lvl>
    <w:lvl w:ilvl="4">
      <w:start w:val="0"/>
      <w:numFmt w:val="bullet"/>
      <w:lvlText w:val="•"/>
      <w:lvlJc w:val="left"/>
      <w:pPr>
        <w:ind w:left="996" w:hanging="138"/>
      </w:pPr>
      <w:rPr>
        <w:rFonts w:hint="default"/>
        <w:lang w:val="en-US" w:eastAsia="en-US" w:bidi="ar-SA"/>
      </w:rPr>
    </w:lvl>
    <w:lvl w:ilvl="5">
      <w:start w:val="0"/>
      <w:numFmt w:val="bullet"/>
      <w:lvlText w:val="•"/>
      <w:lvlJc w:val="left"/>
      <w:pPr>
        <w:ind w:left="1230" w:hanging="138"/>
      </w:pPr>
      <w:rPr>
        <w:rFonts w:hint="default"/>
        <w:lang w:val="en-US" w:eastAsia="en-US" w:bidi="ar-SA"/>
      </w:rPr>
    </w:lvl>
    <w:lvl w:ilvl="6">
      <w:start w:val="0"/>
      <w:numFmt w:val="bullet"/>
      <w:lvlText w:val="•"/>
      <w:lvlJc w:val="left"/>
      <w:pPr>
        <w:ind w:left="1464" w:hanging="138"/>
      </w:pPr>
      <w:rPr>
        <w:rFonts w:hint="default"/>
        <w:lang w:val="en-US" w:eastAsia="en-US" w:bidi="ar-SA"/>
      </w:rPr>
    </w:lvl>
    <w:lvl w:ilvl="7">
      <w:start w:val="0"/>
      <w:numFmt w:val="bullet"/>
      <w:lvlText w:val="•"/>
      <w:lvlJc w:val="left"/>
      <w:pPr>
        <w:ind w:left="1698" w:hanging="138"/>
      </w:pPr>
      <w:rPr>
        <w:rFonts w:hint="default"/>
        <w:lang w:val="en-US" w:eastAsia="en-US" w:bidi="ar-SA"/>
      </w:rPr>
    </w:lvl>
    <w:lvl w:ilvl="8">
      <w:start w:val="0"/>
      <w:numFmt w:val="bullet"/>
      <w:lvlText w:val="•"/>
      <w:lvlJc w:val="left"/>
      <w:pPr>
        <w:ind w:left="1932" w:hanging="138"/>
      </w:pPr>
      <w:rPr>
        <w:rFonts w:hint="default"/>
        <w:lang w:val="en-US" w:eastAsia="en-US" w:bidi="ar-SA"/>
      </w:rPr>
    </w:lvl>
  </w:abstractNum>
  <w:abstractNum w:abstractNumId="3">
    <w:nsid w:val="1714E448"/>
    <w:multiLevelType w:val="hybridMultilevel"/>
    <w:tmpl w:val="00000000"/>
    <w:lvl w:ilvl="0">
      <w:start w:val="1"/>
      <w:numFmt w:val="decimal"/>
      <w:lvlText w:val="%1"/>
      <w:lvlJc w:val="left"/>
      <w:pPr>
        <w:ind w:left="739" w:hanging="269"/>
        <w:jc w:val="left"/>
      </w:pPr>
      <w:rPr>
        <w:rFonts w:ascii="宋体" w:eastAsia="宋体" w:hAnsi="宋体" w:cs="宋体" w:hint="default"/>
        <w:w w:val="100"/>
        <w:sz w:val="18"/>
        <w:szCs w:val="18"/>
        <w:lang w:val="en-US" w:eastAsia="en-US" w:bidi="ar-SA"/>
      </w:rPr>
    </w:lvl>
    <w:lvl w:ilvl="1">
      <w:start w:val="0"/>
      <w:numFmt w:val="bullet"/>
      <w:lvlText w:val="•"/>
      <w:lvlJc w:val="left"/>
      <w:pPr>
        <w:ind w:left="1008" w:hanging="269"/>
      </w:pPr>
      <w:rPr>
        <w:rFonts w:hint="default"/>
        <w:lang w:val="en-US" w:eastAsia="en-US" w:bidi="ar-SA"/>
      </w:rPr>
    </w:lvl>
    <w:lvl w:ilvl="2">
      <w:start w:val="0"/>
      <w:numFmt w:val="bullet"/>
      <w:lvlText w:val="•"/>
      <w:lvlJc w:val="left"/>
      <w:pPr>
        <w:ind w:left="1276" w:hanging="269"/>
      </w:pPr>
      <w:rPr>
        <w:rFonts w:hint="default"/>
        <w:lang w:val="en-US" w:eastAsia="en-US" w:bidi="ar-SA"/>
      </w:rPr>
    </w:lvl>
    <w:lvl w:ilvl="3">
      <w:start w:val="0"/>
      <w:numFmt w:val="bullet"/>
      <w:lvlText w:val="•"/>
      <w:lvlJc w:val="left"/>
      <w:pPr>
        <w:ind w:left="1544" w:hanging="269"/>
      </w:pPr>
      <w:rPr>
        <w:rFonts w:hint="default"/>
        <w:lang w:val="en-US" w:eastAsia="en-US" w:bidi="ar-SA"/>
      </w:rPr>
    </w:lvl>
    <w:lvl w:ilvl="4">
      <w:start w:val="0"/>
      <w:numFmt w:val="bullet"/>
      <w:lvlText w:val="•"/>
      <w:lvlJc w:val="left"/>
      <w:pPr>
        <w:ind w:left="1813" w:hanging="269"/>
      </w:pPr>
      <w:rPr>
        <w:rFonts w:hint="default"/>
        <w:lang w:val="en-US" w:eastAsia="en-US" w:bidi="ar-SA"/>
      </w:rPr>
    </w:lvl>
    <w:lvl w:ilvl="5">
      <w:start w:val="0"/>
      <w:numFmt w:val="bullet"/>
      <w:lvlText w:val="•"/>
      <w:lvlJc w:val="left"/>
      <w:pPr>
        <w:ind w:left="2081" w:hanging="269"/>
      </w:pPr>
      <w:rPr>
        <w:rFonts w:hint="default"/>
        <w:lang w:val="en-US" w:eastAsia="en-US" w:bidi="ar-SA"/>
      </w:rPr>
    </w:lvl>
    <w:lvl w:ilvl="6">
      <w:start w:val="0"/>
      <w:numFmt w:val="bullet"/>
      <w:lvlText w:val="•"/>
      <w:lvlJc w:val="left"/>
      <w:pPr>
        <w:ind w:left="2349" w:hanging="269"/>
      </w:pPr>
      <w:rPr>
        <w:rFonts w:hint="default"/>
        <w:lang w:val="en-US" w:eastAsia="en-US" w:bidi="ar-SA"/>
      </w:rPr>
    </w:lvl>
    <w:lvl w:ilvl="7">
      <w:start w:val="0"/>
      <w:numFmt w:val="bullet"/>
      <w:lvlText w:val="•"/>
      <w:lvlJc w:val="left"/>
      <w:pPr>
        <w:ind w:left="2618" w:hanging="269"/>
      </w:pPr>
      <w:rPr>
        <w:rFonts w:hint="default"/>
        <w:lang w:val="en-US" w:eastAsia="en-US" w:bidi="ar-SA"/>
      </w:rPr>
    </w:lvl>
    <w:lvl w:ilvl="8">
      <w:start w:val="0"/>
      <w:numFmt w:val="bullet"/>
      <w:lvlText w:val="•"/>
      <w:lvlJc w:val="left"/>
      <w:pPr>
        <w:ind w:left="2886" w:hanging="269"/>
      </w:pPr>
      <w:rPr>
        <w:rFonts w:hint="default"/>
        <w:lang w:val="en-US" w:eastAsia="en-US" w:bidi="ar-SA"/>
      </w:rPr>
    </w:lvl>
  </w:abstractNum>
  <w:abstractNum w:abstractNumId="4">
    <w:nsid w:val="17EB2C30"/>
    <w:multiLevelType w:val="hybridMultilevel"/>
    <w:tmpl w:val="00000000"/>
    <w:lvl w:ilvl="0">
      <w:start w:val="1"/>
      <w:numFmt w:val="decimal"/>
      <w:lvlText w:val="%1."/>
      <w:lvlJc w:val="left"/>
      <w:pPr>
        <w:ind w:left="367" w:hanging="138"/>
        <w:jc w:val="left"/>
      </w:pPr>
      <w:rPr>
        <w:rFonts w:ascii="Times New Roman" w:eastAsia="Times New Roman" w:hAnsi="Times New Roman" w:cs="Times New Roman" w:hint="default"/>
        <w:spacing w:val="0"/>
        <w:w w:val="100"/>
        <w:sz w:val="16"/>
        <w:szCs w:val="16"/>
        <w:lang w:val="en-US" w:eastAsia="en-US" w:bidi="ar-SA"/>
      </w:rPr>
    </w:lvl>
    <w:lvl w:ilvl="1">
      <w:start w:val="0"/>
      <w:numFmt w:val="bullet"/>
      <w:lvlText w:val="•"/>
      <w:lvlJc w:val="left"/>
      <w:pPr>
        <w:ind w:left="567" w:hanging="138"/>
      </w:pPr>
      <w:rPr>
        <w:rFonts w:hint="default"/>
        <w:lang w:val="en-US" w:eastAsia="en-US" w:bidi="ar-SA"/>
      </w:rPr>
    </w:lvl>
    <w:lvl w:ilvl="2">
      <w:start w:val="0"/>
      <w:numFmt w:val="bullet"/>
      <w:lvlText w:val="•"/>
      <w:lvlJc w:val="left"/>
      <w:pPr>
        <w:ind w:left="775" w:hanging="138"/>
      </w:pPr>
      <w:rPr>
        <w:rFonts w:hint="default"/>
        <w:lang w:val="en-US" w:eastAsia="en-US" w:bidi="ar-SA"/>
      </w:rPr>
    </w:lvl>
    <w:lvl w:ilvl="3">
      <w:start w:val="0"/>
      <w:numFmt w:val="bullet"/>
      <w:lvlText w:val="•"/>
      <w:lvlJc w:val="left"/>
      <w:pPr>
        <w:ind w:left="983" w:hanging="138"/>
      </w:pPr>
      <w:rPr>
        <w:rFonts w:hint="default"/>
        <w:lang w:val="en-US" w:eastAsia="en-US" w:bidi="ar-SA"/>
      </w:rPr>
    </w:lvl>
    <w:lvl w:ilvl="4">
      <w:start w:val="0"/>
      <w:numFmt w:val="bullet"/>
      <w:lvlText w:val="•"/>
      <w:lvlJc w:val="left"/>
      <w:pPr>
        <w:ind w:left="1191" w:hanging="138"/>
      </w:pPr>
      <w:rPr>
        <w:rFonts w:hint="default"/>
        <w:lang w:val="en-US" w:eastAsia="en-US" w:bidi="ar-SA"/>
      </w:rPr>
    </w:lvl>
    <w:lvl w:ilvl="5">
      <w:start w:val="0"/>
      <w:numFmt w:val="bullet"/>
      <w:lvlText w:val="•"/>
      <w:lvlJc w:val="left"/>
      <w:pPr>
        <w:ind w:left="1399" w:hanging="138"/>
      </w:pPr>
      <w:rPr>
        <w:rFonts w:hint="default"/>
        <w:lang w:val="en-US" w:eastAsia="en-US" w:bidi="ar-SA"/>
      </w:rPr>
    </w:lvl>
    <w:lvl w:ilvl="6">
      <w:start w:val="0"/>
      <w:numFmt w:val="bullet"/>
      <w:lvlText w:val="•"/>
      <w:lvlJc w:val="left"/>
      <w:pPr>
        <w:ind w:left="1606" w:hanging="138"/>
      </w:pPr>
      <w:rPr>
        <w:rFonts w:hint="default"/>
        <w:lang w:val="en-US" w:eastAsia="en-US" w:bidi="ar-SA"/>
      </w:rPr>
    </w:lvl>
    <w:lvl w:ilvl="7">
      <w:start w:val="0"/>
      <w:numFmt w:val="bullet"/>
      <w:lvlText w:val="•"/>
      <w:lvlJc w:val="left"/>
      <w:pPr>
        <w:ind w:left="1814" w:hanging="138"/>
      </w:pPr>
      <w:rPr>
        <w:rFonts w:hint="default"/>
        <w:lang w:val="en-US" w:eastAsia="en-US" w:bidi="ar-SA"/>
      </w:rPr>
    </w:lvl>
    <w:lvl w:ilvl="8">
      <w:start w:val="0"/>
      <w:numFmt w:val="bullet"/>
      <w:lvlText w:val="•"/>
      <w:lvlJc w:val="left"/>
      <w:pPr>
        <w:ind w:left="2022" w:hanging="138"/>
      </w:pPr>
      <w:rPr>
        <w:rFonts w:hint="default"/>
        <w:lang w:val="en-US" w:eastAsia="en-US" w:bidi="ar-SA"/>
      </w:rPr>
    </w:lvl>
  </w:abstractNum>
  <w:abstractNum w:abstractNumId="5">
    <w:nsid w:val="19A01804"/>
    <w:multiLevelType w:val="hybridMultilevel"/>
    <w:tmpl w:val="00000000"/>
    <w:lvl w:ilvl="0">
      <w:start w:val="6"/>
      <w:numFmt w:val="upperLetter"/>
      <w:lvlText w:val="%1"/>
      <w:lvlJc w:val="left"/>
      <w:pPr>
        <w:ind w:left="1704" w:hanging="526"/>
        <w:jc w:val="left"/>
      </w:pPr>
      <w:rPr>
        <w:rFonts w:hint="default"/>
        <w:lang w:val="en-US" w:eastAsia="en-US" w:bidi="ar-SA"/>
      </w:rPr>
    </w:lvl>
    <w:lvl w:ilvl="1">
      <w:start w:val="1"/>
      <w:numFmt w:val="decimal"/>
      <w:lvlText w:val="%1.%2"/>
      <w:lvlJc w:val="left"/>
      <w:pPr>
        <w:ind w:left="1704" w:hanging="526"/>
        <w:jc w:val="left"/>
      </w:pPr>
      <w:rPr>
        <w:rFonts w:ascii="黑体" w:eastAsia="黑体" w:hAnsi="黑体" w:cs="黑体" w:hint="default"/>
        <w:spacing w:val="0"/>
        <w:w w:val="99"/>
        <w:sz w:val="21"/>
        <w:szCs w:val="21"/>
        <w:lang w:val="en-US" w:eastAsia="en-US" w:bidi="ar-SA"/>
      </w:rPr>
    </w:lvl>
    <w:lvl w:ilvl="2">
      <w:start w:val="0"/>
      <w:numFmt w:val="bullet"/>
      <w:lvlText w:val="•"/>
      <w:lvlJc w:val="left"/>
      <w:pPr>
        <w:ind w:left="3641" w:hanging="526"/>
      </w:pPr>
      <w:rPr>
        <w:rFonts w:hint="default"/>
        <w:lang w:val="en-US" w:eastAsia="en-US" w:bidi="ar-SA"/>
      </w:rPr>
    </w:lvl>
    <w:lvl w:ilvl="3">
      <w:start w:val="0"/>
      <w:numFmt w:val="bullet"/>
      <w:lvlText w:val="•"/>
      <w:lvlJc w:val="left"/>
      <w:pPr>
        <w:ind w:left="4611" w:hanging="526"/>
      </w:pPr>
      <w:rPr>
        <w:rFonts w:hint="default"/>
        <w:lang w:val="en-US" w:eastAsia="en-US" w:bidi="ar-SA"/>
      </w:rPr>
    </w:lvl>
    <w:lvl w:ilvl="4">
      <w:start w:val="0"/>
      <w:numFmt w:val="bullet"/>
      <w:lvlText w:val="•"/>
      <w:lvlJc w:val="left"/>
      <w:pPr>
        <w:ind w:left="5582" w:hanging="526"/>
      </w:pPr>
      <w:rPr>
        <w:rFonts w:hint="default"/>
        <w:lang w:val="en-US" w:eastAsia="en-US" w:bidi="ar-SA"/>
      </w:rPr>
    </w:lvl>
    <w:lvl w:ilvl="5">
      <w:start w:val="0"/>
      <w:numFmt w:val="bullet"/>
      <w:lvlText w:val="•"/>
      <w:lvlJc w:val="left"/>
      <w:pPr>
        <w:ind w:left="6553" w:hanging="526"/>
      </w:pPr>
      <w:rPr>
        <w:rFonts w:hint="default"/>
        <w:lang w:val="en-US" w:eastAsia="en-US" w:bidi="ar-SA"/>
      </w:rPr>
    </w:lvl>
    <w:lvl w:ilvl="6">
      <w:start w:val="0"/>
      <w:numFmt w:val="bullet"/>
      <w:lvlText w:val="•"/>
      <w:lvlJc w:val="left"/>
      <w:pPr>
        <w:ind w:left="7523" w:hanging="526"/>
      </w:pPr>
      <w:rPr>
        <w:rFonts w:hint="default"/>
        <w:lang w:val="en-US" w:eastAsia="en-US" w:bidi="ar-SA"/>
      </w:rPr>
    </w:lvl>
    <w:lvl w:ilvl="7">
      <w:start w:val="0"/>
      <w:numFmt w:val="bullet"/>
      <w:lvlText w:val="•"/>
      <w:lvlJc w:val="left"/>
      <w:pPr>
        <w:ind w:left="8494" w:hanging="526"/>
      </w:pPr>
      <w:rPr>
        <w:rFonts w:hint="default"/>
        <w:lang w:val="en-US" w:eastAsia="en-US" w:bidi="ar-SA"/>
      </w:rPr>
    </w:lvl>
    <w:lvl w:ilvl="8">
      <w:start w:val="0"/>
      <w:numFmt w:val="bullet"/>
      <w:lvlText w:val="•"/>
      <w:lvlJc w:val="left"/>
      <w:pPr>
        <w:ind w:left="9464" w:hanging="526"/>
      </w:pPr>
      <w:rPr>
        <w:rFonts w:hint="default"/>
        <w:lang w:val="en-US" w:eastAsia="en-US" w:bidi="ar-SA"/>
      </w:rPr>
    </w:lvl>
  </w:abstractNum>
  <w:abstractNum w:abstractNumId="6">
    <w:nsid w:val="217AC1EC"/>
    <w:multiLevelType w:val="hybridMultilevel"/>
    <w:tmpl w:val="00000000"/>
    <w:lvl w:ilvl="0">
      <w:start w:val="9"/>
      <w:numFmt w:val="decimal"/>
      <w:lvlText w:val="%1"/>
      <w:lvlJc w:val="left"/>
      <w:pPr>
        <w:ind w:left="499" w:hanging="500"/>
        <w:jc w:val="left"/>
      </w:pPr>
      <w:rPr>
        <w:rFonts w:hint="default"/>
        <w:lang w:val="en-US" w:eastAsia="en-US" w:bidi="ar-SA"/>
      </w:rPr>
    </w:lvl>
    <w:lvl w:ilvl="1">
      <w:start w:val="1"/>
      <w:numFmt w:val="decimal"/>
      <w:lvlText w:val="%1.%2"/>
      <w:lvlJc w:val="left"/>
      <w:pPr>
        <w:ind w:left="499"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698"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2290" w:hanging="699"/>
      </w:pPr>
      <w:rPr>
        <w:rFonts w:hint="default"/>
        <w:lang w:val="en-US" w:eastAsia="en-US" w:bidi="ar-SA"/>
      </w:rPr>
    </w:lvl>
    <w:lvl w:ilvl="4">
      <w:start w:val="0"/>
      <w:numFmt w:val="bullet"/>
      <w:lvlText w:val="•"/>
      <w:lvlJc w:val="left"/>
      <w:pPr>
        <w:ind w:left="3085" w:hanging="699"/>
      </w:pPr>
      <w:rPr>
        <w:rFonts w:hint="default"/>
        <w:lang w:val="en-US" w:eastAsia="en-US" w:bidi="ar-SA"/>
      </w:rPr>
    </w:lvl>
    <w:lvl w:ilvl="5">
      <w:start w:val="0"/>
      <w:numFmt w:val="bullet"/>
      <w:lvlText w:val="•"/>
      <w:lvlJc w:val="left"/>
      <w:pPr>
        <w:ind w:left="3880" w:hanging="699"/>
      </w:pPr>
      <w:rPr>
        <w:rFonts w:hint="default"/>
        <w:lang w:val="en-US" w:eastAsia="en-US" w:bidi="ar-SA"/>
      </w:rPr>
    </w:lvl>
    <w:lvl w:ilvl="6">
      <w:start w:val="0"/>
      <w:numFmt w:val="bullet"/>
      <w:lvlText w:val="•"/>
      <w:lvlJc w:val="left"/>
      <w:pPr>
        <w:ind w:left="4675" w:hanging="699"/>
      </w:pPr>
      <w:rPr>
        <w:rFonts w:hint="default"/>
        <w:lang w:val="en-US" w:eastAsia="en-US" w:bidi="ar-SA"/>
      </w:rPr>
    </w:lvl>
    <w:lvl w:ilvl="7">
      <w:start w:val="0"/>
      <w:numFmt w:val="bullet"/>
      <w:lvlText w:val="•"/>
      <w:lvlJc w:val="left"/>
      <w:pPr>
        <w:ind w:left="5470" w:hanging="699"/>
      </w:pPr>
      <w:rPr>
        <w:rFonts w:hint="default"/>
        <w:lang w:val="en-US" w:eastAsia="en-US" w:bidi="ar-SA"/>
      </w:rPr>
    </w:lvl>
    <w:lvl w:ilvl="8">
      <w:start w:val="0"/>
      <w:numFmt w:val="bullet"/>
      <w:lvlText w:val="•"/>
      <w:lvlJc w:val="left"/>
      <w:pPr>
        <w:ind w:left="6265" w:hanging="699"/>
      </w:pPr>
      <w:rPr>
        <w:rFonts w:hint="default"/>
        <w:lang w:val="en-US" w:eastAsia="en-US" w:bidi="ar-SA"/>
      </w:rPr>
    </w:lvl>
  </w:abstractNum>
  <w:abstractNum w:abstractNumId="7">
    <w:nsid w:val="294C2C3F"/>
    <w:multiLevelType w:val="hybridMultilevel"/>
    <w:tmpl w:val="00000000"/>
    <w:lvl w:ilvl="0">
      <w:start w:val="8"/>
      <w:numFmt w:val="decimal"/>
      <w:lvlText w:val="%1"/>
      <w:lvlJc w:val="left"/>
      <w:pPr>
        <w:ind w:left="1478" w:hanging="300"/>
        <w:jc w:val="left"/>
      </w:pPr>
      <w:rPr>
        <w:rFonts w:ascii="黑体" w:eastAsia="黑体" w:hAnsi="黑体" w:cs="黑体" w:hint="default"/>
        <w:w w:val="99"/>
        <w:sz w:val="20"/>
        <w:szCs w:val="20"/>
        <w:lang w:val="en-US" w:eastAsia="en-US" w:bidi="ar-SA"/>
      </w:rPr>
    </w:lvl>
    <w:lvl w:ilvl="1">
      <w:start w:val="1"/>
      <w:numFmt w:val="decimal"/>
      <w:lvlText w:val="%1.%2"/>
      <w:lvlJc w:val="left"/>
      <w:pPr>
        <w:ind w:left="1677"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1876"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1880" w:hanging="699"/>
      </w:pPr>
      <w:rPr>
        <w:rFonts w:hint="default"/>
        <w:lang w:val="en-US" w:eastAsia="en-US" w:bidi="ar-SA"/>
      </w:rPr>
    </w:lvl>
    <w:lvl w:ilvl="4">
      <w:start w:val="0"/>
      <w:numFmt w:val="bullet"/>
      <w:lvlText w:val="•"/>
      <w:lvlJc w:val="left"/>
      <w:pPr>
        <w:ind w:left="3240" w:hanging="699"/>
      </w:pPr>
      <w:rPr>
        <w:rFonts w:hint="default"/>
        <w:lang w:val="en-US" w:eastAsia="en-US" w:bidi="ar-SA"/>
      </w:rPr>
    </w:lvl>
    <w:lvl w:ilvl="5">
      <w:start w:val="0"/>
      <w:numFmt w:val="bullet"/>
      <w:lvlText w:val="•"/>
      <w:lvlJc w:val="left"/>
      <w:pPr>
        <w:ind w:left="4601" w:hanging="699"/>
      </w:pPr>
      <w:rPr>
        <w:rFonts w:hint="default"/>
        <w:lang w:val="en-US" w:eastAsia="en-US" w:bidi="ar-SA"/>
      </w:rPr>
    </w:lvl>
    <w:lvl w:ilvl="6">
      <w:start w:val="0"/>
      <w:numFmt w:val="bullet"/>
      <w:lvlText w:val="•"/>
      <w:lvlJc w:val="left"/>
      <w:pPr>
        <w:ind w:left="5962" w:hanging="699"/>
      </w:pPr>
      <w:rPr>
        <w:rFonts w:hint="default"/>
        <w:lang w:val="en-US" w:eastAsia="en-US" w:bidi="ar-SA"/>
      </w:rPr>
    </w:lvl>
    <w:lvl w:ilvl="7">
      <w:start w:val="0"/>
      <w:numFmt w:val="bullet"/>
      <w:lvlText w:val="•"/>
      <w:lvlJc w:val="left"/>
      <w:pPr>
        <w:ind w:left="7323" w:hanging="699"/>
      </w:pPr>
      <w:rPr>
        <w:rFonts w:hint="default"/>
        <w:lang w:val="en-US" w:eastAsia="en-US" w:bidi="ar-SA"/>
      </w:rPr>
    </w:lvl>
    <w:lvl w:ilvl="8">
      <w:start w:val="0"/>
      <w:numFmt w:val="bullet"/>
      <w:lvlText w:val="•"/>
      <w:lvlJc w:val="left"/>
      <w:pPr>
        <w:ind w:left="8684" w:hanging="699"/>
      </w:pPr>
      <w:rPr>
        <w:rFonts w:hint="default"/>
        <w:lang w:val="en-US" w:eastAsia="en-US" w:bidi="ar-SA"/>
      </w:rPr>
    </w:lvl>
  </w:abstractNum>
  <w:abstractNum w:abstractNumId="8">
    <w:nsid w:val="2A2C143B"/>
    <w:multiLevelType w:val="hybridMultilevel"/>
    <w:tmpl w:val="00000000"/>
    <w:lvl w:ilvl="0">
      <w:start w:val="9"/>
      <w:numFmt w:val="decimal"/>
      <w:lvlText w:val="%1"/>
      <w:lvlJc w:val="left"/>
      <w:pPr>
        <w:ind w:left="499" w:hanging="500"/>
        <w:jc w:val="left"/>
      </w:pPr>
      <w:rPr>
        <w:rFonts w:hint="default"/>
        <w:lang w:val="en-US" w:eastAsia="en-US" w:bidi="ar-SA"/>
      </w:rPr>
    </w:lvl>
    <w:lvl w:ilvl="1">
      <w:start w:val="2"/>
      <w:numFmt w:val="decimal"/>
      <w:lvlText w:val="%1.%2"/>
      <w:lvlJc w:val="left"/>
      <w:pPr>
        <w:ind w:left="499"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698"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2290" w:hanging="699"/>
      </w:pPr>
      <w:rPr>
        <w:rFonts w:hint="default"/>
        <w:lang w:val="en-US" w:eastAsia="en-US" w:bidi="ar-SA"/>
      </w:rPr>
    </w:lvl>
    <w:lvl w:ilvl="4">
      <w:start w:val="0"/>
      <w:numFmt w:val="bullet"/>
      <w:lvlText w:val="•"/>
      <w:lvlJc w:val="left"/>
      <w:pPr>
        <w:ind w:left="3085" w:hanging="699"/>
      </w:pPr>
      <w:rPr>
        <w:rFonts w:hint="default"/>
        <w:lang w:val="en-US" w:eastAsia="en-US" w:bidi="ar-SA"/>
      </w:rPr>
    </w:lvl>
    <w:lvl w:ilvl="5">
      <w:start w:val="0"/>
      <w:numFmt w:val="bullet"/>
      <w:lvlText w:val="•"/>
      <w:lvlJc w:val="left"/>
      <w:pPr>
        <w:ind w:left="3880" w:hanging="699"/>
      </w:pPr>
      <w:rPr>
        <w:rFonts w:hint="default"/>
        <w:lang w:val="en-US" w:eastAsia="en-US" w:bidi="ar-SA"/>
      </w:rPr>
    </w:lvl>
    <w:lvl w:ilvl="6">
      <w:start w:val="0"/>
      <w:numFmt w:val="bullet"/>
      <w:lvlText w:val="•"/>
      <w:lvlJc w:val="left"/>
      <w:pPr>
        <w:ind w:left="4675" w:hanging="699"/>
      </w:pPr>
      <w:rPr>
        <w:rFonts w:hint="default"/>
        <w:lang w:val="en-US" w:eastAsia="en-US" w:bidi="ar-SA"/>
      </w:rPr>
    </w:lvl>
    <w:lvl w:ilvl="7">
      <w:start w:val="0"/>
      <w:numFmt w:val="bullet"/>
      <w:lvlText w:val="•"/>
      <w:lvlJc w:val="left"/>
      <w:pPr>
        <w:ind w:left="5470" w:hanging="699"/>
      </w:pPr>
      <w:rPr>
        <w:rFonts w:hint="default"/>
        <w:lang w:val="en-US" w:eastAsia="en-US" w:bidi="ar-SA"/>
      </w:rPr>
    </w:lvl>
    <w:lvl w:ilvl="8">
      <w:start w:val="0"/>
      <w:numFmt w:val="bullet"/>
      <w:lvlText w:val="•"/>
      <w:lvlJc w:val="left"/>
      <w:pPr>
        <w:ind w:left="6265" w:hanging="699"/>
      </w:pPr>
      <w:rPr>
        <w:rFonts w:hint="default"/>
        <w:lang w:val="en-US" w:eastAsia="en-US" w:bidi="ar-SA"/>
      </w:rPr>
    </w:lvl>
  </w:abstractNum>
  <w:abstractNum w:abstractNumId="9">
    <w:nsid w:val="2D9C4205"/>
    <w:multiLevelType w:val="hybridMultilevel"/>
    <w:tmpl w:val="00000000"/>
    <w:lvl w:ilvl="0">
      <w:start w:val="9"/>
      <w:numFmt w:val="decimal"/>
      <w:lvlText w:val="%1"/>
      <w:lvlJc w:val="left"/>
      <w:pPr>
        <w:ind w:left="698" w:hanging="699"/>
        <w:jc w:val="left"/>
      </w:pPr>
      <w:rPr>
        <w:rFonts w:hint="default"/>
        <w:lang w:val="en-US" w:eastAsia="en-US" w:bidi="ar-SA"/>
      </w:rPr>
    </w:lvl>
    <w:lvl w:ilvl="1">
      <w:start w:val="3"/>
      <w:numFmt w:val="decimal"/>
      <w:lvlText w:val="%1.%2"/>
      <w:lvlJc w:val="left"/>
      <w:pPr>
        <w:ind w:left="698" w:hanging="699"/>
        <w:jc w:val="left"/>
      </w:pPr>
      <w:rPr>
        <w:rFonts w:hint="default"/>
        <w:lang w:val="en-US" w:eastAsia="en-US" w:bidi="ar-SA"/>
      </w:rPr>
    </w:lvl>
    <w:lvl w:ilvl="2">
      <w:start w:val="2"/>
      <w:numFmt w:val="decimal"/>
      <w:lvlText w:val="%1.%2.%3"/>
      <w:lvlJc w:val="left"/>
      <w:pPr>
        <w:ind w:left="698"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2232" w:hanging="699"/>
      </w:pPr>
      <w:rPr>
        <w:rFonts w:hint="default"/>
        <w:lang w:val="en-US" w:eastAsia="en-US" w:bidi="ar-SA"/>
      </w:rPr>
    </w:lvl>
    <w:lvl w:ilvl="4">
      <w:start w:val="0"/>
      <w:numFmt w:val="bullet"/>
      <w:lvlText w:val="•"/>
      <w:lvlJc w:val="left"/>
      <w:pPr>
        <w:ind w:left="2743" w:hanging="699"/>
      </w:pPr>
      <w:rPr>
        <w:rFonts w:hint="default"/>
        <w:lang w:val="en-US" w:eastAsia="en-US" w:bidi="ar-SA"/>
      </w:rPr>
    </w:lvl>
    <w:lvl w:ilvl="5">
      <w:start w:val="0"/>
      <w:numFmt w:val="bullet"/>
      <w:lvlText w:val="•"/>
      <w:lvlJc w:val="left"/>
      <w:pPr>
        <w:ind w:left="3254" w:hanging="699"/>
      </w:pPr>
      <w:rPr>
        <w:rFonts w:hint="default"/>
        <w:lang w:val="en-US" w:eastAsia="en-US" w:bidi="ar-SA"/>
      </w:rPr>
    </w:lvl>
    <w:lvl w:ilvl="6">
      <w:start w:val="0"/>
      <w:numFmt w:val="bullet"/>
      <w:lvlText w:val="•"/>
      <w:lvlJc w:val="left"/>
      <w:pPr>
        <w:ind w:left="3765" w:hanging="699"/>
      </w:pPr>
      <w:rPr>
        <w:rFonts w:hint="default"/>
        <w:lang w:val="en-US" w:eastAsia="en-US" w:bidi="ar-SA"/>
      </w:rPr>
    </w:lvl>
    <w:lvl w:ilvl="7">
      <w:start w:val="0"/>
      <w:numFmt w:val="bullet"/>
      <w:lvlText w:val="•"/>
      <w:lvlJc w:val="left"/>
      <w:pPr>
        <w:ind w:left="4276" w:hanging="699"/>
      </w:pPr>
      <w:rPr>
        <w:rFonts w:hint="default"/>
        <w:lang w:val="en-US" w:eastAsia="en-US" w:bidi="ar-SA"/>
      </w:rPr>
    </w:lvl>
    <w:lvl w:ilvl="8">
      <w:start w:val="0"/>
      <w:numFmt w:val="bullet"/>
      <w:lvlText w:val="•"/>
      <w:lvlJc w:val="left"/>
      <w:pPr>
        <w:ind w:left="4787" w:hanging="699"/>
      </w:pPr>
      <w:rPr>
        <w:rFonts w:hint="default"/>
        <w:lang w:val="en-US" w:eastAsia="en-US" w:bidi="ar-SA"/>
      </w:rPr>
    </w:lvl>
  </w:abstractNum>
  <w:abstractNum w:abstractNumId="10">
    <w:nsid w:val="2DABA578"/>
    <w:multiLevelType w:val="hybridMultilevel"/>
    <w:tmpl w:val="00000000"/>
    <w:lvl w:ilvl="0">
      <w:start w:val="7"/>
      <w:numFmt w:val="decimal"/>
      <w:lvlText w:val="%1"/>
      <w:lvlJc w:val="left"/>
      <w:pPr>
        <w:ind w:left="499" w:hanging="500"/>
        <w:jc w:val="left"/>
      </w:pPr>
      <w:rPr>
        <w:rFonts w:hint="default"/>
        <w:lang w:val="en-US" w:eastAsia="en-US" w:bidi="ar-SA"/>
      </w:rPr>
    </w:lvl>
    <w:lvl w:ilvl="1">
      <w:start w:val="1"/>
      <w:numFmt w:val="decimal"/>
      <w:lvlText w:val="%1.%2"/>
      <w:lvlJc w:val="left"/>
      <w:pPr>
        <w:ind w:left="499"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0"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2471" w:hanging="699"/>
      </w:pPr>
      <w:rPr>
        <w:rFonts w:hint="default"/>
        <w:lang w:val="en-US" w:eastAsia="en-US" w:bidi="ar-SA"/>
      </w:rPr>
    </w:lvl>
    <w:lvl w:ilvl="4">
      <w:start w:val="0"/>
      <w:numFmt w:val="bullet"/>
      <w:lvlText w:val="•"/>
      <w:lvlJc w:val="left"/>
      <w:pPr>
        <w:ind w:left="3456" w:hanging="699"/>
      </w:pPr>
      <w:rPr>
        <w:rFonts w:hint="default"/>
        <w:lang w:val="en-US" w:eastAsia="en-US" w:bidi="ar-SA"/>
      </w:rPr>
    </w:lvl>
    <w:lvl w:ilvl="5">
      <w:start w:val="0"/>
      <w:numFmt w:val="bullet"/>
      <w:lvlText w:val="•"/>
      <w:lvlJc w:val="left"/>
      <w:pPr>
        <w:ind w:left="4442" w:hanging="699"/>
      </w:pPr>
      <w:rPr>
        <w:rFonts w:hint="default"/>
        <w:lang w:val="en-US" w:eastAsia="en-US" w:bidi="ar-SA"/>
      </w:rPr>
    </w:lvl>
    <w:lvl w:ilvl="6">
      <w:start w:val="0"/>
      <w:numFmt w:val="bullet"/>
      <w:lvlText w:val="•"/>
      <w:lvlJc w:val="left"/>
      <w:pPr>
        <w:ind w:left="5427" w:hanging="699"/>
      </w:pPr>
      <w:rPr>
        <w:rFonts w:hint="default"/>
        <w:lang w:val="en-US" w:eastAsia="en-US" w:bidi="ar-SA"/>
      </w:rPr>
    </w:lvl>
    <w:lvl w:ilvl="7">
      <w:start w:val="0"/>
      <w:numFmt w:val="bullet"/>
      <w:lvlText w:val="•"/>
      <w:lvlJc w:val="left"/>
      <w:pPr>
        <w:ind w:left="6413" w:hanging="699"/>
      </w:pPr>
      <w:rPr>
        <w:rFonts w:hint="default"/>
        <w:lang w:val="en-US" w:eastAsia="en-US" w:bidi="ar-SA"/>
      </w:rPr>
    </w:lvl>
    <w:lvl w:ilvl="8">
      <w:start w:val="0"/>
      <w:numFmt w:val="bullet"/>
      <w:lvlText w:val="•"/>
      <w:lvlJc w:val="left"/>
      <w:pPr>
        <w:ind w:left="7399" w:hanging="699"/>
      </w:pPr>
      <w:rPr>
        <w:rFonts w:hint="default"/>
        <w:lang w:val="en-US" w:eastAsia="en-US" w:bidi="ar-SA"/>
      </w:rPr>
    </w:lvl>
  </w:abstractNum>
  <w:abstractNum w:abstractNumId="11">
    <w:nsid w:val="312D7409"/>
    <w:multiLevelType w:val="hybridMultilevel"/>
    <w:tmpl w:val="00000000"/>
    <w:lvl w:ilvl="0">
      <w:start w:val="9"/>
      <w:numFmt w:val="decimal"/>
      <w:lvlText w:val="%1"/>
      <w:lvlJc w:val="left"/>
      <w:pPr>
        <w:ind w:left="1178" w:hanging="699"/>
        <w:jc w:val="left"/>
      </w:pPr>
      <w:rPr>
        <w:rFonts w:hint="default"/>
        <w:lang w:val="en-US" w:eastAsia="en-US" w:bidi="ar-SA"/>
      </w:rPr>
    </w:lvl>
    <w:lvl w:ilvl="1">
      <w:start w:val="2"/>
      <w:numFmt w:val="decimal"/>
      <w:lvlText w:val="%1.%2"/>
      <w:lvlJc w:val="left"/>
      <w:pPr>
        <w:ind w:left="1178" w:hanging="699"/>
        <w:jc w:val="left"/>
      </w:pPr>
      <w:rPr>
        <w:rFonts w:hint="default"/>
        <w:lang w:val="en-US" w:eastAsia="en-US" w:bidi="ar-SA"/>
      </w:rPr>
    </w:lvl>
    <w:lvl w:ilvl="2">
      <w:start w:val="2"/>
      <w:numFmt w:val="decimal"/>
      <w:lvlText w:val="%1.%2.%3"/>
      <w:lvlJc w:val="left"/>
      <w:pPr>
        <w:ind w:left="1178"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4247" w:hanging="699"/>
      </w:pPr>
      <w:rPr>
        <w:rFonts w:hint="default"/>
        <w:lang w:val="en-US" w:eastAsia="en-US" w:bidi="ar-SA"/>
      </w:rPr>
    </w:lvl>
    <w:lvl w:ilvl="4">
      <w:start w:val="0"/>
      <w:numFmt w:val="bullet"/>
      <w:lvlText w:val="•"/>
      <w:lvlJc w:val="left"/>
      <w:pPr>
        <w:ind w:left="5270" w:hanging="699"/>
      </w:pPr>
      <w:rPr>
        <w:rFonts w:hint="default"/>
        <w:lang w:val="en-US" w:eastAsia="en-US" w:bidi="ar-SA"/>
      </w:rPr>
    </w:lvl>
    <w:lvl w:ilvl="5">
      <w:start w:val="0"/>
      <w:numFmt w:val="bullet"/>
      <w:lvlText w:val="•"/>
      <w:lvlJc w:val="left"/>
      <w:pPr>
        <w:ind w:left="6293" w:hanging="699"/>
      </w:pPr>
      <w:rPr>
        <w:rFonts w:hint="default"/>
        <w:lang w:val="en-US" w:eastAsia="en-US" w:bidi="ar-SA"/>
      </w:rPr>
    </w:lvl>
    <w:lvl w:ilvl="6">
      <w:start w:val="0"/>
      <w:numFmt w:val="bullet"/>
      <w:lvlText w:val="•"/>
      <w:lvlJc w:val="left"/>
      <w:pPr>
        <w:ind w:left="7315" w:hanging="699"/>
      </w:pPr>
      <w:rPr>
        <w:rFonts w:hint="default"/>
        <w:lang w:val="en-US" w:eastAsia="en-US" w:bidi="ar-SA"/>
      </w:rPr>
    </w:lvl>
    <w:lvl w:ilvl="7">
      <w:start w:val="0"/>
      <w:numFmt w:val="bullet"/>
      <w:lvlText w:val="•"/>
      <w:lvlJc w:val="left"/>
      <w:pPr>
        <w:ind w:left="8338" w:hanging="699"/>
      </w:pPr>
      <w:rPr>
        <w:rFonts w:hint="default"/>
        <w:lang w:val="en-US" w:eastAsia="en-US" w:bidi="ar-SA"/>
      </w:rPr>
    </w:lvl>
    <w:lvl w:ilvl="8">
      <w:start w:val="0"/>
      <w:numFmt w:val="bullet"/>
      <w:lvlText w:val="•"/>
      <w:lvlJc w:val="left"/>
      <w:pPr>
        <w:ind w:left="9360" w:hanging="699"/>
      </w:pPr>
      <w:rPr>
        <w:rFonts w:hint="default"/>
        <w:lang w:val="en-US" w:eastAsia="en-US" w:bidi="ar-SA"/>
      </w:rPr>
    </w:lvl>
  </w:abstractNum>
  <w:abstractNum w:abstractNumId="12">
    <w:nsid w:val="3D7B2F70"/>
    <w:multiLevelType w:val="hybridMultilevel"/>
    <w:tmpl w:val="00000000"/>
    <w:lvl w:ilvl="0">
      <w:start w:val="7"/>
      <w:numFmt w:val="decimal"/>
      <w:lvlText w:val="%1"/>
      <w:lvlJc w:val="left"/>
      <w:pPr>
        <w:ind w:left="1677" w:hanging="500"/>
        <w:jc w:val="left"/>
      </w:pPr>
      <w:rPr>
        <w:rFonts w:hint="default"/>
        <w:lang w:val="en-US" w:eastAsia="en-US" w:bidi="ar-SA"/>
      </w:rPr>
    </w:lvl>
    <w:lvl w:ilvl="1">
      <w:start w:val="3"/>
      <w:numFmt w:val="decimal"/>
      <w:lvlText w:val="%1.%2"/>
      <w:lvlJc w:val="left"/>
      <w:pPr>
        <w:ind w:left="1677"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1178"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3070" w:hanging="699"/>
      </w:pPr>
      <w:rPr>
        <w:rFonts w:hint="default"/>
        <w:lang w:val="en-US" w:eastAsia="en-US" w:bidi="ar-SA"/>
      </w:rPr>
    </w:lvl>
    <w:lvl w:ilvl="4">
      <w:start w:val="0"/>
      <w:numFmt w:val="bullet"/>
      <w:lvlText w:val="•"/>
      <w:lvlJc w:val="left"/>
      <w:pPr>
        <w:ind w:left="4261" w:hanging="699"/>
      </w:pPr>
      <w:rPr>
        <w:rFonts w:hint="default"/>
        <w:lang w:val="en-US" w:eastAsia="en-US" w:bidi="ar-SA"/>
      </w:rPr>
    </w:lvl>
    <w:lvl w:ilvl="5">
      <w:start w:val="0"/>
      <w:numFmt w:val="bullet"/>
      <w:lvlText w:val="•"/>
      <w:lvlJc w:val="left"/>
      <w:pPr>
        <w:ind w:left="5452" w:hanging="699"/>
      </w:pPr>
      <w:rPr>
        <w:rFonts w:hint="default"/>
        <w:lang w:val="en-US" w:eastAsia="en-US" w:bidi="ar-SA"/>
      </w:rPr>
    </w:lvl>
    <w:lvl w:ilvl="6">
      <w:start w:val="0"/>
      <w:numFmt w:val="bullet"/>
      <w:lvlText w:val="•"/>
      <w:lvlJc w:val="left"/>
      <w:pPr>
        <w:ind w:left="6643" w:hanging="699"/>
      </w:pPr>
      <w:rPr>
        <w:rFonts w:hint="default"/>
        <w:lang w:val="en-US" w:eastAsia="en-US" w:bidi="ar-SA"/>
      </w:rPr>
    </w:lvl>
    <w:lvl w:ilvl="7">
      <w:start w:val="0"/>
      <w:numFmt w:val="bullet"/>
      <w:lvlText w:val="•"/>
      <w:lvlJc w:val="left"/>
      <w:pPr>
        <w:ind w:left="7833" w:hanging="699"/>
      </w:pPr>
      <w:rPr>
        <w:rFonts w:hint="default"/>
        <w:lang w:val="en-US" w:eastAsia="en-US" w:bidi="ar-SA"/>
      </w:rPr>
    </w:lvl>
    <w:lvl w:ilvl="8">
      <w:start w:val="0"/>
      <w:numFmt w:val="bullet"/>
      <w:lvlText w:val="•"/>
      <w:lvlJc w:val="left"/>
      <w:pPr>
        <w:ind w:left="9024" w:hanging="699"/>
      </w:pPr>
      <w:rPr>
        <w:rFonts w:hint="default"/>
        <w:lang w:val="en-US" w:eastAsia="en-US" w:bidi="ar-SA"/>
      </w:rPr>
    </w:lvl>
  </w:abstractNum>
  <w:abstractNum w:abstractNumId="13">
    <w:nsid w:val="3E2889EE"/>
    <w:multiLevelType w:val="hybridMultilevel"/>
    <w:tmpl w:val="00000000"/>
    <w:lvl w:ilvl="0">
      <w:start w:val="1"/>
      <w:numFmt w:val="decimal"/>
      <w:lvlText w:val="%1."/>
      <w:lvlJc w:val="left"/>
      <w:pPr>
        <w:ind w:left="50" w:hanging="161"/>
        <w:jc w:val="left"/>
      </w:pPr>
      <w:rPr>
        <w:rFonts w:ascii="Times New Roman" w:eastAsia="Times New Roman" w:hAnsi="Times New Roman" w:cs="Times New Roman" w:hint="default"/>
        <w:spacing w:val="0"/>
        <w:w w:val="100"/>
        <w:sz w:val="18"/>
        <w:szCs w:val="18"/>
        <w:lang w:val="en-US" w:eastAsia="en-US" w:bidi="ar-SA"/>
      </w:rPr>
    </w:lvl>
    <w:lvl w:ilvl="1">
      <w:start w:val="0"/>
      <w:numFmt w:val="bullet"/>
      <w:lvlText w:val="•"/>
      <w:lvlJc w:val="left"/>
      <w:pPr>
        <w:ind w:left="297" w:hanging="161"/>
      </w:pPr>
      <w:rPr>
        <w:rFonts w:hint="default"/>
        <w:lang w:val="en-US" w:eastAsia="en-US" w:bidi="ar-SA"/>
      </w:rPr>
    </w:lvl>
    <w:lvl w:ilvl="2">
      <w:start w:val="0"/>
      <w:numFmt w:val="bullet"/>
      <w:lvlText w:val="•"/>
      <w:lvlJc w:val="left"/>
      <w:pPr>
        <w:ind w:left="535" w:hanging="161"/>
      </w:pPr>
      <w:rPr>
        <w:rFonts w:hint="default"/>
        <w:lang w:val="en-US" w:eastAsia="en-US" w:bidi="ar-SA"/>
      </w:rPr>
    </w:lvl>
    <w:lvl w:ilvl="3">
      <w:start w:val="0"/>
      <w:numFmt w:val="bullet"/>
      <w:lvlText w:val="•"/>
      <w:lvlJc w:val="left"/>
      <w:pPr>
        <w:ind w:left="773" w:hanging="161"/>
      </w:pPr>
      <w:rPr>
        <w:rFonts w:hint="default"/>
        <w:lang w:val="en-US" w:eastAsia="en-US" w:bidi="ar-SA"/>
      </w:rPr>
    </w:lvl>
    <w:lvl w:ilvl="4">
      <w:start w:val="0"/>
      <w:numFmt w:val="bullet"/>
      <w:lvlText w:val="•"/>
      <w:lvlJc w:val="left"/>
      <w:pPr>
        <w:ind w:left="1011" w:hanging="161"/>
      </w:pPr>
      <w:rPr>
        <w:rFonts w:hint="default"/>
        <w:lang w:val="en-US" w:eastAsia="en-US" w:bidi="ar-SA"/>
      </w:rPr>
    </w:lvl>
    <w:lvl w:ilvl="5">
      <w:start w:val="0"/>
      <w:numFmt w:val="bullet"/>
      <w:lvlText w:val="•"/>
      <w:lvlJc w:val="left"/>
      <w:pPr>
        <w:ind w:left="1249" w:hanging="161"/>
      </w:pPr>
      <w:rPr>
        <w:rFonts w:hint="default"/>
        <w:lang w:val="en-US" w:eastAsia="en-US" w:bidi="ar-SA"/>
      </w:rPr>
    </w:lvl>
    <w:lvl w:ilvl="6">
      <w:start w:val="0"/>
      <w:numFmt w:val="bullet"/>
      <w:lvlText w:val="•"/>
      <w:lvlJc w:val="left"/>
      <w:pPr>
        <w:ind w:left="1486" w:hanging="161"/>
      </w:pPr>
      <w:rPr>
        <w:rFonts w:hint="default"/>
        <w:lang w:val="en-US" w:eastAsia="en-US" w:bidi="ar-SA"/>
      </w:rPr>
    </w:lvl>
    <w:lvl w:ilvl="7">
      <w:start w:val="0"/>
      <w:numFmt w:val="bullet"/>
      <w:lvlText w:val="•"/>
      <w:lvlJc w:val="left"/>
      <w:pPr>
        <w:ind w:left="1724" w:hanging="161"/>
      </w:pPr>
      <w:rPr>
        <w:rFonts w:hint="default"/>
        <w:lang w:val="en-US" w:eastAsia="en-US" w:bidi="ar-SA"/>
      </w:rPr>
    </w:lvl>
    <w:lvl w:ilvl="8">
      <w:start w:val="0"/>
      <w:numFmt w:val="bullet"/>
      <w:lvlText w:val="•"/>
      <w:lvlJc w:val="left"/>
      <w:pPr>
        <w:ind w:left="1962" w:hanging="161"/>
      </w:pPr>
      <w:rPr>
        <w:rFonts w:hint="default"/>
        <w:lang w:val="en-US" w:eastAsia="en-US" w:bidi="ar-SA"/>
      </w:rPr>
    </w:lvl>
  </w:abstractNum>
  <w:abstractNum w:abstractNumId="14">
    <w:nsid w:val="497B311B"/>
    <w:multiLevelType w:val="hybridMultilevel"/>
    <w:tmpl w:val="00000000"/>
    <w:lvl w:ilvl="0">
      <w:start w:val="6"/>
      <w:numFmt w:val="decimal"/>
      <w:lvlText w:val="%1"/>
      <w:lvlJc w:val="left"/>
      <w:pPr>
        <w:ind w:left="1677" w:hanging="500"/>
        <w:jc w:val="left"/>
      </w:pPr>
      <w:rPr>
        <w:rFonts w:hint="default"/>
        <w:lang w:val="en-US" w:eastAsia="en-US" w:bidi="ar-SA"/>
      </w:rPr>
    </w:lvl>
    <w:lvl w:ilvl="1">
      <w:start w:val="7"/>
      <w:numFmt w:val="decimal"/>
      <w:lvlText w:val="%1.%2"/>
      <w:lvlJc w:val="left"/>
      <w:pPr>
        <w:ind w:left="1677" w:hanging="500"/>
        <w:jc w:val="left"/>
      </w:pPr>
      <w:rPr>
        <w:rFonts w:ascii="黑体" w:eastAsia="黑体" w:hAnsi="黑体" w:cs="黑体" w:hint="default"/>
        <w:spacing w:val="0"/>
        <w:w w:val="99"/>
        <w:sz w:val="20"/>
        <w:szCs w:val="20"/>
        <w:lang w:val="en-US" w:eastAsia="en-US" w:bidi="ar-SA"/>
      </w:rPr>
    </w:lvl>
    <w:lvl w:ilvl="2">
      <w:start w:val="0"/>
      <w:numFmt w:val="bullet"/>
      <w:lvlText w:val="•"/>
      <w:lvlJc w:val="left"/>
      <w:pPr>
        <w:ind w:left="3625" w:hanging="500"/>
      </w:pPr>
      <w:rPr>
        <w:rFonts w:hint="default"/>
        <w:lang w:val="en-US" w:eastAsia="en-US" w:bidi="ar-SA"/>
      </w:rPr>
    </w:lvl>
    <w:lvl w:ilvl="3">
      <w:start w:val="0"/>
      <w:numFmt w:val="bullet"/>
      <w:lvlText w:val="•"/>
      <w:lvlJc w:val="left"/>
      <w:pPr>
        <w:ind w:left="4597" w:hanging="500"/>
      </w:pPr>
      <w:rPr>
        <w:rFonts w:hint="default"/>
        <w:lang w:val="en-US" w:eastAsia="en-US" w:bidi="ar-SA"/>
      </w:rPr>
    </w:lvl>
    <w:lvl w:ilvl="4">
      <w:start w:val="0"/>
      <w:numFmt w:val="bullet"/>
      <w:lvlText w:val="•"/>
      <w:lvlJc w:val="left"/>
      <w:pPr>
        <w:ind w:left="5570" w:hanging="500"/>
      </w:pPr>
      <w:rPr>
        <w:rFonts w:hint="default"/>
        <w:lang w:val="en-US" w:eastAsia="en-US" w:bidi="ar-SA"/>
      </w:rPr>
    </w:lvl>
    <w:lvl w:ilvl="5">
      <w:start w:val="0"/>
      <w:numFmt w:val="bullet"/>
      <w:lvlText w:val="•"/>
      <w:lvlJc w:val="left"/>
      <w:pPr>
        <w:ind w:left="6543" w:hanging="500"/>
      </w:pPr>
      <w:rPr>
        <w:rFonts w:hint="default"/>
        <w:lang w:val="en-US" w:eastAsia="en-US" w:bidi="ar-SA"/>
      </w:rPr>
    </w:lvl>
    <w:lvl w:ilvl="6">
      <w:start w:val="0"/>
      <w:numFmt w:val="bullet"/>
      <w:lvlText w:val="•"/>
      <w:lvlJc w:val="left"/>
      <w:pPr>
        <w:ind w:left="7515" w:hanging="500"/>
      </w:pPr>
      <w:rPr>
        <w:rFonts w:hint="default"/>
        <w:lang w:val="en-US" w:eastAsia="en-US" w:bidi="ar-SA"/>
      </w:rPr>
    </w:lvl>
    <w:lvl w:ilvl="7">
      <w:start w:val="0"/>
      <w:numFmt w:val="bullet"/>
      <w:lvlText w:val="•"/>
      <w:lvlJc w:val="left"/>
      <w:pPr>
        <w:ind w:left="8488" w:hanging="500"/>
      </w:pPr>
      <w:rPr>
        <w:rFonts w:hint="default"/>
        <w:lang w:val="en-US" w:eastAsia="en-US" w:bidi="ar-SA"/>
      </w:rPr>
    </w:lvl>
    <w:lvl w:ilvl="8">
      <w:start w:val="0"/>
      <w:numFmt w:val="bullet"/>
      <w:lvlText w:val="•"/>
      <w:lvlJc w:val="left"/>
      <w:pPr>
        <w:ind w:left="9460" w:hanging="500"/>
      </w:pPr>
      <w:rPr>
        <w:rFonts w:hint="default"/>
        <w:lang w:val="en-US" w:eastAsia="en-US" w:bidi="ar-SA"/>
      </w:rPr>
    </w:lvl>
  </w:abstractNum>
  <w:abstractNum w:abstractNumId="15">
    <w:nsid w:val="4D09F0F2"/>
    <w:multiLevelType w:val="hybridMultilevel"/>
    <w:tmpl w:val="00000000"/>
    <w:lvl w:ilvl="0">
      <w:start w:val="1"/>
      <w:numFmt w:val="decimal"/>
      <w:lvlText w:val="%1"/>
      <w:lvlJc w:val="left"/>
      <w:pPr>
        <w:ind w:left="739" w:hanging="269"/>
        <w:jc w:val="left"/>
      </w:pPr>
      <w:rPr>
        <w:rFonts w:ascii="宋体" w:eastAsia="宋体" w:hAnsi="宋体" w:cs="宋体" w:hint="default"/>
        <w:w w:val="100"/>
        <w:sz w:val="18"/>
        <w:szCs w:val="18"/>
        <w:lang w:val="en-US" w:eastAsia="en-US" w:bidi="ar-SA"/>
      </w:rPr>
    </w:lvl>
    <w:lvl w:ilvl="1">
      <w:start w:val="0"/>
      <w:numFmt w:val="bullet"/>
      <w:lvlText w:val="•"/>
      <w:lvlJc w:val="left"/>
      <w:pPr>
        <w:ind w:left="1008" w:hanging="269"/>
      </w:pPr>
      <w:rPr>
        <w:rFonts w:hint="default"/>
        <w:lang w:val="en-US" w:eastAsia="en-US" w:bidi="ar-SA"/>
      </w:rPr>
    </w:lvl>
    <w:lvl w:ilvl="2">
      <w:start w:val="0"/>
      <w:numFmt w:val="bullet"/>
      <w:lvlText w:val="•"/>
      <w:lvlJc w:val="left"/>
      <w:pPr>
        <w:ind w:left="1276" w:hanging="269"/>
      </w:pPr>
      <w:rPr>
        <w:rFonts w:hint="default"/>
        <w:lang w:val="en-US" w:eastAsia="en-US" w:bidi="ar-SA"/>
      </w:rPr>
    </w:lvl>
    <w:lvl w:ilvl="3">
      <w:start w:val="0"/>
      <w:numFmt w:val="bullet"/>
      <w:lvlText w:val="•"/>
      <w:lvlJc w:val="left"/>
      <w:pPr>
        <w:ind w:left="1544" w:hanging="269"/>
      </w:pPr>
      <w:rPr>
        <w:rFonts w:hint="default"/>
        <w:lang w:val="en-US" w:eastAsia="en-US" w:bidi="ar-SA"/>
      </w:rPr>
    </w:lvl>
    <w:lvl w:ilvl="4">
      <w:start w:val="0"/>
      <w:numFmt w:val="bullet"/>
      <w:lvlText w:val="•"/>
      <w:lvlJc w:val="left"/>
      <w:pPr>
        <w:ind w:left="1813" w:hanging="269"/>
      </w:pPr>
      <w:rPr>
        <w:rFonts w:hint="default"/>
        <w:lang w:val="en-US" w:eastAsia="en-US" w:bidi="ar-SA"/>
      </w:rPr>
    </w:lvl>
    <w:lvl w:ilvl="5">
      <w:start w:val="0"/>
      <w:numFmt w:val="bullet"/>
      <w:lvlText w:val="•"/>
      <w:lvlJc w:val="left"/>
      <w:pPr>
        <w:ind w:left="2081" w:hanging="269"/>
      </w:pPr>
      <w:rPr>
        <w:rFonts w:hint="default"/>
        <w:lang w:val="en-US" w:eastAsia="en-US" w:bidi="ar-SA"/>
      </w:rPr>
    </w:lvl>
    <w:lvl w:ilvl="6">
      <w:start w:val="0"/>
      <w:numFmt w:val="bullet"/>
      <w:lvlText w:val="•"/>
      <w:lvlJc w:val="left"/>
      <w:pPr>
        <w:ind w:left="2349" w:hanging="269"/>
      </w:pPr>
      <w:rPr>
        <w:rFonts w:hint="default"/>
        <w:lang w:val="en-US" w:eastAsia="en-US" w:bidi="ar-SA"/>
      </w:rPr>
    </w:lvl>
    <w:lvl w:ilvl="7">
      <w:start w:val="0"/>
      <w:numFmt w:val="bullet"/>
      <w:lvlText w:val="•"/>
      <w:lvlJc w:val="left"/>
      <w:pPr>
        <w:ind w:left="2618" w:hanging="269"/>
      </w:pPr>
      <w:rPr>
        <w:rFonts w:hint="default"/>
        <w:lang w:val="en-US" w:eastAsia="en-US" w:bidi="ar-SA"/>
      </w:rPr>
    </w:lvl>
    <w:lvl w:ilvl="8">
      <w:start w:val="0"/>
      <w:numFmt w:val="bullet"/>
      <w:lvlText w:val="•"/>
      <w:lvlJc w:val="left"/>
      <w:pPr>
        <w:ind w:left="2886" w:hanging="269"/>
      </w:pPr>
      <w:rPr>
        <w:rFonts w:hint="default"/>
        <w:lang w:val="en-US" w:eastAsia="en-US" w:bidi="ar-SA"/>
      </w:rPr>
    </w:lvl>
  </w:abstractNum>
  <w:abstractNum w:abstractNumId="16">
    <w:nsid w:val="4D5F3FD2"/>
    <w:multiLevelType w:val="hybridMultilevel"/>
    <w:tmpl w:val="00000000"/>
    <w:lvl w:ilvl="0">
      <w:start w:val="7"/>
      <w:numFmt w:val="decimal"/>
      <w:lvlText w:val="%1"/>
      <w:lvlJc w:val="left"/>
      <w:pPr>
        <w:ind w:left="499" w:hanging="500"/>
        <w:jc w:val="left"/>
      </w:pPr>
      <w:rPr>
        <w:rFonts w:hint="default"/>
        <w:lang w:val="en-US" w:eastAsia="en-US" w:bidi="ar-SA"/>
      </w:rPr>
    </w:lvl>
    <w:lvl w:ilvl="1">
      <w:start w:val="2"/>
      <w:numFmt w:val="decimal"/>
      <w:lvlText w:val="%1.%2"/>
      <w:lvlJc w:val="left"/>
      <w:pPr>
        <w:ind w:left="499"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698"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2626" w:hanging="699"/>
      </w:pPr>
      <w:rPr>
        <w:rFonts w:hint="default"/>
        <w:lang w:val="en-US" w:eastAsia="en-US" w:bidi="ar-SA"/>
      </w:rPr>
    </w:lvl>
    <w:lvl w:ilvl="4">
      <w:start w:val="0"/>
      <w:numFmt w:val="bullet"/>
      <w:lvlText w:val="•"/>
      <w:lvlJc w:val="left"/>
      <w:pPr>
        <w:ind w:left="3590" w:hanging="699"/>
      </w:pPr>
      <w:rPr>
        <w:rFonts w:hint="default"/>
        <w:lang w:val="en-US" w:eastAsia="en-US" w:bidi="ar-SA"/>
      </w:rPr>
    </w:lvl>
    <w:lvl w:ilvl="5">
      <w:start w:val="0"/>
      <w:numFmt w:val="bullet"/>
      <w:lvlText w:val="•"/>
      <w:lvlJc w:val="left"/>
      <w:pPr>
        <w:ind w:left="4553" w:hanging="699"/>
      </w:pPr>
      <w:rPr>
        <w:rFonts w:hint="default"/>
        <w:lang w:val="en-US" w:eastAsia="en-US" w:bidi="ar-SA"/>
      </w:rPr>
    </w:lvl>
    <w:lvl w:ilvl="6">
      <w:start w:val="0"/>
      <w:numFmt w:val="bullet"/>
      <w:lvlText w:val="•"/>
      <w:lvlJc w:val="left"/>
      <w:pPr>
        <w:ind w:left="5516" w:hanging="699"/>
      </w:pPr>
      <w:rPr>
        <w:rFonts w:hint="default"/>
        <w:lang w:val="en-US" w:eastAsia="en-US" w:bidi="ar-SA"/>
      </w:rPr>
    </w:lvl>
    <w:lvl w:ilvl="7">
      <w:start w:val="0"/>
      <w:numFmt w:val="bullet"/>
      <w:lvlText w:val="•"/>
      <w:lvlJc w:val="left"/>
      <w:pPr>
        <w:ind w:left="6480" w:hanging="699"/>
      </w:pPr>
      <w:rPr>
        <w:rFonts w:hint="default"/>
        <w:lang w:val="en-US" w:eastAsia="en-US" w:bidi="ar-SA"/>
      </w:rPr>
    </w:lvl>
    <w:lvl w:ilvl="8">
      <w:start w:val="0"/>
      <w:numFmt w:val="bullet"/>
      <w:lvlText w:val="•"/>
      <w:lvlJc w:val="left"/>
      <w:pPr>
        <w:ind w:left="7443" w:hanging="699"/>
      </w:pPr>
      <w:rPr>
        <w:rFonts w:hint="default"/>
        <w:lang w:val="en-US" w:eastAsia="en-US" w:bidi="ar-SA"/>
      </w:rPr>
    </w:lvl>
  </w:abstractNum>
  <w:abstractNum w:abstractNumId="17">
    <w:nsid w:val="4F900E19"/>
    <w:multiLevelType w:val="hybridMultilevel"/>
    <w:tmpl w:val="00000000"/>
    <w:lvl w:ilvl="0">
      <w:start w:val="6"/>
      <w:numFmt w:val="decimal"/>
      <w:lvlText w:val="%1"/>
      <w:lvlJc w:val="left"/>
      <w:pPr>
        <w:ind w:left="1677" w:hanging="500"/>
        <w:jc w:val="left"/>
      </w:pPr>
      <w:rPr>
        <w:rFonts w:hint="default"/>
        <w:lang w:val="en-US" w:eastAsia="en-US" w:bidi="ar-SA"/>
      </w:rPr>
    </w:lvl>
    <w:lvl w:ilvl="1">
      <w:start w:val="7"/>
      <w:numFmt w:val="decimal"/>
      <w:lvlText w:val="%1.%2"/>
      <w:lvlJc w:val="left"/>
      <w:pPr>
        <w:ind w:left="1677" w:hanging="500"/>
        <w:jc w:val="left"/>
      </w:pPr>
      <w:rPr>
        <w:rFonts w:ascii="黑体" w:eastAsia="黑体" w:hAnsi="黑体" w:cs="黑体" w:hint="default"/>
        <w:spacing w:val="0"/>
        <w:w w:val="99"/>
        <w:sz w:val="20"/>
        <w:szCs w:val="20"/>
        <w:lang w:val="en-US" w:eastAsia="en-US" w:bidi="ar-SA"/>
      </w:rPr>
    </w:lvl>
    <w:lvl w:ilvl="2">
      <w:start w:val="0"/>
      <w:numFmt w:val="bullet"/>
      <w:lvlText w:val="•"/>
      <w:lvlJc w:val="left"/>
      <w:pPr>
        <w:ind w:left="3625" w:hanging="500"/>
      </w:pPr>
      <w:rPr>
        <w:rFonts w:hint="default"/>
        <w:lang w:val="en-US" w:eastAsia="en-US" w:bidi="ar-SA"/>
      </w:rPr>
    </w:lvl>
    <w:lvl w:ilvl="3">
      <w:start w:val="0"/>
      <w:numFmt w:val="bullet"/>
      <w:lvlText w:val="•"/>
      <w:lvlJc w:val="left"/>
      <w:pPr>
        <w:ind w:left="4597" w:hanging="500"/>
      </w:pPr>
      <w:rPr>
        <w:rFonts w:hint="default"/>
        <w:lang w:val="en-US" w:eastAsia="en-US" w:bidi="ar-SA"/>
      </w:rPr>
    </w:lvl>
    <w:lvl w:ilvl="4">
      <w:start w:val="0"/>
      <w:numFmt w:val="bullet"/>
      <w:lvlText w:val="•"/>
      <w:lvlJc w:val="left"/>
      <w:pPr>
        <w:ind w:left="5570" w:hanging="500"/>
      </w:pPr>
      <w:rPr>
        <w:rFonts w:hint="default"/>
        <w:lang w:val="en-US" w:eastAsia="en-US" w:bidi="ar-SA"/>
      </w:rPr>
    </w:lvl>
    <w:lvl w:ilvl="5">
      <w:start w:val="0"/>
      <w:numFmt w:val="bullet"/>
      <w:lvlText w:val="•"/>
      <w:lvlJc w:val="left"/>
      <w:pPr>
        <w:ind w:left="6543" w:hanging="500"/>
      </w:pPr>
      <w:rPr>
        <w:rFonts w:hint="default"/>
        <w:lang w:val="en-US" w:eastAsia="en-US" w:bidi="ar-SA"/>
      </w:rPr>
    </w:lvl>
    <w:lvl w:ilvl="6">
      <w:start w:val="0"/>
      <w:numFmt w:val="bullet"/>
      <w:lvlText w:val="•"/>
      <w:lvlJc w:val="left"/>
      <w:pPr>
        <w:ind w:left="7515" w:hanging="500"/>
      </w:pPr>
      <w:rPr>
        <w:rFonts w:hint="default"/>
        <w:lang w:val="en-US" w:eastAsia="en-US" w:bidi="ar-SA"/>
      </w:rPr>
    </w:lvl>
    <w:lvl w:ilvl="7">
      <w:start w:val="0"/>
      <w:numFmt w:val="bullet"/>
      <w:lvlText w:val="•"/>
      <w:lvlJc w:val="left"/>
      <w:pPr>
        <w:ind w:left="8488" w:hanging="500"/>
      </w:pPr>
      <w:rPr>
        <w:rFonts w:hint="default"/>
        <w:lang w:val="en-US" w:eastAsia="en-US" w:bidi="ar-SA"/>
      </w:rPr>
    </w:lvl>
    <w:lvl w:ilvl="8">
      <w:start w:val="0"/>
      <w:numFmt w:val="bullet"/>
      <w:lvlText w:val="•"/>
      <w:lvlJc w:val="left"/>
      <w:pPr>
        <w:ind w:left="9460" w:hanging="500"/>
      </w:pPr>
      <w:rPr>
        <w:rFonts w:hint="default"/>
        <w:lang w:val="en-US" w:eastAsia="en-US" w:bidi="ar-SA"/>
      </w:rPr>
    </w:lvl>
  </w:abstractNum>
  <w:abstractNum w:abstractNumId="18">
    <w:nsid w:val="54B4DD74"/>
    <w:multiLevelType w:val="hybridMultilevel"/>
    <w:tmpl w:val="00000000"/>
    <w:lvl w:ilvl="0">
      <w:start w:val="1"/>
      <w:numFmt w:val="decimal"/>
      <w:lvlText w:val="%1"/>
      <w:lvlJc w:val="left"/>
      <w:pPr>
        <w:ind w:left="1387" w:hanging="209"/>
        <w:jc w:val="left"/>
      </w:pPr>
      <w:rPr>
        <w:rFonts w:ascii="宋体" w:eastAsia="宋体" w:hAnsi="宋体" w:cs="宋体" w:hint="default"/>
        <w:w w:val="99"/>
        <w:sz w:val="21"/>
        <w:szCs w:val="21"/>
        <w:lang w:val="en-US" w:eastAsia="en-US" w:bidi="ar-SA"/>
      </w:rPr>
    </w:lvl>
    <w:lvl w:ilvl="1">
      <w:start w:val="0"/>
      <w:numFmt w:val="bullet"/>
      <w:lvlText w:val="•"/>
      <w:lvlJc w:val="left"/>
      <w:pPr>
        <w:ind w:left="2382" w:hanging="209"/>
      </w:pPr>
      <w:rPr>
        <w:rFonts w:hint="default"/>
        <w:lang w:val="en-US" w:eastAsia="en-US" w:bidi="ar-SA"/>
      </w:rPr>
    </w:lvl>
    <w:lvl w:ilvl="2">
      <w:start w:val="0"/>
      <w:numFmt w:val="bullet"/>
      <w:lvlText w:val="•"/>
      <w:lvlJc w:val="left"/>
      <w:pPr>
        <w:ind w:left="3385" w:hanging="209"/>
      </w:pPr>
      <w:rPr>
        <w:rFonts w:hint="default"/>
        <w:lang w:val="en-US" w:eastAsia="en-US" w:bidi="ar-SA"/>
      </w:rPr>
    </w:lvl>
    <w:lvl w:ilvl="3">
      <w:start w:val="0"/>
      <w:numFmt w:val="bullet"/>
      <w:lvlText w:val="•"/>
      <w:lvlJc w:val="left"/>
      <w:pPr>
        <w:ind w:left="4387" w:hanging="209"/>
      </w:pPr>
      <w:rPr>
        <w:rFonts w:hint="default"/>
        <w:lang w:val="en-US" w:eastAsia="en-US" w:bidi="ar-SA"/>
      </w:rPr>
    </w:lvl>
    <w:lvl w:ilvl="4">
      <w:start w:val="0"/>
      <w:numFmt w:val="bullet"/>
      <w:lvlText w:val="•"/>
      <w:lvlJc w:val="left"/>
      <w:pPr>
        <w:ind w:left="5390" w:hanging="209"/>
      </w:pPr>
      <w:rPr>
        <w:rFonts w:hint="default"/>
        <w:lang w:val="en-US" w:eastAsia="en-US" w:bidi="ar-SA"/>
      </w:rPr>
    </w:lvl>
    <w:lvl w:ilvl="5">
      <w:start w:val="0"/>
      <w:numFmt w:val="bullet"/>
      <w:lvlText w:val="•"/>
      <w:lvlJc w:val="left"/>
      <w:pPr>
        <w:ind w:left="6393" w:hanging="209"/>
      </w:pPr>
      <w:rPr>
        <w:rFonts w:hint="default"/>
        <w:lang w:val="en-US" w:eastAsia="en-US" w:bidi="ar-SA"/>
      </w:rPr>
    </w:lvl>
    <w:lvl w:ilvl="6">
      <w:start w:val="0"/>
      <w:numFmt w:val="bullet"/>
      <w:lvlText w:val="•"/>
      <w:lvlJc w:val="left"/>
      <w:pPr>
        <w:ind w:left="7395" w:hanging="209"/>
      </w:pPr>
      <w:rPr>
        <w:rFonts w:hint="default"/>
        <w:lang w:val="en-US" w:eastAsia="en-US" w:bidi="ar-SA"/>
      </w:rPr>
    </w:lvl>
    <w:lvl w:ilvl="7">
      <w:start w:val="0"/>
      <w:numFmt w:val="bullet"/>
      <w:lvlText w:val="•"/>
      <w:lvlJc w:val="left"/>
      <w:pPr>
        <w:ind w:left="8398" w:hanging="209"/>
      </w:pPr>
      <w:rPr>
        <w:rFonts w:hint="default"/>
        <w:lang w:val="en-US" w:eastAsia="en-US" w:bidi="ar-SA"/>
      </w:rPr>
    </w:lvl>
    <w:lvl w:ilvl="8">
      <w:start w:val="0"/>
      <w:numFmt w:val="bullet"/>
      <w:lvlText w:val="•"/>
      <w:lvlJc w:val="left"/>
      <w:pPr>
        <w:ind w:left="9400" w:hanging="209"/>
      </w:pPr>
      <w:rPr>
        <w:rFonts w:hint="default"/>
        <w:lang w:val="en-US" w:eastAsia="en-US" w:bidi="ar-SA"/>
      </w:rPr>
    </w:lvl>
  </w:abstractNum>
  <w:abstractNum w:abstractNumId="19">
    <w:nsid w:val="5584CF2E"/>
    <w:multiLevelType w:val="hybridMultilevel"/>
    <w:tmpl w:val="00000000"/>
    <w:lvl w:ilvl="0">
      <w:start w:val="1"/>
      <w:numFmt w:val="decimal"/>
      <w:lvlText w:val="%1"/>
      <w:lvlJc w:val="left"/>
      <w:pPr>
        <w:ind w:left="1478" w:hanging="300"/>
        <w:jc w:val="left"/>
      </w:pPr>
      <w:rPr>
        <w:rFonts w:ascii="黑体" w:eastAsia="黑体" w:hAnsi="黑体" w:cs="黑体" w:hint="default"/>
        <w:w w:val="99"/>
        <w:sz w:val="20"/>
        <w:szCs w:val="20"/>
        <w:lang w:val="en-US" w:eastAsia="en-US" w:bidi="ar-SA"/>
      </w:rPr>
    </w:lvl>
    <w:lvl w:ilvl="1">
      <w:start w:val="0"/>
      <w:numFmt w:val="bullet"/>
      <w:lvlText w:val="•"/>
      <w:lvlJc w:val="left"/>
      <w:pPr>
        <w:ind w:left="2472" w:hanging="300"/>
      </w:pPr>
      <w:rPr>
        <w:rFonts w:hint="default"/>
        <w:lang w:val="en-US" w:eastAsia="en-US" w:bidi="ar-SA"/>
      </w:rPr>
    </w:lvl>
    <w:lvl w:ilvl="2">
      <w:start w:val="0"/>
      <w:numFmt w:val="bullet"/>
      <w:lvlText w:val="•"/>
      <w:lvlJc w:val="left"/>
      <w:pPr>
        <w:ind w:left="3465" w:hanging="300"/>
      </w:pPr>
      <w:rPr>
        <w:rFonts w:hint="default"/>
        <w:lang w:val="en-US" w:eastAsia="en-US" w:bidi="ar-SA"/>
      </w:rPr>
    </w:lvl>
    <w:lvl w:ilvl="3">
      <w:start w:val="0"/>
      <w:numFmt w:val="bullet"/>
      <w:lvlText w:val="•"/>
      <w:lvlJc w:val="left"/>
      <w:pPr>
        <w:ind w:left="4457" w:hanging="300"/>
      </w:pPr>
      <w:rPr>
        <w:rFonts w:hint="default"/>
        <w:lang w:val="en-US" w:eastAsia="en-US" w:bidi="ar-SA"/>
      </w:rPr>
    </w:lvl>
    <w:lvl w:ilvl="4">
      <w:start w:val="0"/>
      <w:numFmt w:val="bullet"/>
      <w:lvlText w:val="•"/>
      <w:lvlJc w:val="left"/>
      <w:pPr>
        <w:ind w:left="5450" w:hanging="300"/>
      </w:pPr>
      <w:rPr>
        <w:rFonts w:hint="default"/>
        <w:lang w:val="en-US" w:eastAsia="en-US" w:bidi="ar-SA"/>
      </w:rPr>
    </w:lvl>
    <w:lvl w:ilvl="5">
      <w:start w:val="0"/>
      <w:numFmt w:val="bullet"/>
      <w:lvlText w:val="•"/>
      <w:lvlJc w:val="left"/>
      <w:pPr>
        <w:ind w:left="6443" w:hanging="300"/>
      </w:pPr>
      <w:rPr>
        <w:rFonts w:hint="default"/>
        <w:lang w:val="en-US" w:eastAsia="en-US" w:bidi="ar-SA"/>
      </w:rPr>
    </w:lvl>
    <w:lvl w:ilvl="6">
      <w:start w:val="0"/>
      <w:numFmt w:val="bullet"/>
      <w:lvlText w:val="•"/>
      <w:lvlJc w:val="left"/>
      <w:pPr>
        <w:ind w:left="7435" w:hanging="300"/>
      </w:pPr>
      <w:rPr>
        <w:rFonts w:hint="default"/>
        <w:lang w:val="en-US" w:eastAsia="en-US" w:bidi="ar-SA"/>
      </w:rPr>
    </w:lvl>
    <w:lvl w:ilvl="7">
      <w:start w:val="0"/>
      <w:numFmt w:val="bullet"/>
      <w:lvlText w:val="•"/>
      <w:lvlJc w:val="left"/>
      <w:pPr>
        <w:ind w:left="8428" w:hanging="300"/>
      </w:pPr>
      <w:rPr>
        <w:rFonts w:hint="default"/>
        <w:lang w:val="en-US" w:eastAsia="en-US" w:bidi="ar-SA"/>
      </w:rPr>
    </w:lvl>
    <w:lvl w:ilvl="8">
      <w:start w:val="0"/>
      <w:numFmt w:val="bullet"/>
      <w:lvlText w:val="•"/>
      <w:lvlJc w:val="left"/>
      <w:pPr>
        <w:ind w:left="9420" w:hanging="300"/>
      </w:pPr>
      <w:rPr>
        <w:rFonts w:hint="default"/>
        <w:lang w:val="en-US" w:eastAsia="en-US" w:bidi="ar-SA"/>
      </w:rPr>
    </w:lvl>
  </w:abstractNum>
  <w:abstractNum w:abstractNumId="20">
    <w:nsid w:val="59C1B2ED"/>
    <w:multiLevelType w:val="hybridMultilevel"/>
    <w:tmpl w:val="00000000"/>
    <w:lvl w:ilvl="0">
      <w:start w:val="6"/>
      <w:numFmt w:val="decimal"/>
      <w:lvlText w:val="%1"/>
      <w:lvlJc w:val="left"/>
      <w:pPr>
        <w:ind w:left="499" w:hanging="500"/>
        <w:jc w:val="left"/>
      </w:pPr>
      <w:rPr>
        <w:rFonts w:hint="default"/>
        <w:lang w:val="en-US" w:eastAsia="en-US" w:bidi="ar-SA"/>
      </w:rPr>
    </w:lvl>
    <w:lvl w:ilvl="1">
      <w:start w:val="1"/>
      <w:numFmt w:val="decimal"/>
      <w:lvlText w:val="%1.%2"/>
      <w:lvlJc w:val="left"/>
      <w:pPr>
        <w:ind w:left="499" w:hanging="500"/>
        <w:jc w:val="left"/>
      </w:pPr>
      <w:rPr>
        <w:rFonts w:ascii="黑体" w:eastAsia="黑体" w:hAnsi="黑体" w:cs="黑体" w:hint="default"/>
        <w:spacing w:val="0"/>
        <w:w w:val="99"/>
        <w:sz w:val="20"/>
        <w:szCs w:val="20"/>
        <w:lang w:val="en-US" w:eastAsia="en-US" w:bidi="ar-SA"/>
      </w:rPr>
    </w:lvl>
    <w:lvl w:ilvl="2">
      <w:start w:val="0"/>
      <w:numFmt w:val="bullet"/>
      <w:lvlText w:val="•"/>
      <w:lvlJc w:val="left"/>
      <w:pPr>
        <w:ind w:left="2274" w:hanging="500"/>
      </w:pPr>
      <w:rPr>
        <w:rFonts w:hint="default"/>
        <w:lang w:val="en-US" w:eastAsia="en-US" w:bidi="ar-SA"/>
      </w:rPr>
    </w:lvl>
    <w:lvl w:ilvl="3">
      <w:start w:val="0"/>
      <w:numFmt w:val="bullet"/>
      <w:lvlText w:val="•"/>
      <w:lvlJc w:val="left"/>
      <w:pPr>
        <w:ind w:left="3161" w:hanging="500"/>
      </w:pPr>
      <w:rPr>
        <w:rFonts w:hint="default"/>
        <w:lang w:val="en-US" w:eastAsia="en-US" w:bidi="ar-SA"/>
      </w:rPr>
    </w:lvl>
    <w:lvl w:ilvl="4">
      <w:start w:val="0"/>
      <w:numFmt w:val="bullet"/>
      <w:lvlText w:val="•"/>
      <w:lvlJc w:val="left"/>
      <w:pPr>
        <w:ind w:left="4048" w:hanging="500"/>
      </w:pPr>
      <w:rPr>
        <w:rFonts w:hint="default"/>
        <w:lang w:val="en-US" w:eastAsia="en-US" w:bidi="ar-SA"/>
      </w:rPr>
    </w:lvl>
    <w:lvl w:ilvl="5">
      <w:start w:val="0"/>
      <w:numFmt w:val="bullet"/>
      <w:lvlText w:val="•"/>
      <w:lvlJc w:val="left"/>
      <w:pPr>
        <w:ind w:left="4935" w:hanging="500"/>
      </w:pPr>
      <w:rPr>
        <w:rFonts w:hint="default"/>
        <w:lang w:val="en-US" w:eastAsia="en-US" w:bidi="ar-SA"/>
      </w:rPr>
    </w:lvl>
    <w:lvl w:ilvl="6">
      <w:start w:val="0"/>
      <w:numFmt w:val="bullet"/>
      <w:lvlText w:val="•"/>
      <w:lvlJc w:val="left"/>
      <w:pPr>
        <w:ind w:left="5822" w:hanging="500"/>
      </w:pPr>
      <w:rPr>
        <w:rFonts w:hint="default"/>
        <w:lang w:val="en-US" w:eastAsia="en-US" w:bidi="ar-SA"/>
      </w:rPr>
    </w:lvl>
    <w:lvl w:ilvl="7">
      <w:start w:val="0"/>
      <w:numFmt w:val="bullet"/>
      <w:lvlText w:val="•"/>
      <w:lvlJc w:val="left"/>
      <w:pPr>
        <w:ind w:left="6709" w:hanging="500"/>
      </w:pPr>
      <w:rPr>
        <w:rFonts w:hint="default"/>
        <w:lang w:val="en-US" w:eastAsia="en-US" w:bidi="ar-SA"/>
      </w:rPr>
    </w:lvl>
    <w:lvl w:ilvl="8">
      <w:start w:val="0"/>
      <w:numFmt w:val="bullet"/>
      <w:lvlText w:val="•"/>
      <w:lvlJc w:val="left"/>
      <w:pPr>
        <w:ind w:left="7596" w:hanging="500"/>
      </w:pPr>
      <w:rPr>
        <w:rFonts w:hint="default"/>
        <w:lang w:val="en-US" w:eastAsia="en-US" w:bidi="ar-SA"/>
      </w:rPr>
    </w:lvl>
  </w:abstractNum>
  <w:abstractNum w:abstractNumId="21">
    <w:nsid w:val="5AC7B5D1"/>
    <w:multiLevelType w:val="hybridMultilevel"/>
    <w:tmpl w:val="00000000"/>
    <w:lvl w:ilvl="0">
      <w:start w:val="1"/>
      <w:numFmt w:val="decimal"/>
      <w:lvlText w:val="%1"/>
      <w:lvlJc w:val="left"/>
      <w:pPr>
        <w:ind w:left="741" w:hanging="269"/>
        <w:jc w:val="left"/>
      </w:pPr>
      <w:rPr>
        <w:rFonts w:ascii="宋体" w:eastAsia="宋体" w:hAnsi="宋体" w:cs="宋体" w:hint="default"/>
        <w:w w:val="100"/>
        <w:sz w:val="18"/>
        <w:szCs w:val="18"/>
        <w:lang w:val="en-US" w:eastAsia="en-US" w:bidi="ar-SA"/>
      </w:rPr>
    </w:lvl>
    <w:lvl w:ilvl="1">
      <w:start w:val="0"/>
      <w:numFmt w:val="bullet"/>
      <w:lvlText w:val="•"/>
      <w:lvlJc w:val="left"/>
      <w:pPr>
        <w:ind w:left="1008" w:hanging="269"/>
      </w:pPr>
      <w:rPr>
        <w:rFonts w:hint="default"/>
        <w:lang w:val="en-US" w:eastAsia="en-US" w:bidi="ar-SA"/>
      </w:rPr>
    </w:lvl>
    <w:lvl w:ilvl="2">
      <w:start w:val="0"/>
      <w:numFmt w:val="bullet"/>
      <w:lvlText w:val="•"/>
      <w:lvlJc w:val="left"/>
      <w:pPr>
        <w:ind w:left="1276" w:hanging="269"/>
      </w:pPr>
      <w:rPr>
        <w:rFonts w:hint="default"/>
        <w:lang w:val="en-US" w:eastAsia="en-US" w:bidi="ar-SA"/>
      </w:rPr>
    </w:lvl>
    <w:lvl w:ilvl="3">
      <w:start w:val="0"/>
      <w:numFmt w:val="bullet"/>
      <w:lvlText w:val="•"/>
      <w:lvlJc w:val="left"/>
      <w:pPr>
        <w:ind w:left="1544" w:hanging="269"/>
      </w:pPr>
      <w:rPr>
        <w:rFonts w:hint="default"/>
        <w:lang w:val="en-US" w:eastAsia="en-US" w:bidi="ar-SA"/>
      </w:rPr>
    </w:lvl>
    <w:lvl w:ilvl="4">
      <w:start w:val="0"/>
      <w:numFmt w:val="bullet"/>
      <w:lvlText w:val="•"/>
      <w:lvlJc w:val="left"/>
      <w:pPr>
        <w:ind w:left="1813" w:hanging="269"/>
      </w:pPr>
      <w:rPr>
        <w:rFonts w:hint="default"/>
        <w:lang w:val="en-US" w:eastAsia="en-US" w:bidi="ar-SA"/>
      </w:rPr>
    </w:lvl>
    <w:lvl w:ilvl="5">
      <w:start w:val="0"/>
      <w:numFmt w:val="bullet"/>
      <w:lvlText w:val="•"/>
      <w:lvlJc w:val="left"/>
      <w:pPr>
        <w:ind w:left="2081" w:hanging="269"/>
      </w:pPr>
      <w:rPr>
        <w:rFonts w:hint="default"/>
        <w:lang w:val="en-US" w:eastAsia="en-US" w:bidi="ar-SA"/>
      </w:rPr>
    </w:lvl>
    <w:lvl w:ilvl="6">
      <w:start w:val="0"/>
      <w:numFmt w:val="bullet"/>
      <w:lvlText w:val="•"/>
      <w:lvlJc w:val="left"/>
      <w:pPr>
        <w:ind w:left="2349" w:hanging="269"/>
      </w:pPr>
      <w:rPr>
        <w:rFonts w:hint="default"/>
        <w:lang w:val="en-US" w:eastAsia="en-US" w:bidi="ar-SA"/>
      </w:rPr>
    </w:lvl>
    <w:lvl w:ilvl="7">
      <w:start w:val="0"/>
      <w:numFmt w:val="bullet"/>
      <w:lvlText w:val="•"/>
      <w:lvlJc w:val="left"/>
      <w:pPr>
        <w:ind w:left="2618" w:hanging="269"/>
      </w:pPr>
      <w:rPr>
        <w:rFonts w:hint="default"/>
        <w:lang w:val="en-US" w:eastAsia="en-US" w:bidi="ar-SA"/>
      </w:rPr>
    </w:lvl>
    <w:lvl w:ilvl="8">
      <w:start w:val="0"/>
      <w:numFmt w:val="bullet"/>
      <w:lvlText w:val="•"/>
      <w:lvlJc w:val="left"/>
      <w:pPr>
        <w:ind w:left="2886" w:hanging="269"/>
      </w:pPr>
      <w:rPr>
        <w:rFonts w:hint="default"/>
        <w:lang w:val="en-US" w:eastAsia="en-US" w:bidi="ar-SA"/>
      </w:rPr>
    </w:lvl>
  </w:abstractNum>
  <w:abstractNum w:abstractNumId="22">
    <w:nsid w:val="5DC8172C"/>
    <w:multiLevelType w:val="hybridMultilevel"/>
    <w:tmpl w:val="00000000"/>
    <w:lvl w:ilvl="0">
      <w:start w:val="4"/>
      <w:numFmt w:val="decimal"/>
      <w:lvlText w:val="%1"/>
      <w:lvlJc w:val="left"/>
      <w:pPr>
        <w:ind w:left="1478" w:hanging="300"/>
        <w:jc w:val="left"/>
      </w:pPr>
      <w:rPr>
        <w:rFonts w:ascii="黑体" w:eastAsia="黑体" w:hAnsi="黑体" w:cs="黑体" w:hint="default"/>
        <w:w w:val="99"/>
        <w:sz w:val="20"/>
        <w:szCs w:val="20"/>
        <w:lang w:val="en-US" w:eastAsia="en-US" w:bidi="ar-SA"/>
      </w:rPr>
    </w:lvl>
    <w:lvl w:ilvl="1">
      <w:start w:val="1"/>
      <w:numFmt w:val="decimal"/>
      <w:lvlText w:val="%1.%2"/>
      <w:lvlJc w:val="left"/>
      <w:pPr>
        <w:ind w:left="1677"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1876"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3070" w:hanging="699"/>
      </w:pPr>
      <w:rPr>
        <w:rFonts w:hint="default"/>
        <w:lang w:val="en-US" w:eastAsia="en-US" w:bidi="ar-SA"/>
      </w:rPr>
    </w:lvl>
    <w:lvl w:ilvl="4">
      <w:start w:val="0"/>
      <w:numFmt w:val="bullet"/>
      <w:lvlText w:val="•"/>
      <w:lvlJc w:val="left"/>
      <w:pPr>
        <w:ind w:left="4261" w:hanging="699"/>
      </w:pPr>
      <w:rPr>
        <w:rFonts w:hint="default"/>
        <w:lang w:val="en-US" w:eastAsia="en-US" w:bidi="ar-SA"/>
      </w:rPr>
    </w:lvl>
    <w:lvl w:ilvl="5">
      <w:start w:val="0"/>
      <w:numFmt w:val="bullet"/>
      <w:lvlText w:val="•"/>
      <w:lvlJc w:val="left"/>
      <w:pPr>
        <w:ind w:left="5452" w:hanging="699"/>
      </w:pPr>
      <w:rPr>
        <w:rFonts w:hint="default"/>
        <w:lang w:val="en-US" w:eastAsia="en-US" w:bidi="ar-SA"/>
      </w:rPr>
    </w:lvl>
    <w:lvl w:ilvl="6">
      <w:start w:val="0"/>
      <w:numFmt w:val="bullet"/>
      <w:lvlText w:val="•"/>
      <w:lvlJc w:val="left"/>
      <w:pPr>
        <w:ind w:left="6643" w:hanging="699"/>
      </w:pPr>
      <w:rPr>
        <w:rFonts w:hint="default"/>
        <w:lang w:val="en-US" w:eastAsia="en-US" w:bidi="ar-SA"/>
      </w:rPr>
    </w:lvl>
    <w:lvl w:ilvl="7">
      <w:start w:val="0"/>
      <w:numFmt w:val="bullet"/>
      <w:lvlText w:val="•"/>
      <w:lvlJc w:val="left"/>
      <w:pPr>
        <w:ind w:left="7833" w:hanging="699"/>
      </w:pPr>
      <w:rPr>
        <w:rFonts w:hint="default"/>
        <w:lang w:val="en-US" w:eastAsia="en-US" w:bidi="ar-SA"/>
      </w:rPr>
    </w:lvl>
    <w:lvl w:ilvl="8">
      <w:start w:val="0"/>
      <w:numFmt w:val="bullet"/>
      <w:lvlText w:val="•"/>
      <w:lvlJc w:val="left"/>
      <w:pPr>
        <w:ind w:left="9024" w:hanging="699"/>
      </w:pPr>
      <w:rPr>
        <w:rFonts w:hint="default"/>
        <w:lang w:val="en-US" w:eastAsia="en-US" w:bidi="ar-SA"/>
      </w:rPr>
    </w:lvl>
  </w:abstractNum>
  <w:abstractNum w:abstractNumId="23">
    <w:nsid w:val="6050CE2D"/>
    <w:multiLevelType w:val="hybridMultilevel"/>
    <w:tmpl w:val="00000000"/>
    <w:lvl w:ilvl="0">
      <w:start w:val="1"/>
      <w:numFmt w:val="decimal"/>
      <w:lvlText w:val="%1."/>
      <w:lvlJc w:val="left"/>
      <w:pPr>
        <w:ind w:left="52"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194" w:hanging="138"/>
      </w:pPr>
      <w:rPr>
        <w:rFonts w:hint="default"/>
        <w:lang w:val="en-US" w:eastAsia="en-US" w:bidi="ar-SA"/>
      </w:rPr>
    </w:lvl>
    <w:lvl w:ilvl="2">
      <w:start w:val="0"/>
      <w:numFmt w:val="bullet"/>
      <w:lvlText w:val="•"/>
      <w:lvlJc w:val="left"/>
      <w:pPr>
        <w:ind w:left="329" w:hanging="138"/>
      </w:pPr>
      <w:rPr>
        <w:rFonts w:hint="default"/>
        <w:lang w:val="en-US" w:eastAsia="en-US" w:bidi="ar-SA"/>
      </w:rPr>
    </w:lvl>
    <w:lvl w:ilvl="3">
      <w:start w:val="0"/>
      <w:numFmt w:val="bullet"/>
      <w:lvlText w:val="•"/>
      <w:lvlJc w:val="left"/>
      <w:pPr>
        <w:ind w:left="463" w:hanging="138"/>
      </w:pPr>
      <w:rPr>
        <w:rFonts w:hint="default"/>
        <w:lang w:val="en-US" w:eastAsia="en-US" w:bidi="ar-SA"/>
      </w:rPr>
    </w:lvl>
    <w:lvl w:ilvl="4">
      <w:start w:val="0"/>
      <w:numFmt w:val="bullet"/>
      <w:lvlText w:val="•"/>
      <w:lvlJc w:val="left"/>
      <w:pPr>
        <w:ind w:left="598" w:hanging="138"/>
      </w:pPr>
      <w:rPr>
        <w:rFonts w:hint="default"/>
        <w:lang w:val="en-US" w:eastAsia="en-US" w:bidi="ar-SA"/>
      </w:rPr>
    </w:lvl>
    <w:lvl w:ilvl="5">
      <w:start w:val="0"/>
      <w:numFmt w:val="bullet"/>
      <w:lvlText w:val="•"/>
      <w:lvlJc w:val="left"/>
      <w:pPr>
        <w:ind w:left="732" w:hanging="138"/>
      </w:pPr>
      <w:rPr>
        <w:rFonts w:hint="default"/>
        <w:lang w:val="en-US" w:eastAsia="en-US" w:bidi="ar-SA"/>
      </w:rPr>
    </w:lvl>
    <w:lvl w:ilvl="6">
      <w:start w:val="0"/>
      <w:numFmt w:val="bullet"/>
      <w:lvlText w:val="•"/>
      <w:lvlJc w:val="left"/>
      <w:pPr>
        <w:ind w:left="867" w:hanging="138"/>
      </w:pPr>
      <w:rPr>
        <w:rFonts w:hint="default"/>
        <w:lang w:val="en-US" w:eastAsia="en-US" w:bidi="ar-SA"/>
      </w:rPr>
    </w:lvl>
    <w:lvl w:ilvl="7">
      <w:start w:val="0"/>
      <w:numFmt w:val="bullet"/>
      <w:lvlText w:val="•"/>
      <w:lvlJc w:val="left"/>
      <w:pPr>
        <w:ind w:left="1001" w:hanging="138"/>
      </w:pPr>
      <w:rPr>
        <w:rFonts w:hint="default"/>
        <w:lang w:val="en-US" w:eastAsia="en-US" w:bidi="ar-SA"/>
      </w:rPr>
    </w:lvl>
    <w:lvl w:ilvl="8">
      <w:start w:val="0"/>
      <w:numFmt w:val="bullet"/>
      <w:lvlText w:val="•"/>
      <w:lvlJc w:val="left"/>
      <w:pPr>
        <w:ind w:left="1136" w:hanging="138"/>
      </w:pPr>
      <w:rPr>
        <w:rFonts w:hint="default"/>
        <w:lang w:val="en-US" w:eastAsia="en-US" w:bidi="ar-SA"/>
      </w:rPr>
    </w:lvl>
  </w:abstractNum>
  <w:abstractNum w:abstractNumId="24">
    <w:nsid w:val="62612F2A"/>
    <w:multiLevelType w:val="hybridMultilevel"/>
    <w:tmpl w:val="00000000"/>
    <w:lvl w:ilvl="0">
      <w:start w:val="1"/>
      <w:numFmt w:val="decimal"/>
      <w:lvlText w:val="%1."/>
      <w:lvlJc w:val="left"/>
      <w:pPr>
        <w:ind w:left="52"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194" w:hanging="138"/>
      </w:pPr>
      <w:rPr>
        <w:rFonts w:hint="default"/>
        <w:lang w:val="en-US" w:eastAsia="en-US" w:bidi="ar-SA"/>
      </w:rPr>
    </w:lvl>
    <w:lvl w:ilvl="2">
      <w:start w:val="0"/>
      <w:numFmt w:val="bullet"/>
      <w:lvlText w:val="•"/>
      <w:lvlJc w:val="left"/>
      <w:pPr>
        <w:ind w:left="329" w:hanging="138"/>
      </w:pPr>
      <w:rPr>
        <w:rFonts w:hint="default"/>
        <w:lang w:val="en-US" w:eastAsia="en-US" w:bidi="ar-SA"/>
      </w:rPr>
    </w:lvl>
    <w:lvl w:ilvl="3">
      <w:start w:val="0"/>
      <w:numFmt w:val="bullet"/>
      <w:lvlText w:val="•"/>
      <w:lvlJc w:val="left"/>
      <w:pPr>
        <w:ind w:left="463" w:hanging="138"/>
      </w:pPr>
      <w:rPr>
        <w:rFonts w:hint="default"/>
        <w:lang w:val="en-US" w:eastAsia="en-US" w:bidi="ar-SA"/>
      </w:rPr>
    </w:lvl>
    <w:lvl w:ilvl="4">
      <w:start w:val="0"/>
      <w:numFmt w:val="bullet"/>
      <w:lvlText w:val="•"/>
      <w:lvlJc w:val="left"/>
      <w:pPr>
        <w:ind w:left="598" w:hanging="138"/>
      </w:pPr>
      <w:rPr>
        <w:rFonts w:hint="default"/>
        <w:lang w:val="en-US" w:eastAsia="en-US" w:bidi="ar-SA"/>
      </w:rPr>
    </w:lvl>
    <w:lvl w:ilvl="5">
      <w:start w:val="0"/>
      <w:numFmt w:val="bullet"/>
      <w:lvlText w:val="•"/>
      <w:lvlJc w:val="left"/>
      <w:pPr>
        <w:ind w:left="732" w:hanging="138"/>
      </w:pPr>
      <w:rPr>
        <w:rFonts w:hint="default"/>
        <w:lang w:val="en-US" w:eastAsia="en-US" w:bidi="ar-SA"/>
      </w:rPr>
    </w:lvl>
    <w:lvl w:ilvl="6">
      <w:start w:val="0"/>
      <w:numFmt w:val="bullet"/>
      <w:lvlText w:val="•"/>
      <w:lvlJc w:val="left"/>
      <w:pPr>
        <w:ind w:left="867" w:hanging="138"/>
      </w:pPr>
      <w:rPr>
        <w:rFonts w:hint="default"/>
        <w:lang w:val="en-US" w:eastAsia="en-US" w:bidi="ar-SA"/>
      </w:rPr>
    </w:lvl>
    <w:lvl w:ilvl="7">
      <w:start w:val="0"/>
      <w:numFmt w:val="bullet"/>
      <w:lvlText w:val="•"/>
      <w:lvlJc w:val="left"/>
      <w:pPr>
        <w:ind w:left="1001" w:hanging="138"/>
      </w:pPr>
      <w:rPr>
        <w:rFonts w:hint="default"/>
        <w:lang w:val="en-US" w:eastAsia="en-US" w:bidi="ar-SA"/>
      </w:rPr>
    </w:lvl>
    <w:lvl w:ilvl="8">
      <w:start w:val="0"/>
      <w:numFmt w:val="bullet"/>
      <w:lvlText w:val="•"/>
      <w:lvlJc w:val="left"/>
      <w:pPr>
        <w:ind w:left="1136" w:hanging="138"/>
      </w:pPr>
      <w:rPr>
        <w:rFonts w:hint="default"/>
        <w:lang w:val="en-US" w:eastAsia="en-US" w:bidi="ar-SA"/>
      </w:rPr>
    </w:lvl>
  </w:abstractNum>
  <w:abstractNum w:abstractNumId="25">
    <w:nsid w:val="66F484BB"/>
    <w:multiLevelType w:val="hybridMultilevel"/>
    <w:tmpl w:val="00000000"/>
    <w:lvl w:ilvl="0">
      <w:start w:val="1"/>
      <w:numFmt w:val="decimal"/>
      <w:lvlText w:val="%1."/>
      <w:lvlJc w:val="left"/>
      <w:pPr>
        <w:ind w:left="51"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294" w:hanging="138"/>
      </w:pPr>
      <w:rPr>
        <w:rFonts w:hint="default"/>
        <w:lang w:val="en-US" w:eastAsia="en-US" w:bidi="ar-SA"/>
      </w:rPr>
    </w:lvl>
    <w:lvl w:ilvl="2">
      <w:start w:val="0"/>
      <w:numFmt w:val="bullet"/>
      <w:lvlText w:val="•"/>
      <w:lvlJc w:val="left"/>
      <w:pPr>
        <w:ind w:left="528" w:hanging="138"/>
      </w:pPr>
      <w:rPr>
        <w:rFonts w:hint="default"/>
        <w:lang w:val="en-US" w:eastAsia="en-US" w:bidi="ar-SA"/>
      </w:rPr>
    </w:lvl>
    <w:lvl w:ilvl="3">
      <w:start w:val="0"/>
      <w:numFmt w:val="bullet"/>
      <w:lvlText w:val="•"/>
      <w:lvlJc w:val="left"/>
      <w:pPr>
        <w:ind w:left="762" w:hanging="138"/>
      </w:pPr>
      <w:rPr>
        <w:rFonts w:hint="default"/>
        <w:lang w:val="en-US" w:eastAsia="en-US" w:bidi="ar-SA"/>
      </w:rPr>
    </w:lvl>
    <w:lvl w:ilvl="4">
      <w:start w:val="0"/>
      <w:numFmt w:val="bullet"/>
      <w:lvlText w:val="•"/>
      <w:lvlJc w:val="left"/>
      <w:pPr>
        <w:ind w:left="996" w:hanging="138"/>
      </w:pPr>
      <w:rPr>
        <w:rFonts w:hint="default"/>
        <w:lang w:val="en-US" w:eastAsia="en-US" w:bidi="ar-SA"/>
      </w:rPr>
    </w:lvl>
    <w:lvl w:ilvl="5">
      <w:start w:val="0"/>
      <w:numFmt w:val="bullet"/>
      <w:lvlText w:val="•"/>
      <w:lvlJc w:val="left"/>
      <w:pPr>
        <w:ind w:left="1230" w:hanging="138"/>
      </w:pPr>
      <w:rPr>
        <w:rFonts w:hint="default"/>
        <w:lang w:val="en-US" w:eastAsia="en-US" w:bidi="ar-SA"/>
      </w:rPr>
    </w:lvl>
    <w:lvl w:ilvl="6">
      <w:start w:val="0"/>
      <w:numFmt w:val="bullet"/>
      <w:lvlText w:val="•"/>
      <w:lvlJc w:val="left"/>
      <w:pPr>
        <w:ind w:left="1464" w:hanging="138"/>
      </w:pPr>
      <w:rPr>
        <w:rFonts w:hint="default"/>
        <w:lang w:val="en-US" w:eastAsia="en-US" w:bidi="ar-SA"/>
      </w:rPr>
    </w:lvl>
    <w:lvl w:ilvl="7">
      <w:start w:val="0"/>
      <w:numFmt w:val="bullet"/>
      <w:lvlText w:val="•"/>
      <w:lvlJc w:val="left"/>
      <w:pPr>
        <w:ind w:left="1698" w:hanging="138"/>
      </w:pPr>
      <w:rPr>
        <w:rFonts w:hint="default"/>
        <w:lang w:val="en-US" w:eastAsia="en-US" w:bidi="ar-SA"/>
      </w:rPr>
    </w:lvl>
    <w:lvl w:ilvl="8">
      <w:start w:val="0"/>
      <w:numFmt w:val="bullet"/>
      <w:lvlText w:val="•"/>
      <w:lvlJc w:val="left"/>
      <w:pPr>
        <w:ind w:left="1932" w:hanging="138"/>
      </w:pPr>
      <w:rPr>
        <w:rFonts w:hint="default"/>
        <w:lang w:val="en-US" w:eastAsia="en-US" w:bidi="ar-SA"/>
      </w:rPr>
    </w:lvl>
  </w:abstractNum>
  <w:abstractNum w:abstractNumId="26">
    <w:nsid w:val="69824D21"/>
    <w:multiLevelType w:val="hybridMultilevel"/>
    <w:tmpl w:val="00000000"/>
    <w:lvl w:ilvl="0">
      <w:start w:val="6"/>
      <w:numFmt w:val="decimal"/>
      <w:lvlText w:val="%1"/>
      <w:lvlJc w:val="left"/>
      <w:pPr>
        <w:ind w:left="499" w:hanging="500"/>
        <w:jc w:val="left"/>
      </w:pPr>
      <w:rPr>
        <w:rFonts w:hint="default"/>
        <w:lang w:val="en-US" w:eastAsia="en-US" w:bidi="ar-SA"/>
      </w:rPr>
    </w:lvl>
    <w:lvl w:ilvl="1">
      <w:start w:val="4"/>
      <w:numFmt w:val="decimal"/>
      <w:lvlText w:val="%1.%2"/>
      <w:lvlJc w:val="left"/>
      <w:pPr>
        <w:ind w:left="499" w:hanging="500"/>
        <w:jc w:val="left"/>
      </w:pPr>
      <w:rPr>
        <w:rFonts w:ascii="黑体" w:eastAsia="黑体" w:hAnsi="黑体" w:cs="黑体" w:hint="default"/>
        <w:spacing w:val="0"/>
        <w:w w:val="99"/>
        <w:sz w:val="20"/>
        <w:szCs w:val="20"/>
        <w:lang w:val="en-US" w:eastAsia="en-US" w:bidi="ar-SA"/>
      </w:rPr>
    </w:lvl>
    <w:lvl w:ilvl="2">
      <w:start w:val="0"/>
      <w:numFmt w:val="bullet"/>
      <w:lvlText w:val="•"/>
      <w:lvlJc w:val="left"/>
      <w:pPr>
        <w:ind w:left="2274" w:hanging="500"/>
      </w:pPr>
      <w:rPr>
        <w:rFonts w:hint="default"/>
        <w:lang w:val="en-US" w:eastAsia="en-US" w:bidi="ar-SA"/>
      </w:rPr>
    </w:lvl>
    <w:lvl w:ilvl="3">
      <w:start w:val="0"/>
      <w:numFmt w:val="bullet"/>
      <w:lvlText w:val="•"/>
      <w:lvlJc w:val="left"/>
      <w:pPr>
        <w:ind w:left="3161" w:hanging="500"/>
      </w:pPr>
      <w:rPr>
        <w:rFonts w:hint="default"/>
        <w:lang w:val="en-US" w:eastAsia="en-US" w:bidi="ar-SA"/>
      </w:rPr>
    </w:lvl>
    <w:lvl w:ilvl="4">
      <w:start w:val="0"/>
      <w:numFmt w:val="bullet"/>
      <w:lvlText w:val="•"/>
      <w:lvlJc w:val="left"/>
      <w:pPr>
        <w:ind w:left="4049" w:hanging="500"/>
      </w:pPr>
      <w:rPr>
        <w:rFonts w:hint="default"/>
        <w:lang w:val="en-US" w:eastAsia="en-US" w:bidi="ar-SA"/>
      </w:rPr>
    </w:lvl>
    <w:lvl w:ilvl="5">
      <w:start w:val="0"/>
      <w:numFmt w:val="bullet"/>
      <w:lvlText w:val="•"/>
      <w:lvlJc w:val="left"/>
      <w:pPr>
        <w:ind w:left="4936" w:hanging="500"/>
      </w:pPr>
      <w:rPr>
        <w:rFonts w:hint="default"/>
        <w:lang w:val="en-US" w:eastAsia="en-US" w:bidi="ar-SA"/>
      </w:rPr>
    </w:lvl>
    <w:lvl w:ilvl="6">
      <w:start w:val="0"/>
      <w:numFmt w:val="bullet"/>
      <w:lvlText w:val="•"/>
      <w:lvlJc w:val="left"/>
      <w:pPr>
        <w:ind w:left="5823" w:hanging="500"/>
      </w:pPr>
      <w:rPr>
        <w:rFonts w:hint="default"/>
        <w:lang w:val="en-US" w:eastAsia="en-US" w:bidi="ar-SA"/>
      </w:rPr>
    </w:lvl>
    <w:lvl w:ilvl="7">
      <w:start w:val="0"/>
      <w:numFmt w:val="bullet"/>
      <w:lvlText w:val="•"/>
      <w:lvlJc w:val="left"/>
      <w:pPr>
        <w:ind w:left="6711" w:hanging="500"/>
      </w:pPr>
      <w:rPr>
        <w:rFonts w:hint="default"/>
        <w:lang w:val="en-US" w:eastAsia="en-US" w:bidi="ar-SA"/>
      </w:rPr>
    </w:lvl>
    <w:lvl w:ilvl="8">
      <w:start w:val="0"/>
      <w:numFmt w:val="bullet"/>
      <w:lvlText w:val="•"/>
      <w:lvlJc w:val="left"/>
      <w:pPr>
        <w:ind w:left="7598" w:hanging="500"/>
      </w:pPr>
      <w:rPr>
        <w:rFonts w:hint="default"/>
        <w:lang w:val="en-US" w:eastAsia="en-US" w:bidi="ar-SA"/>
      </w:rPr>
    </w:lvl>
  </w:abstractNum>
  <w:abstractNum w:abstractNumId="27">
    <w:nsid w:val="6BA7747A"/>
    <w:multiLevelType w:val="hybridMultilevel"/>
    <w:tmpl w:val="00000000"/>
    <w:lvl w:ilvl="0">
      <w:start w:val="1"/>
      <w:numFmt w:val="decimal"/>
      <w:lvlText w:val="%1."/>
      <w:lvlJc w:val="left"/>
      <w:pPr>
        <w:ind w:left="367" w:hanging="138"/>
        <w:jc w:val="left"/>
      </w:pPr>
      <w:rPr>
        <w:rFonts w:ascii="Times New Roman" w:eastAsia="Times New Roman" w:hAnsi="Times New Roman" w:cs="Times New Roman" w:hint="default"/>
        <w:spacing w:val="0"/>
        <w:w w:val="100"/>
        <w:sz w:val="16"/>
        <w:szCs w:val="16"/>
        <w:lang w:val="en-US" w:eastAsia="en-US" w:bidi="ar-SA"/>
      </w:rPr>
    </w:lvl>
    <w:lvl w:ilvl="1">
      <w:start w:val="0"/>
      <w:numFmt w:val="bullet"/>
      <w:lvlText w:val="•"/>
      <w:lvlJc w:val="left"/>
      <w:pPr>
        <w:ind w:left="567" w:hanging="138"/>
      </w:pPr>
      <w:rPr>
        <w:rFonts w:hint="default"/>
        <w:lang w:val="en-US" w:eastAsia="en-US" w:bidi="ar-SA"/>
      </w:rPr>
    </w:lvl>
    <w:lvl w:ilvl="2">
      <w:start w:val="0"/>
      <w:numFmt w:val="bullet"/>
      <w:lvlText w:val="•"/>
      <w:lvlJc w:val="left"/>
      <w:pPr>
        <w:ind w:left="775" w:hanging="138"/>
      </w:pPr>
      <w:rPr>
        <w:rFonts w:hint="default"/>
        <w:lang w:val="en-US" w:eastAsia="en-US" w:bidi="ar-SA"/>
      </w:rPr>
    </w:lvl>
    <w:lvl w:ilvl="3">
      <w:start w:val="0"/>
      <w:numFmt w:val="bullet"/>
      <w:lvlText w:val="•"/>
      <w:lvlJc w:val="left"/>
      <w:pPr>
        <w:ind w:left="983" w:hanging="138"/>
      </w:pPr>
      <w:rPr>
        <w:rFonts w:hint="default"/>
        <w:lang w:val="en-US" w:eastAsia="en-US" w:bidi="ar-SA"/>
      </w:rPr>
    </w:lvl>
    <w:lvl w:ilvl="4">
      <w:start w:val="0"/>
      <w:numFmt w:val="bullet"/>
      <w:lvlText w:val="•"/>
      <w:lvlJc w:val="left"/>
      <w:pPr>
        <w:ind w:left="1191" w:hanging="138"/>
      </w:pPr>
      <w:rPr>
        <w:rFonts w:hint="default"/>
        <w:lang w:val="en-US" w:eastAsia="en-US" w:bidi="ar-SA"/>
      </w:rPr>
    </w:lvl>
    <w:lvl w:ilvl="5">
      <w:start w:val="0"/>
      <w:numFmt w:val="bullet"/>
      <w:lvlText w:val="•"/>
      <w:lvlJc w:val="left"/>
      <w:pPr>
        <w:ind w:left="1399" w:hanging="138"/>
      </w:pPr>
      <w:rPr>
        <w:rFonts w:hint="default"/>
        <w:lang w:val="en-US" w:eastAsia="en-US" w:bidi="ar-SA"/>
      </w:rPr>
    </w:lvl>
    <w:lvl w:ilvl="6">
      <w:start w:val="0"/>
      <w:numFmt w:val="bullet"/>
      <w:lvlText w:val="•"/>
      <w:lvlJc w:val="left"/>
      <w:pPr>
        <w:ind w:left="1606" w:hanging="138"/>
      </w:pPr>
      <w:rPr>
        <w:rFonts w:hint="default"/>
        <w:lang w:val="en-US" w:eastAsia="en-US" w:bidi="ar-SA"/>
      </w:rPr>
    </w:lvl>
    <w:lvl w:ilvl="7">
      <w:start w:val="0"/>
      <w:numFmt w:val="bullet"/>
      <w:lvlText w:val="•"/>
      <w:lvlJc w:val="left"/>
      <w:pPr>
        <w:ind w:left="1814" w:hanging="138"/>
      </w:pPr>
      <w:rPr>
        <w:rFonts w:hint="default"/>
        <w:lang w:val="en-US" w:eastAsia="en-US" w:bidi="ar-SA"/>
      </w:rPr>
    </w:lvl>
    <w:lvl w:ilvl="8">
      <w:start w:val="0"/>
      <w:numFmt w:val="bullet"/>
      <w:lvlText w:val="•"/>
      <w:lvlJc w:val="left"/>
      <w:pPr>
        <w:ind w:left="2022" w:hanging="138"/>
      </w:pPr>
      <w:rPr>
        <w:rFonts w:hint="default"/>
        <w:lang w:val="en-US" w:eastAsia="en-US" w:bidi="ar-SA"/>
      </w:rPr>
    </w:lvl>
  </w:abstractNum>
  <w:abstractNum w:abstractNumId="28">
    <w:nsid w:val="6D3ECC62"/>
    <w:multiLevelType w:val="hybridMultilevel"/>
    <w:tmpl w:val="00000000"/>
    <w:lvl w:ilvl="0">
      <w:start w:val="1"/>
      <w:numFmt w:val="decimal"/>
      <w:lvlText w:val="%1."/>
      <w:lvlJc w:val="left"/>
      <w:pPr>
        <w:ind w:left="51"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294" w:hanging="138"/>
      </w:pPr>
      <w:rPr>
        <w:rFonts w:hint="default"/>
        <w:lang w:val="en-US" w:eastAsia="en-US" w:bidi="ar-SA"/>
      </w:rPr>
    </w:lvl>
    <w:lvl w:ilvl="2">
      <w:start w:val="0"/>
      <w:numFmt w:val="bullet"/>
      <w:lvlText w:val="•"/>
      <w:lvlJc w:val="left"/>
      <w:pPr>
        <w:ind w:left="528" w:hanging="138"/>
      </w:pPr>
      <w:rPr>
        <w:rFonts w:hint="default"/>
        <w:lang w:val="en-US" w:eastAsia="en-US" w:bidi="ar-SA"/>
      </w:rPr>
    </w:lvl>
    <w:lvl w:ilvl="3">
      <w:start w:val="0"/>
      <w:numFmt w:val="bullet"/>
      <w:lvlText w:val="•"/>
      <w:lvlJc w:val="left"/>
      <w:pPr>
        <w:ind w:left="762" w:hanging="138"/>
      </w:pPr>
      <w:rPr>
        <w:rFonts w:hint="default"/>
        <w:lang w:val="en-US" w:eastAsia="en-US" w:bidi="ar-SA"/>
      </w:rPr>
    </w:lvl>
    <w:lvl w:ilvl="4">
      <w:start w:val="0"/>
      <w:numFmt w:val="bullet"/>
      <w:lvlText w:val="•"/>
      <w:lvlJc w:val="left"/>
      <w:pPr>
        <w:ind w:left="996" w:hanging="138"/>
      </w:pPr>
      <w:rPr>
        <w:rFonts w:hint="default"/>
        <w:lang w:val="en-US" w:eastAsia="en-US" w:bidi="ar-SA"/>
      </w:rPr>
    </w:lvl>
    <w:lvl w:ilvl="5">
      <w:start w:val="0"/>
      <w:numFmt w:val="bullet"/>
      <w:lvlText w:val="•"/>
      <w:lvlJc w:val="left"/>
      <w:pPr>
        <w:ind w:left="1230" w:hanging="138"/>
      </w:pPr>
      <w:rPr>
        <w:rFonts w:hint="default"/>
        <w:lang w:val="en-US" w:eastAsia="en-US" w:bidi="ar-SA"/>
      </w:rPr>
    </w:lvl>
    <w:lvl w:ilvl="6">
      <w:start w:val="0"/>
      <w:numFmt w:val="bullet"/>
      <w:lvlText w:val="•"/>
      <w:lvlJc w:val="left"/>
      <w:pPr>
        <w:ind w:left="1464" w:hanging="138"/>
      </w:pPr>
      <w:rPr>
        <w:rFonts w:hint="default"/>
        <w:lang w:val="en-US" w:eastAsia="en-US" w:bidi="ar-SA"/>
      </w:rPr>
    </w:lvl>
    <w:lvl w:ilvl="7">
      <w:start w:val="0"/>
      <w:numFmt w:val="bullet"/>
      <w:lvlText w:val="•"/>
      <w:lvlJc w:val="left"/>
      <w:pPr>
        <w:ind w:left="1698" w:hanging="138"/>
      </w:pPr>
      <w:rPr>
        <w:rFonts w:hint="default"/>
        <w:lang w:val="en-US" w:eastAsia="en-US" w:bidi="ar-SA"/>
      </w:rPr>
    </w:lvl>
    <w:lvl w:ilvl="8">
      <w:start w:val="0"/>
      <w:numFmt w:val="bullet"/>
      <w:lvlText w:val="•"/>
      <w:lvlJc w:val="left"/>
      <w:pPr>
        <w:ind w:left="1932" w:hanging="138"/>
      </w:pPr>
      <w:rPr>
        <w:rFonts w:hint="default"/>
        <w:lang w:val="en-US" w:eastAsia="en-US" w:bidi="ar-SA"/>
      </w:rPr>
    </w:lvl>
  </w:abstractNum>
  <w:abstractNum w:abstractNumId="29">
    <w:nsid w:val="6E5CC2F3"/>
    <w:multiLevelType w:val="hybridMultilevel"/>
    <w:tmpl w:val="00000000"/>
    <w:lvl w:ilvl="0">
      <w:start w:val="9"/>
      <w:numFmt w:val="decimal"/>
      <w:lvlText w:val="%1"/>
      <w:lvlJc w:val="left"/>
      <w:pPr>
        <w:ind w:left="1677" w:hanging="500"/>
        <w:jc w:val="left"/>
      </w:pPr>
      <w:rPr>
        <w:rFonts w:hint="default"/>
        <w:lang w:val="en-US" w:eastAsia="en-US" w:bidi="ar-SA"/>
      </w:rPr>
    </w:lvl>
    <w:lvl w:ilvl="1">
      <w:start w:val="3"/>
      <w:numFmt w:val="decimal"/>
      <w:lvlText w:val="%1.%2"/>
      <w:lvlJc w:val="left"/>
      <w:pPr>
        <w:ind w:left="1677" w:hanging="500"/>
        <w:jc w:val="left"/>
      </w:pPr>
      <w:rPr>
        <w:rFonts w:ascii="黑体" w:eastAsia="黑体" w:hAnsi="黑体" w:cs="黑体" w:hint="default"/>
        <w:spacing w:val="0"/>
        <w:w w:val="99"/>
        <w:sz w:val="20"/>
        <w:szCs w:val="20"/>
        <w:lang w:val="en-US" w:eastAsia="en-US" w:bidi="ar-SA"/>
      </w:rPr>
    </w:lvl>
    <w:lvl w:ilvl="2">
      <w:start w:val="1"/>
      <w:numFmt w:val="decimal"/>
      <w:lvlText w:val="%1.%2.%3"/>
      <w:lvlJc w:val="left"/>
      <w:pPr>
        <w:ind w:left="1876" w:hanging="699"/>
        <w:jc w:val="left"/>
      </w:pPr>
      <w:rPr>
        <w:rFonts w:ascii="黑体" w:eastAsia="黑体" w:hAnsi="黑体" w:cs="黑体" w:hint="default"/>
        <w:spacing w:val="-2"/>
        <w:w w:val="99"/>
        <w:sz w:val="20"/>
        <w:szCs w:val="20"/>
        <w:lang w:val="en-US" w:eastAsia="en-US" w:bidi="ar-SA"/>
      </w:rPr>
    </w:lvl>
    <w:lvl w:ilvl="3">
      <w:start w:val="0"/>
      <w:numFmt w:val="bullet"/>
      <w:lvlText w:val="•"/>
      <w:lvlJc w:val="left"/>
      <w:pPr>
        <w:ind w:left="3996" w:hanging="699"/>
      </w:pPr>
      <w:rPr>
        <w:rFonts w:hint="default"/>
        <w:lang w:val="en-US" w:eastAsia="en-US" w:bidi="ar-SA"/>
      </w:rPr>
    </w:lvl>
    <w:lvl w:ilvl="4">
      <w:start w:val="0"/>
      <w:numFmt w:val="bullet"/>
      <w:lvlText w:val="•"/>
      <w:lvlJc w:val="left"/>
      <w:pPr>
        <w:ind w:left="5055" w:hanging="699"/>
      </w:pPr>
      <w:rPr>
        <w:rFonts w:hint="default"/>
        <w:lang w:val="en-US" w:eastAsia="en-US" w:bidi="ar-SA"/>
      </w:rPr>
    </w:lvl>
    <w:lvl w:ilvl="5">
      <w:start w:val="0"/>
      <w:numFmt w:val="bullet"/>
      <w:lvlText w:val="•"/>
      <w:lvlJc w:val="left"/>
      <w:pPr>
        <w:ind w:left="6113" w:hanging="699"/>
      </w:pPr>
      <w:rPr>
        <w:rFonts w:hint="default"/>
        <w:lang w:val="en-US" w:eastAsia="en-US" w:bidi="ar-SA"/>
      </w:rPr>
    </w:lvl>
    <w:lvl w:ilvl="6">
      <w:start w:val="0"/>
      <w:numFmt w:val="bullet"/>
      <w:lvlText w:val="•"/>
      <w:lvlJc w:val="left"/>
      <w:pPr>
        <w:ind w:left="7172" w:hanging="699"/>
      </w:pPr>
      <w:rPr>
        <w:rFonts w:hint="default"/>
        <w:lang w:val="en-US" w:eastAsia="en-US" w:bidi="ar-SA"/>
      </w:rPr>
    </w:lvl>
    <w:lvl w:ilvl="7">
      <w:start w:val="0"/>
      <w:numFmt w:val="bullet"/>
      <w:lvlText w:val="•"/>
      <w:lvlJc w:val="left"/>
      <w:pPr>
        <w:ind w:left="8230" w:hanging="699"/>
      </w:pPr>
      <w:rPr>
        <w:rFonts w:hint="default"/>
        <w:lang w:val="en-US" w:eastAsia="en-US" w:bidi="ar-SA"/>
      </w:rPr>
    </w:lvl>
    <w:lvl w:ilvl="8">
      <w:start w:val="0"/>
      <w:numFmt w:val="bullet"/>
      <w:lvlText w:val="•"/>
      <w:lvlJc w:val="left"/>
      <w:pPr>
        <w:ind w:left="9289" w:hanging="699"/>
      </w:pPr>
      <w:rPr>
        <w:rFonts w:hint="default"/>
        <w:lang w:val="en-US" w:eastAsia="en-US" w:bidi="ar-SA"/>
      </w:rPr>
    </w:lvl>
  </w:abstractNum>
  <w:abstractNum w:abstractNumId="30">
    <w:nsid w:val="7105F1B5"/>
    <w:multiLevelType w:val="hybridMultilevel"/>
    <w:tmpl w:val="00000000"/>
    <w:lvl w:ilvl="0">
      <w:start w:val="1"/>
      <w:numFmt w:val="decimal"/>
      <w:lvlText w:val="%1."/>
      <w:lvlJc w:val="left"/>
      <w:pPr>
        <w:ind w:left="51" w:hanging="138"/>
        <w:jc w:val="left"/>
      </w:pPr>
      <w:rPr>
        <w:rFonts w:ascii="Times New Roman" w:eastAsia="Times New Roman" w:hAnsi="Times New Roman" w:cs="Times New Roman" w:hint="default"/>
        <w:spacing w:val="-2"/>
        <w:w w:val="100"/>
        <w:sz w:val="16"/>
        <w:szCs w:val="16"/>
        <w:lang w:val="en-US" w:eastAsia="en-US" w:bidi="ar-SA"/>
      </w:rPr>
    </w:lvl>
    <w:lvl w:ilvl="1">
      <w:start w:val="0"/>
      <w:numFmt w:val="bullet"/>
      <w:lvlText w:val="•"/>
      <w:lvlJc w:val="left"/>
      <w:pPr>
        <w:ind w:left="294" w:hanging="138"/>
      </w:pPr>
      <w:rPr>
        <w:rFonts w:hint="default"/>
        <w:lang w:val="en-US" w:eastAsia="en-US" w:bidi="ar-SA"/>
      </w:rPr>
    </w:lvl>
    <w:lvl w:ilvl="2">
      <w:start w:val="0"/>
      <w:numFmt w:val="bullet"/>
      <w:lvlText w:val="•"/>
      <w:lvlJc w:val="left"/>
      <w:pPr>
        <w:ind w:left="528" w:hanging="138"/>
      </w:pPr>
      <w:rPr>
        <w:rFonts w:hint="default"/>
        <w:lang w:val="en-US" w:eastAsia="en-US" w:bidi="ar-SA"/>
      </w:rPr>
    </w:lvl>
    <w:lvl w:ilvl="3">
      <w:start w:val="0"/>
      <w:numFmt w:val="bullet"/>
      <w:lvlText w:val="•"/>
      <w:lvlJc w:val="left"/>
      <w:pPr>
        <w:ind w:left="762" w:hanging="138"/>
      </w:pPr>
      <w:rPr>
        <w:rFonts w:hint="default"/>
        <w:lang w:val="en-US" w:eastAsia="en-US" w:bidi="ar-SA"/>
      </w:rPr>
    </w:lvl>
    <w:lvl w:ilvl="4">
      <w:start w:val="0"/>
      <w:numFmt w:val="bullet"/>
      <w:lvlText w:val="•"/>
      <w:lvlJc w:val="left"/>
      <w:pPr>
        <w:ind w:left="996" w:hanging="138"/>
      </w:pPr>
      <w:rPr>
        <w:rFonts w:hint="default"/>
        <w:lang w:val="en-US" w:eastAsia="en-US" w:bidi="ar-SA"/>
      </w:rPr>
    </w:lvl>
    <w:lvl w:ilvl="5">
      <w:start w:val="0"/>
      <w:numFmt w:val="bullet"/>
      <w:lvlText w:val="•"/>
      <w:lvlJc w:val="left"/>
      <w:pPr>
        <w:ind w:left="1230" w:hanging="138"/>
      </w:pPr>
      <w:rPr>
        <w:rFonts w:hint="default"/>
        <w:lang w:val="en-US" w:eastAsia="en-US" w:bidi="ar-SA"/>
      </w:rPr>
    </w:lvl>
    <w:lvl w:ilvl="6">
      <w:start w:val="0"/>
      <w:numFmt w:val="bullet"/>
      <w:lvlText w:val="•"/>
      <w:lvlJc w:val="left"/>
      <w:pPr>
        <w:ind w:left="1464" w:hanging="138"/>
      </w:pPr>
      <w:rPr>
        <w:rFonts w:hint="default"/>
        <w:lang w:val="en-US" w:eastAsia="en-US" w:bidi="ar-SA"/>
      </w:rPr>
    </w:lvl>
    <w:lvl w:ilvl="7">
      <w:start w:val="0"/>
      <w:numFmt w:val="bullet"/>
      <w:lvlText w:val="•"/>
      <w:lvlJc w:val="left"/>
      <w:pPr>
        <w:ind w:left="1698" w:hanging="138"/>
      </w:pPr>
      <w:rPr>
        <w:rFonts w:hint="default"/>
        <w:lang w:val="en-US" w:eastAsia="en-US" w:bidi="ar-SA"/>
      </w:rPr>
    </w:lvl>
    <w:lvl w:ilvl="8">
      <w:start w:val="0"/>
      <w:numFmt w:val="bullet"/>
      <w:lvlText w:val="•"/>
      <w:lvlJc w:val="left"/>
      <w:pPr>
        <w:ind w:left="1932" w:hanging="138"/>
      </w:pPr>
      <w:rPr>
        <w:rFonts w:hint="default"/>
        <w:lang w:val="en-US" w:eastAsia="en-US" w:bidi="ar-SA"/>
      </w:rPr>
    </w:lvl>
  </w:abstractNum>
  <w:abstractNum w:abstractNumId="31">
    <w:nsid w:val="7306B64C"/>
    <w:multiLevelType w:val="hybridMultilevel"/>
    <w:tmpl w:val="00000000"/>
    <w:lvl w:ilvl="0">
      <w:start w:val="1"/>
      <w:numFmt w:val="decimal"/>
      <w:lvlText w:val="%1"/>
      <w:lvlJc w:val="left"/>
      <w:pPr>
        <w:ind w:left="739" w:hanging="269"/>
        <w:jc w:val="left"/>
      </w:pPr>
      <w:rPr>
        <w:rFonts w:ascii="宋体" w:eastAsia="宋体" w:hAnsi="宋体" w:cs="宋体" w:hint="default"/>
        <w:w w:val="100"/>
        <w:sz w:val="18"/>
        <w:szCs w:val="18"/>
        <w:lang w:val="en-US" w:eastAsia="en-US" w:bidi="ar-SA"/>
      </w:rPr>
    </w:lvl>
    <w:lvl w:ilvl="1">
      <w:start w:val="0"/>
      <w:numFmt w:val="bullet"/>
      <w:lvlText w:val="•"/>
      <w:lvlJc w:val="left"/>
      <w:pPr>
        <w:ind w:left="1008" w:hanging="269"/>
      </w:pPr>
      <w:rPr>
        <w:rFonts w:hint="default"/>
        <w:lang w:val="en-US" w:eastAsia="en-US" w:bidi="ar-SA"/>
      </w:rPr>
    </w:lvl>
    <w:lvl w:ilvl="2">
      <w:start w:val="0"/>
      <w:numFmt w:val="bullet"/>
      <w:lvlText w:val="•"/>
      <w:lvlJc w:val="left"/>
      <w:pPr>
        <w:ind w:left="1276" w:hanging="269"/>
      </w:pPr>
      <w:rPr>
        <w:rFonts w:hint="default"/>
        <w:lang w:val="en-US" w:eastAsia="en-US" w:bidi="ar-SA"/>
      </w:rPr>
    </w:lvl>
    <w:lvl w:ilvl="3">
      <w:start w:val="0"/>
      <w:numFmt w:val="bullet"/>
      <w:lvlText w:val="•"/>
      <w:lvlJc w:val="left"/>
      <w:pPr>
        <w:ind w:left="1544" w:hanging="269"/>
      </w:pPr>
      <w:rPr>
        <w:rFonts w:hint="default"/>
        <w:lang w:val="en-US" w:eastAsia="en-US" w:bidi="ar-SA"/>
      </w:rPr>
    </w:lvl>
    <w:lvl w:ilvl="4">
      <w:start w:val="0"/>
      <w:numFmt w:val="bullet"/>
      <w:lvlText w:val="•"/>
      <w:lvlJc w:val="left"/>
      <w:pPr>
        <w:ind w:left="1813" w:hanging="269"/>
      </w:pPr>
      <w:rPr>
        <w:rFonts w:hint="default"/>
        <w:lang w:val="en-US" w:eastAsia="en-US" w:bidi="ar-SA"/>
      </w:rPr>
    </w:lvl>
    <w:lvl w:ilvl="5">
      <w:start w:val="0"/>
      <w:numFmt w:val="bullet"/>
      <w:lvlText w:val="•"/>
      <w:lvlJc w:val="left"/>
      <w:pPr>
        <w:ind w:left="2081" w:hanging="269"/>
      </w:pPr>
      <w:rPr>
        <w:rFonts w:hint="default"/>
        <w:lang w:val="en-US" w:eastAsia="en-US" w:bidi="ar-SA"/>
      </w:rPr>
    </w:lvl>
    <w:lvl w:ilvl="6">
      <w:start w:val="0"/>
      <w:numFmt w:val="bullet"/>
      <w:lvlText w:val="•"/>
      <w:lvlJc w:val="left"/>
      <w:pPr>
        <w:ind w:left="2349" w:hanging="269"/>
      </w:pPr>
      <w:rPr>
        <w:rFonts w:hint="default"/>
        <w:lang w:val="en-US" w:eastAsia="en-US" w:bidi="ar-SA"/>
      </w:rPr>
    </w:lvl>
    <w:lvl w:ilvl="7">
      <w:start w:val="0"/>
      <w:numFmt w:val="bullet"/>
      <w:lvlText w:val="•"/>
      <w:lvlJc w:val="left"/>
      <w:pPr>
        <w:ind w:left="2618" w:hanging="269"/>
      </w:pPr>
      <w:rPr>
        <w:rFonts w:hint="default"/>
        <w:lang w:val="en-US" w:eastAsia="en-US" w:bidi="ar-SA"/>
      </w:rPr>
    </w:lvl>
    <w:lvl w:ilvl="8">
      <w:start w:val="0"/>
      <w:numFmt w:val="bullet"/>
      <w:lvlText w:val="•"/>
      <w:lvlJc w:val="left"/>
      <w:pPr>
        <w:ind w:left="2886" w:hanging="269"/>
      </w:pPr>
      <w:rPr>
        <w:rFonts w:hint="default"/>
        <w:lang w:val="en-US" w:eastAsia="en-US" w:bidi="ar-SA"/>
      </w:rPr>
    </w:lvl>
  </w:abstractNum>
  <w:abstractNum w:abstractNumId="32">
    <w:nsid w:val="7659C165"/>
    <w:multiLevelType w:val="hybridMultilevel"/>
    <w:tmpl w:val="00000000"/>
    <w:lvl w:ilvl="0">
      <w:start w:val="1"/>
      <w:numFmt w:val="decimal"/>
      <w:lvlText w:val="%1"/>
      <w:lvlJc w:val="left"/>
      <w:pPr>
        <w:ind w:left="650" w:hanging="180"/>
        <w:jc w:val="left"/>
      </w:pPr>
      <w:rPr>
        <w:rFonts w:ascii="宋体" w:eastAsia="宋体" w:hAnsi="宋体" w:cs="宋体" w:hint="default"/>
        <w:w w:val="100"/>
        <w:sz w:val="18"/>
        <w:szCs w:val="18"/>
        <w:lang w:val="en-US" w:eastAsia="en-US" w:bidi="ar-SA"/>
      </w:rPr>
    </w:lvl>
    <w:lvl w:ilvl="1">
      <w:start w:val="0"/>
      <w:numFmt w:val="bullet"/>
      <w:lvlText w:val="•"/>
      <w:lvlJc w:val="left"/>
      <w:pPr>
        <w:ind w:left="936" w:hanging="180"/>
      </w:pPr>
      <w:rPr>
        <w:rFonts w:hint="default"/>
        <w:lang w:val="en-US" w:eastAsia="en-US" w:bidi="ar-SA"/>
      </w:rPr>
    </w:lvl>
    <w:lvl w:ilvl="2">
      <w:start w:val="0"/>
      <w:numFmt w:val="bullet"/>
      <w:lvlText w:val="•"/>
      <w:lvlJc w:val="left"/>
      <w:pPr>
        <w:ind w:left="1212" w:hanging="180"/>
      </w:pPr>
      <w:rPr>
        <w:rFonts w:hint="default"/>
        <w:lang w:val="en-US" w:eastAsia="en-US" w:bidi="ar-SA"/>
      </w:rPr>
    </w:lvl>
    <w:lvl w:ilvl="3">
      <w:start w:val="0"/>
      <w:numFmt w:val="bullet"/>
      <w:lvlText w:val="•"/>
      <w:lvlJc w:val="left"/>
      <w:pPr>
        <w:ind w:left="1488" w:hanging="180"/>
      </w:pPr>
      <w:rPr>
        <w:rFonts w:hint="default"/>
        <w:lang w:val="en-US" w:eastAsia="en-US" w:bidi="ar-SA"/>
      </w:rPr>
    </w:lvl>
    <w:lvl w:ilvl="4">
      <w:start w:val="0"/>
      <w:numFmt w:val="bullet"/>
      <w:lvlText w:val="•"/>
      <w:lvlJc w:val="left"/>
      <w:pPr>
        <w:ind w:left="1765" w:hanging="180"/>
      </w:pPr>
      <w:rPr>
        <w:rFonts w:hint="default"/>
        <w:lang w:val="en-US" w:eastAsia="en-US" w:bidi="ar-SA"/>
      </w:rPr>
    </w:lvl>
    <w:lvl w:ilvl="5">
      <w:start w:val="0"/>
      <w:numFmt w:val="bullet"/>
      <w:lvlText w:val="•"/>
      <w:lvlJc w:val="left"/>
      <w:pPr>
        <w:ind w:left="2041" w:hanging="180"/>
      </w:pPr>
      <w:rPr>
        <w:rFonts w:hint="default"/>
        <w:lang w:val="en-US" w:eastAsia="en-US" w:bidi="ar-SA"/>
      </w:rPr>
    </w:lvl>
    <w:lvl w:ilvl="6">
      <w:start w:val="0"/>
      <w:numFmt w:val="bullet"/>
      <w:lvlText w:val="•"/>
      <w:lvlJc w:val="left"/>
      <w:pPr>
        <w:ind w:left="2317" w:hanging="180"/>
      </w:pPr>
      <w:rPr>
        <w:rFonts w:hint="default"/>
        <w:lang w:val="en-US" w:eastAsia="en-US" w:bidi="ar-SA"/>
      </w:rPr>
    </w:lvl>
    <w:lvl w:ilvl="7">
      <w:start w:val="0"/>
      <w:numFmt w:val="bullet"/>
      <w:lvlText w:val="•"/>
      <w:lvlJc w:val="left"/>
      <w:pPr>
        <w:ind w:left="2594" w:hanging="180"/>
      </w:pPr>
      <w:rPr>
        <w:rFonts w:hint="default"/>
        <w:lang w:val="en-US" w:eastAsia="en-US" w:bidi="ar-SA"/>
      </w:rPr>
    </w:lvl>
    <w:lvl w:ilvl="8">
      <w:start w:val="0"/>
      <w:numFmt w:val="bullet"/>
      <w:lvlText w:val="•"/>
      <w:lvlJc w:val="left"/>
      <w:pPr>
        <w:ind w:left="2870" w:hanging="180"/>
      </w:pPr>
      <w:rPr>
        <w:rFonts w:hint="default"/>
        <w:lang w:val="en-US" w:eastAsia="en-US" w:bidi="ar-SA"/>
      </w:rPr>
    </w:lvl>
  </w:abstractNum>
  <w:abstractNum w:abstractNumId="33">
    <w:nsid w:val="7AF199EA"/>
    <w:multiLevelType w:val="hybridMultilevel"/>
    <w:tmpl w:val="00000000"/>
    <w:lvl w:ilvl="0">
      <w:start w:val="1"/>
      <w:numFmt w:val="decimal"/>
      <w:lvlText w:val="%1"/>
      <w:lvlJc w:val="left"/>
      <w:pPr>
        <w:ind w:left="741" w:hanging="269"/>
        <w:jc w:val="left"/>
      </w:pPr>
      <w:rPr>
        <w:rFonts w:ascii="宋体" w:eastAsia="宋体" w:hAnsi="宋体" w:cs="宋体" w:hint="default"/>
        <w:w w:val="100"/>
        <w:sz w:val="18"/>
        <w:szCs w:val="18"/>
        <w:lang w:val="en-US" w:eastAsia="en-US" w:bidi="ar-SA"/>
      </w:rPr>
    </w:lvl>
    <w:lvl w:ilvl="1">
      <w:start w:val="0"/>
      <w:numFmt w:val="bullet"/>
      <w:lvlText w:val="•"/>
      <w:lvlJc w:val="left"/>
      <w:pPr>
        <w:ind w:left="1008" w:hanging="269"/>
      </w:pPr>
      <w:rPr>
        <w:rFonts w:hint="default"/>
        <w:lang w:val="en-US" w:eastAsia="en-US" w:bidi="ar-SA"/>
      </w:rPr>
    </w:lvl>
    <w:lvl w:ilvl="2">
      <w:start w:val="0"/>
      <w:numFmt w:val="bullet"/>
      <w:lvlText w:val="•"/>
      <w:lvlJc w:val="left"/>
      <w:pPr>
        <w:ind w:left="1276" w:hanging="269"/>
      </w:pPr>
      <w:rPr>
        <w:rFonts w:hint="default"/>
        <w:lang w:val="en-US" w:eastAsia="en-US" w:bidi="ar-SA"/>
      </w:rPr>
    </w:lvl>
    <w:lvl w:ilvl="3">
      <w:start w:val="0"/>
      <w:numFmt w:val="bullet"/>
      <w:lvlText w:val="•"/>
      <w:lvlJc w:val="left"/>
      <w:pPr>
        <w:ind w:left="1544" w:hanging="269"/>
      </w:pPr>
      <w:rPr>
        <w:rFonts w:hint="default"/>
        <w:lang w:val="en-US" w:eastAsia="en-US" w:bidi="ar-SA"/>
      </w:rPr>
    </w:lvl>
    <w:lvl w:ilvl="4">
      <w:start w:val="0"/>
      <w:numFmt w:val="bullet"/>
      <w:lvlText w:val="•"/>
      <w:lvlJc w:val="left"/>
      <w:pPr>
        <w:ind w:left="1813" w:hanging="269"/>
      </w:pPr>
      <w:rPr>
        <w:rFonts w:hint="default"/>
        <w:lang w:val="en-US" w:eastAsia="en-US" w:bidi="ar-SA"/>
      </w:rPr>
    </w:lvl>
    <w:lvl w:ilvl="5">
      <w:start w:val="0"/>
      <w:numFmt w:val="bullet"/>
      <w:lvlText w:val="•"/>
      <w:lvlJc w:val="left"/>
      <w:pPr>
        <w:ind w:left="2081" w:hanging="269"/>
      </w:pPr>
      <w:rPr>
        <w:rFonts w:hint="default"/>
        <w:lang w:val="en-US" w:eastAsia="en-US" w:bidi="ar-SA"/>
      </w:rPr>
    </w:lvl>
    <w:lvl w:ilvl="6">
      <w:start w:val="0"/>
      <w:numFmt w:val="bullet"/>
      <w:lvlText w:val="•"/>
      <w:lvlJc w:val="left"/>
      <w:pPr>
        <w:ind w:left="2349" w:hanging="269"/>
      </w:pPr>
      <w:rPr>
        <w:rFonts w:hint="default"/>
        <w:lang w:val="en-US" w:eastAsia="en-US" w:bidi="ar-SA"/>
      </w:rPr>
    </w:lvl>
    <w:lvl w:ilvl="7">
      <w:start w:val="0"/>
      <w:numFmt w:val="bullet"/>
      <w:lvlText w:val="•"/>
      <w:lvlJc w:val="left"/>
      <w:pPr>
        <w:ind w:left="2618" w:hanging="269"/>
      </w:pPr>
      <w:rPr>
        <w:rFonts w:hint="default"/>
        <w:lang w:val="en-US" w:eastAsia="en-US" w:bidi="ar-SA"/>
      </w:rPr>
    </w:lvl>
    <w:lvl w:ilvl="8">
      <w:start w:val="0"/>
      <w:numFmt w:val="bullet"/>
      <w:lvlText w:val="•"/>
      <w:lvlJc w:val="left"/>
      <w:pPr>
        <w:ind w:left="2886" w:hanging="269"/>
      </w:pPr>
      <w:rPr>
        <w:rFonts w:hint="default"/>
        <w:lang w:val="en-US" w:eastAsia="en-US" w:bidi="ar-SA"/>
      </w:rPr>
    </w:lvl>
  </w:abstractNum>
  <w:num w:numId="1">
    <w:abstractNumId w:val="5"/>
  </w:num>
  <w:num w:numId="2">
    <w:abstractNumId w:val="9"/>
  </w:num>
  <w:num w:numId="3">
    <w:abstractNumId w:val="29"/>
  </w:num>
  <w:num w:numId="4">
    <w:abstractNumId w:val="11"/>
  </w:num>
  <w:num w:numId="5">
    <w:abstractNumId w:val="8"/>
  </w:num>
  <w:num w:numId="6">
    <w:abstractNumId w:val="6"/>
  </w:num>
  <w:num w:numId="7">
    <w:abstractNumId w:val="33"/>
  </w:num>
  <w:num w:numId="8">
    <w:abstractNumId w:val="21"/>
  </w:num>
  <w:num w:numId="9">
    <w:abstractNumId w:val="32"/>
  </w:num>
  <w:num w:numId="10">
    <w:abstractNumId w:val="15"/>
  </w:num>
  <w:num w:numId="11">
    <w:abstractNumId w:val="3"/>
  </w:num>
  <w:num w:numId="12">
    <w:abstractNumId w:val="31"/>
  </w:num>
  <w:num w:numId="13">
    <w:abstractNumId w:val="7"/>
  </w:num>
  <w:num w:numId="14">
    <w:abstractNumId w:val="12"/>
  </w:num>
  <w:num w:numId="15">
    <w:abstractNumId w:val="16"/>
  </w:num>
  <w:num w:numId="16">
    <w:abstractNumId w:val="10"/>
  </w:num>
  <w:num w:numId="17">
    <w:abstractNumId w:val="14"/>
  </w:num>
  <w:num w:numId="18">
    <w:abstractNumId w:val="26"/>
  </w:num>
  <w:num w:numId="19">
    <w:abstractNumId w:val="27"/>
  </w:num>
  <w:num w:numId="20">
    <w:abstractNumId w:val="2"/>
  </w:num>
  <w:num w:numId="21">
    <w:abstractNumId w:val="23"/>
  </w:num>
  <w:num w:numId="22">
    <w:abstractNumId w:val="0"/>
  </w:num>
  <w:num w:numId="23">
    <w:abstractNumId w:val="25"/>
  </w:num>
  <w:num w:numId="24">
    <w:abstractNumId w:val="4"/>
  </w:num>
  <w:num w:numId="25">
    <w:abstractNumId w:val="30"/>
  </w:num>
  <w:num w:numId="26">
    <w:abstractNumId w:val="24"/>
  </w:num>
  <w:num w:numId="27">
    <w:abstractNumId w:val="20"/>
  </w:num>
  <w:num w:numId="28">
    <w:abstractNumId w:val="1"/>
  </w:num>
  <w:num w:numId="29">
    <w:abstractNumId w:val="13"/>
  </w:num>
  <w:num w:numId="30">
    <w:abstractNumId w:val="28"/>
  </w:num>
  <w:num w:numId="31">
    <w:abstractNumId w:val="22"/>
  </w:num>
  <w:num w:numId="32">
    <w:abstractNumId w:val="19"/>
  </w:num>
  <w:num w:numId="33">
    <w:abstractNumId w:val="18"/>
  </w:num>
  <w:num w:numId="3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en-US" w:bidi="ar-SA"/>
    </w:rPr>
  </w:style>
  <w:style w:type="paragraph" w:styleId="Heading1">
    <w:name w:val="heading 1"/>
    <w:basedOn w:val="Normal"/>
    <w:uiPriority w:val="1"/>
    <w:qFormat/>
    <w:pPr>
      <w:spacing w:before="54"/>
      <w:ind w:left="303"/>
      <w:jc w:val="center"/>
      <w:outlineLvl w:val="0"/>
    </w:pPr>
    <w:rPr>
      <w:rFonts w:ascii="黑体" w:eastAsia="黑体" w:hAnsi="黑体" w:cs="黑体"/>
      <w:sz w:val="32"/>
      <w:szCs w:val="32"/>
      <w:lang w:val="en-US" w:eastAsia="en-US" w:bidi="ar-SA"/>
    </w:rPr>
  </w:style>
  <w:style w:type="paragraph" w:styleId="Heading2">
    <w:name w:val="heading 2"/>
    <w:basedOn w:val="Normal"/>
    <w:uiPriority w:val="1"/>
    <w:qFormat/>
    <w:pPr>
      <w:outlineLvl w:val="1"/>
    </w:pPr>
    <w:rPr>
      <w:rFonts w:ascii="Cambria Math" w:eastAsia="Cambria Math" w:hAnsi="Cambria Math" w:cs="Cambria Math"/>
      <w:i/>
      <w:sz w:val="24"/>
      <w:szCs w:val="24"/>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en-US" w:eastAsia="en-US" w:bidi="ar-SA"/>
    </w:rPr>
  </w:style>
  <w:style w:type="paragraph" w:styleId="Title">
    <w:name w:val="Title"/>
    <w:basedOn w:val="Normal"/>
    <w:uiPriority w:val="1"/>
    <w:qFormat/>
    <w:pPr>
      <w:spacing w:line="1052" w:lineRule="exact"/>
      <w:ind w:right="704"/>
      <w:jc w:val="right"/>
    </w:pPr>
    <w:rPr>
      <w:rFonts w:ascii="Times New Roman" w:eastAsia="Times New Roman" w:hAnsi="Times New Roman" w:cs="Times New Roman"/>
      <w:b/>
      <w:bCs/>
      <w:i/>
      <w:sz w:val="96"/>
      <w:szCs w:val="96"/>
      <w:lang w:val="en-US" w:eastAsia="en-US" w:bidi="ar-SA"/>
    </w:rPr>
  </w:style>
  <w:style w:type="paragraph" w:styleId="ListParagraph">
    <w:name w:val="List Paragraph"/>
    <w:basedOn w:val="Normal"/>
    <w:uiPriority w:val="1"/>
    <w:qFormat/>
    <w:pPr>
      <w:ind w:left="1876" w:hanging="699"/>
    </w:pPr>
    <w:rPr>
      <w:rFonts w:ascii="宋体" w:eastAsia="宋体" w:hAnsi="宋体" w:cs="宋体"/>
      <w:lang w:val="en-US" w:eastAsia="en-US" w:bidi="ar-SA"/>
    </w:rPr>
  </w:style>
  <w:style w:type="paragraph" w:customStyle="1" w:styleId="TableParagraph">
    <w:name w:val="Table Paragraph"/>
    <w:basedOn w:val="Normal"/>
    <w:uiPriority w:val="1"/>
    <w:qFormat/>
    <w:rPr>
      <w:rFonts w:ascii="宋体" w:eastAsia="宋体" w:hAnsi="宋体" w:cs="宋体"/>
      <w:lang w:val="en-U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header" Target="header9.xml" /><Relationship Id="rId15" Type="http://schemas.openxmlformats.org/officeDocument/2006/relationships/image" Target="media/image3.jpeg" /><Relationship Id="rId16" Type="http://schemas.openxmlformats.org/officeDocument/2006/relationships/header" Target="header10.xml" /><Relationship Id="rId17" Type="http://schemas.openxmlformats.org/officeDocument/2006/relationships/image" Target="media/image4.jpeg" /><Relationship Id="rId18" Type="http://schemas.openxmlformats.org/officeDocument/2006/relationships/hyperlink" Target="https://d.book118.com/607104201161006036" TargetMode="External" /><Relationship Id="rId19" Type="http://schemas.openxmlformats.org/officeDocument/2006/relationships/header" Target="header11.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header" Target="head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hoobby@live.cn</dc:creator>
  <cp:revision>0</cp:revision>
  <dcterms:created xsi:type="dcterms:W3CDTF">2024-02-04T12:24:44Z</dcterms:created>
  <dcterms:modified xsi:type="dcterms:W3CDTF">2024-02-04T12:24:44Z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2024-01-04T00:00:00Z</vt:filetime>
  </property>
  <property fmtid="{D5CDD505-2E9C-101B-9397-08002B2CF9AE}" pid="3" name="Creator">
    <vt:lpwstr>Aspose Ltd.</vt:lpwstr>
  </property>
  <property fmtid="{D5CDD505-2E9C-101B-9397-08002B2CF9AE}" pid="4" name="LastSaved">
    <vt:filetime>2024-02-04T00:00:00Z</vt:filetime>
  </property>
</Properties>
</file>