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2024年钙肥行业分析报告及未来五到十年行业发展趋势报告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5809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_Toc25809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0174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_Toc20174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_Toc18344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8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_Toc12184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42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_Toc23424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31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_Toc23311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5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_Toc1857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21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_Toc9212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1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_Toc17415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6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_Toc12960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23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_Toc9823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801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_Toc18801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81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_Toc28281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00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_Toc31000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75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_Toc16075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2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_Toc1262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76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产业未来发展前景</w:t>
        </w:r>
        <w:r>
          <w:tab/>
        </w:r>
        <w:r>
          <w:fldChar w:fldCharType="begin"/>
        </w:r>
        <w:r>
          <w:instrText xml:space="preserve"> PAGEREF _Toc21761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3" w:history="1">
        <w:r>
          <w:rPr>
            <w:rFonts w:eastAsia="微软雅黑" w:hint="eastAsia"/>
            <w:snapToGrid/>
            <w:lang w:val="en-US" w:eastAsia="zh-CN"/>
          </w:rPr>
          <w:t>(一)、我国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行业市场规模前景预测</w:t>
        </w:r>
        <w:r>
          <w:tab/>
        </w:r>
        <w:r>
          <w:fldChar w:fldCharType="begin"/>
        </w:r>
        <w:r>
          <w:instrText xml:space="preserve"> PAGEREF _Toc1223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行业进入大规模推广应用阶</w:t>
        </w:r>
        <w:r>
          <w:tab/>
        </w:r>
        <w:r>
          <w:fldChar w:fldCharType="begin"/>
        </w:r>
        <w:r>
          <w:instrText xml:space="preserve"> PAGEREF _Toc16168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70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行业的市场增长点</w:t>
        </w:r>
        <w:r>
          <w:tab/>
        </w:r>
        <w:r>
          <w:fldChar w:fldCharType="begin"/>
        </w:r>
        <w:r>
          <w:instrText xml:space="preserve"> PAGEREF _Toc30170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06" w:history="1">
        <w:r>
          <w:rPr>
            <w:rFonts w:eastAsia="微软雅黑" w:hint="eastAsia"/>
            <w:snapToGrid/>
            <w:lang w:val="en-US" w:eastAsia="zh-CN"/>
          </w:rPr>
          <w:t>(四)、细分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行业产品将具有最大优势</w:t>
        </w:r>
        <w:r>
          <w:tab/>
        </w:r>
        <w:r>
          <w:fldChar w:fldCharType="begin"/>
        </w:r>
        <w:r>
          <w:instrText xml:space="preserve"> PAGEREF _Toc6006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5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行业与互联网等行业融合发展机遇</w:t>
        </w:r>
        <w:r>
          <w:tab/>
        </w:r>
        <w:r>
          <w:fldChar w:fldCharType="begin"/>
        </w:r>
        <w:r>
          <w:instrText xml:space="preserve"> PAGEREF _Toc15352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81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行业人才培养市场广阔，国际合作前景广阔</w:t>
        </w:r>
        <w:r>
          <w:tab/>
        </w:r>
        <w:r>
          <w:fldChar w:fldCharType="begin"/>
        </w:r>
        <w:r>
          <w:instrText xml:space="preserve"> PAGEREF _Toc25381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24" w:history="1">
        <w:r>
          <w:rPr>
            <w:rFonts w:eastAsia="微软雅黑" w:hint="eastAsia"/>
            <w:snapToGrid/>
            <w:lang w:val="en-US" w:eastAsia="zh-CN"/>
          </w:rPr>
          <w:t>(七)、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行业发展需要突破创新瓶颈</w:t>
        </w:r>
        <w:r>
          <w:tab/>
        </w:r>
        <w:r>
          <w:fldChar w:fldCharType="begin"/>
        </w:r>
        <w:r>
          <w:instrText xml:space="preserve"> PAGEREF _Toc23924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80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_Toc21808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87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_Toc22387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35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_Toc31735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490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_Toc5490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810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_Toc22810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46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_Toc11846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31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_Toc7431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1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_Toc23016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46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_Toc19465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5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_Toc28357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3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4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_Toc27244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0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_Toc24908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32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_Toc26832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98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_Toc14987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4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_Toc18040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7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_Toc12677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79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_Toc19796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8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_Toc1718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0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_Toc2320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63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_Toc14263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2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_Toc1812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14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_Toc20914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48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_Toc10148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75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_Toc9375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66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_Toc4266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32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_Toc17732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99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_Toc6199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16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_Toc31816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92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_Toc27592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07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_Toc29407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897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_Toc8897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62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_Toc12762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2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_Toc7620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8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_Toc28184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4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_Toc25042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46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_Toc13746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44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_Toc21844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482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</w:instrText>
        </w:r>
        <w:r>
          <w:instrText xml:space="preserve">c27482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4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_Toc13945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80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_Toc10680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7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_Toc7574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43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_Toc14043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56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_Toc13156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6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钙肥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_Toc12269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979" w:history="1">
        <w:r>
          <w:rPr>
            <w:rFonts w:eastAsia="微软雅黑" w:hint="eastAsia"/>
            <w:snapToGrid/>
            <w:lang w:val="en-US" w:eastAsia="en-US"/>
          </w:rPr>
          <w:t>十、关于未来5-10年</w:t>
        </w:r>
        <w:r>
          <w:rPr>
            <w:rFonts w:eastAsia="微软雅黑" w:hint="eastAsia"/>
            <w:snapToGrid/>
            <w:lang w:val="en-US" w:eastAsia="en-US"/>
          </w:rPr>
          <w:t>钙肥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_Toc16979 \h </w:instrText>
        </w:r>
        <w:r>
          <w:fldChar w:fldCharType="separate"/>
        </w:r>
        <w:r>
          <w:t>32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https://d.book118.com/607151124105006026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07151124105006026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