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keepNext w:val="0"/>
        <w:keepLines w:val="0"/>
        <w:pageBreakBefore w:val="0"/>
        <w:kinsoku/>
        <w:wordWrap/>
        <w:overflowPunct/>
        <w:topLinePunct w:val="0"/>
        <w:autoSpaceDE/>
        <w:autoSpaceDN/>
        <w:bidi w:val="0"/>
        <w:adjustRightInd/>
        <w:snapToGrid/>
        <w:spacing w:before="312" w:beforeLines="100" w:beforeAutospacing="0" w:after="936" w:afterLines="300" w:afterAutospacing="0" w:line="240" w:lineRule="auto"/>
        <w:ind w:left="0" w:right="0" w:firstLine="0" w:leftChars="0" w:rightChars="0" w:firstLineChars="0"/>
        <w:jc w:val="center"/>
        <w:textAlignment w:val="auto"/>
        <w:rPr>
          <w:rFonts w:ascii="楷体_GB2312" w:eastAsia="楷体_GB2312" w:hAnsi="楷体_GB2312" w:hint="eastAsia"/>
          <w:b/>
          <w:sz w:val="84"/>
        </w:rPr>
      </w:pPr>
      <w:r>
        <w:rPr>
          <w:rFonts w:ascii="楷体_GB2312" w:eastAsia="楷体_GB2312" w:hAnsi="楷体_GB2312" w:hint="eastAsia"/>
          <w:b/>
          <w:sz w:val="84"/>
          <w:lang w:eastAsia="zh-CN"/>
        </w:rPr>
        <w:t>北海市海城苑</w:t>
      </w:r>
    </w:p>
    <w:p>
      <w:pPr>
        <w:keepNext w:val="0"/>
        <w:keepLines w:val="0"/>
        <w:pageBreakBefore w:val="0"/>
        <w:kinsoku/>
        <w:wordWrap/>
        <w:overflowPunct/>
        <w:topLinePunct w:val="0"/>
        <w:autoSpaceDE/>
        <w:autoSpaceDN/>
        <w:bidi w:val="0"/>
        <w:adjustRightInd/>
        <w:snapToGrid/>
        <w:spacing w:before="0" w:beforeLines="0" w:after="256" w:afterLines="82" w:afterAutospacing="0" w:line="240" w:lineRule="auto"/>
        <w:ind w:left="0" w:right="0" w:firstLine="0" w:leftChars="0" w:rightChars="0" w:firstLineChars="0"/>
        <w:jc w:val="center"/>
        <w:textAlignment w:val="auto"/>
        <w:rPr>
          <w:rFonts w:ascii="楷体_GB2312" w:eastAsia="楷体_GB2312" w:hAnsi="楷体_GB2312" w:hint="eastAsia"/>
          <w:b/>
          <w:sz w:val="72"/>
        </w:rPr>
      </w:pPr>
      <w:r>
        <w:rPr>
          <w:rFonts w:ascii="楷体_GB2312" w:eastAsia="楷体_GB2312" w:hAnsi="楷体_GB2312" w:hint="eastAsia"/>
          <w:b/>
          <w:sz w:val="72"/>
        </w:rPr>
        <w:t>物</w:t>
      </w:r>
    </w:p>
    <w:p>
      <w:pPr>
        <w:keepNext w:val="0"/>
        <w:keepLines w:val="0"/>
        <w:pageBreakBefore w:val="0"/>
        <w:kinsoku/>
        <w:wordWrap/>
        <w:overflowPunct/>
        <w:topLinePunct w:val="0"/>
        <w:autoSpaceDE/>
        <w:autoSpaceDN/>
        <w:bidi w:val="0"/>
        <w:adjustRightInd/>
        <w:snapToGrid/>
        <w:spacing w:before="0" w:beforeLines="0" w:after="312" w:afterLines="100" w:afterAutospacing="0" w:line="240" w:lineRule="auto"/>
        <w:ind w:left="0" w:right="0" w:firstLine="0" w:leftChars="0" w:rightChars="0" w:firstLineChars="0"/>
        <w:jc w:val="center"/>
        <w:textAlignment w:val="auto"/>
        <w:rPr>
          <w:rFonts w:ascii="楷体_GB2312" w:eastAsia="楷体_GB2312" w:hAnsi="楷体_GB2312" w:hint="eastAsia"/>
          <w:b/>
          <w:sz w:val="72"/>
        </w:rPr>
      </w:pPr>
      <w:r>
        <w:rPr>
          <w:rFonts w:ascii="楷体_GB2312" w:eastAsia="楷体_GB2312" w:hAnsi="楷体_GB2312" w:hint="eastAsia"/>
          <w:b/>
          <w:sz w:val="72"/>
        </w:rPr>
        <w:t>业</w:t>
      </w:r>
    </w:p>
    <w:p>
      <w:pPr>
        <w:keepNext w:val="0"/>
        <w:keepLines w:val="0"/>
        <w:pageBreakBefore w:val="0"/>
        <w:kinsoku/>
        <w:wordWrap/>
        <w:overflowPunct/>
        <w:topLinePunct w:val="0"/>
        <w:autoSpaceDE/>
        <w:autoSpaceDN/>
        <w:bidi w:val="0"/>
        <w:adjustRightInd/>
        <w:snapToGrid/>
        <w:spacing w:before="0" w:beforeLines="0" w:after="240" w:afterLines="77" w:afterAutospacing="0" w:line="240" w:lineRule="auto"/>
        <w:ind w:left="0" w:right="0" w:firstLine="0" w:leftChars="0" w:rightChars="0" w:firstLineChars="0"/>
        <w:jc w:val="center"/>
        <w:textAlignment w:val="auto"/>
        <w:rPr>
          <w:rFonts w:ascii="楷体_GB2312" w:eastAsia="楷体_GB2312" w:hAnsi="楷体_GB2312" w:hint="eastAsia"/>
          <w:b/>
          <w:sz w:val="72"/>
        </w:rPr>
      </w:pPr>
      <w:r>
        <w:rPr>
          <w:rFonts w:ascii="楷体_GB2312" w:eastAsia="楷体_GB2312" w:hAnsi="楷体_GB2312" w:hint="eastAsia"/>
          <w:b/>
          <w:sz w:val="72"/>
        </w:rPr>
        <w:t>服</w:t>
      </w:r>
    </w:p>
    <w:p>
      <w:pPr>
        <w:keepNext w:val="0"/>
        <w:keepLines w:val="0"/>
        <w:pageBreakBefore w:val="0"/>
        <w:kinsoku/>
        <w:wordWrap/>
        <w:overflowPunct/>
        <w:topLinePunct w:val="0"/>
        <w:autoSpaceDE/>
        <w:autoSpaceDN/>
        <w:bidi w:val="0"/>
        <w:adjustRightInd/>
        <w:snapToGrid/>
        <w:spacing w:before="0" w:beforeLines="0" w:after="312" w:afterLines="100" w:afterAutospacing="0" w:line="240" w:lineRule="auto"/>
        <w:ind w:left="0" w:right="0" w:firstLine="0" w:leftChars="0" w:rightChars="0" w:firstLineChars="0"/>
        <w:jc w:val="center"/>
        <w:textAlignment w:val="auto"/>
        <w:rPr>
          <w:rFonts w:ascii="楷体_GB2312" w:eastAsia="楷体_GB2312" w:hAnsi="楷体_GB2312" w:hint="eastAsia"/>
          <w:b/>
          <w:sz w:val="72"/>
        </w:rPr>
      </w:pPr>
      <w:r>
        <w:rPr>
          <w:rFonts w:ascii="楷体_GB2312" w:eastAsia="楷体_GB2312" w:hAnsi="楷体_GB2312" w:hint="eastAsia"/>
          <w:b/>
          <w:sz w:val="72"/>
        </w:rPr>
        <w:t>务</w:t>
      </w:r>
    </w:p>
    <w:p>
      <w:pPr>
        <w:keepNext w:val="0"/>
        <w:keepLines w:val="0"/>
        <w:pageBreakBefore w:val="0"/>
        <w:kinsoku/>
        <w:wordWrap/>
        <w:overflowPunct/>
        <w:topLinePunct w:val="0"/>
        <w:autoSpaceDE/>
        <w:autoSpaceDN/>
        <w:bidi w:val="0"/>
        <w:adjustRightInd/>
        <w:snapToGrid/>
        <w:spacing w:before="0" w:beforeLines="0" w:after="312" w:afterLines="100" w:afterAutospacing="0" w:line="240" w:lineRule="auto"/>
        <w:ind w:left="0" w:right="0" w:firstLine="0" w:leftChars="0" w:rightChars="0" w:firstLineChars="0"/>
        <w:jc w:val="center"/>
        <w:textAlignment w:val="auto"/>
        <w:rPr>
          <w:rFonts w:ascii="楷体_GB2312" w:eastAsia="楷体_GB2312" w:hAnsi="楷体_GB2312" w:hint="eastAsia"/>
          <w:b/>
          <w:sz w:val="72"/>
        </w:rPr>
      </w:pPr>
      <w:r>
        <w:rPr>
          <w:rFonts w:ascii="楷体_GB2312" w:eastAsia="楷体_GB2312" w:hAnsi="楷体_GB2312" w:hint="eastAsia"/>
          <w:b/>
          <w:sz w:val="72"/>
        </w:rPr>
        <w:t>方</w:t>
      </w:r>
    </w:p>
    <w:p>
      <w:pPr>
        <w:keepNext w:val="0"/>
        <w:keepLines w:val="0"/>
        <w:pageBreakBefore w:val="0"/>
        <w:kinsoku/>
        <w:wordWrap/>
        <w:overflowPunct/>
        <w:topLinePunct w:val="0"/>
        <w:autoSpaceDE/>
        <w:autoSpaceDN/>
        <w:bidi w:val="0"/>
        <w:adjustRightInd/>
        <w:snapToGrid/>
        <w:spacing w:before="0" w:beforeLines="0" w:after="0" w:afterLines="0" w:line="240" w:lineRule="auto"/>
        <w:ind w:left="0" w:right="0" w:firstLine="0" w:leftChars="0" w:rightChars="0" w:firstLineChars="0"/>
        <w:jc w:val="center"/>
        <w:textAlignment w:val="auto"/>
        <w:rPr>
          <w:rFonts w:ascii="楷体_GB2312" w:eastAsia="楷体_GB2312" w:hAnsi="楷体_GB2312" w:hint="eastAsia"/>
          <w:b/>
          <w:sz w:val="72"/>
        </w:rPr>
      </w:pPr>
      <w:r>
        <w:rPr>
          <w:rFonts w:ascii="楷体_GB2312" w:eastAsia="楷体_GB2312" w:hAnsi="楷体_GB2312" w:hint="eastAsia"/>
          <w:b/>
          <w:sz w:val="72"/>
        </w:rPr>
        <w:t>案</w:t>
      </w:r>
    </w:p>
    <w:p>
      <w:pPr>
        <w:keepNext w:val="0"/>
        <w:keepLines w:val="0"/>
        <w:pageBreakBefore w:val="0"/>
        <w:kinsoku/>
        <w:wordWrap/>
        <w:overflowPunct/>
        <w:topLinePunct w:val="0"/>
        <w:autoSpaceDE/>
        <w:autoSpaceDN/>
        <w:bidi w:val="0"/>
        <w:adjustRightInd/>
        <w:snapToGrid/>
        <w:spacing w:before="0" w:beforeLines="0" w:after="0" w:afterLines="0" w:line="560" w:lineRule="exact"/>
        <w:ind w:left="-359" w:right="2" w:firstLine="300" w:leftChars="-171" w:rightChars="1" w:firstLineChars="100"/>
        <w:textAlignment w:val="auto"/>
        <w:rPr>
          <w:rFonts w:ascii="仿宋_GB2312" w:eastAsia="仿宋_GB2312" w:hAnsi="仿宋_GB2312" w:hint="eastAsia"/>
          <w:sz w:val="30"/>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ind w:left="0" w:right="0" w:firstLine="0" w:leftChars="0" w:rightChars="0" w:firstLineChars="0"/>
        <w:jc w:val="center"/>
        <w:textAlignment w:val="auto"/>
        <w:rPr>
          <w:rFonts w:ascii="楷体_GB2312" w:eastAsia="楷体_GB2312" w:hAnsi="楷体_GB2312" w:hint="eastAsia"/>
          <w:b/>
          <w:sz w:val="44"/>
        </w:rPr>
      </w:pPr>
    </w:p>
    <w:p>
      <w:pPr>
        <w:keepNext w:val="0"/>
        <w:keepLines w:val="0"/>
        <w:pageBreakBefore w:val="0"/>
        <w:kinsoku/>
        <w:wordWrap/>
        <w:overflowPunct/>
        <w:topLinePunct w:val="0"/>
        <w:autoSpaceDE/>
        <w:autoSpaceDN/>
        <w:bidi w:val="0"/>
        <w:adjustRightInd/>
        <w:snapToGrid/>
        <w:spacing w:before="0" w:beforeLines="0" w:after="0" w:afterLines="0" w:line="560" w:lineRule="exact"/>
        <w:ind w:left="0" w:right="0" w:firstLine="0" w:leftChars="0" w:rightChars="0" w:firstLineChars="0"/>
        <w:jc w:val="center"/>
        <w:textAlignment w:val="auto"/>
        <w:rPr>
          <w:rFonts w:ascii="楷体_GB2312" w:eastAsia="楷体_GB2312" w:hAnsi="楷体_GB2312" w:hint="eastAsia"/>
          <w:b/>
          <w:sz w:val="44"/>
        </w:rPr>
      </w:pPr>
    </w:p>
    <w:p>
      <w:pPr>
        <w:keepNext w:val="0"/>
        <w:keepLines w:val="0"/>
        <w:pageBreakBefore w:val="0"/>
        <w:kinsoku/>
        <w:wordWrap/>
        <w:overflowPunct/>
        <w:topLinePunct w:val="0"/>
        <w:autoSpaceDE/>
        <w:autoSpaceDN/>
        <w:bidi w:val="0"/>
        <w:adjustRightInd/>
        <w:snapToGrid/>
        <w:spacing w:before="0" w:beforeLines="0" w:after="0" w:afterLines="0" w:line="560" w:lineRule="exact"/>
        <w:ind w:left="0" w:right="0" w:firstLine="0" w:leftChars="0" w:rightChars="0" w:firstLineChars="0"/>
        <w:jc w:val="center"/>
        <w:textAlignment w:val="auto"/>
        <w:rPr>
          <w:rFonts w:ascii="楷体_GB2312" w:eastAsia="楷体_GB2312" w:hAnsi="楷体_GB2312" w:hint="eastAsia"/>
          <w:b/>
          <w:sz w:val="44"/>
        </w:rPr>
      </w:pPr>
    </w:p>
    <w:p>
      <w:pPr>
        <w:keepNext w:val="0"/>
        <w:keepLines w:val="0"/>
        <w:pageBreakBefore w:val="0"/>
        <w:kinsoku/>
        <w:wordWrap/>
        <w:overflowPunct/>
        <w:topLinePunct w:val="0"/>
        <w:autoSpaceDE/>
        <w:autoSpaceDN/>
        <w:bidi w:val="0"/>
        <w:adjustRightInd/>
        <w:snapToGrid/>
        <w:spacing w:before="0" w:beforeLines="0" w:after="0" w:afterLines="0" w:line="560" w:lineRule="exact"/>
        <w:ind w:left="0" w:right="0" w:firstLine="0" w:leftChars="0" w:rightChars="0" w:firstLineChars="0"/>
        <w:jc w:val="center"/>
        <w:textAlignment w:val="auto"/>
        <w:rPr>
          <w:rFonts w:ascii="楷体_GB2312" w:eastAsia="楷体_GB2312" w:hAnsi="楷体_GB2312" w:hint="eastAsia"/>
          <w:b/>
          <w:sz w:val="44"/>
        </w:rPr>
      </w:pPr>
      <w:r>
        <w:rPr>
          <w:rFonts w:ascii="楷体_GB2312" w:eastAsia="楷体_GB2312" w:hAnsi="楷体_GB2312" w:hint="eastAsia"/>
          <w:b/>
          <w:sz w:val="44"/>
          <w:lang w:eastAsia="zh-CN"/>
        </w:rPr>
        <w:t>北海市乐安物业服务有限责任公司</w:t>
      </w:r>
    </w:p>
    <w:p>
      <w:pPr>
        <w:keepNext w:val="0"/>
        <w:keepLines w:val="0"/>
        <w:pageBreakBefore w:val="0"/>
        <w:kinsoku/>
        <w:wordWrap/>
        <w:overflowPunct/>
        <w:topLinePunct w:val="0"/>
        <w:autoSpaceDE/>
        <w:autoSpaceDN/>
        <w:bidi w:val="0"/>
        <w:adjustRightInd/>
        <w:snapToGrid/>
        <w:spacing w:before="0" w:beforeLines="0" w:after="0" w:afterLines="0" w:line="560" w:lineRule="exact"/>
        <w:jc w:val="center"/>
        <w:textAlignment w:val="auto"/>
        <w:rPr>
          <w:rFonts w:ascii="楷体_GB2312" w:eastAsia="楷体_GB2312" w:hAnsi="楷体_GB2312" w:hint="eastAsia"/>
          <w:b/>
          <w:sz w:val="36"/>
        </w:rPr>
      </w:pPr>
      <w:r>
        <w:rPr>
          <w:rFonts w:ascii="楷体_GB2312" w:eastAsia="楷体_GB2312" w:hAnsi="楷体_GB2312" w:hint="eastAsia"/>
          <w:b/>
          <w:sz w:val="36"/>
          <w:lang w:val="en-US" w:eastAsia="zh-CN"/>
        </w:rPr>
        <w:t>2011年10月20日</w:t>
      </w: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sectPr>
          <w:pgSz w:w="11906" w:h="16838"/>
          <w:pgMar w:top="1247" w:right="1134" w:bottom="1247" w:left="1134" w:header="851" w:footer="992" w:gutter="0"/>
          <w:pgNumType w:fmt="decimal" w:start="0"/>
          <w:cols w:space="708"/>
          <w:titlePg/>
          <w:docGrid w:type="lines" w:linePitch="312"/>
        </w:sectPr>
      </w:pPr>
    </w:p>
    <w:p>
      <w:pPr>
        <w:keepNext w:val="0"/>
        <w:keepLines w:val="0"/>
        <w:pageBreakBefore w:val="0"/>
        <w:kinsoku/>
        <w:wordWrap/>
        <w:overflowPunct/>
        <w:topLinePunct w:val="0"/>
        <w:autoSpaceDE/>
        <w:autoSpaceDN/>
        <w:bidi w:val="0"/>
        <w:adjustRightInd/>
        <w:snapToGrid/>
        <w:spacing w:before="0" w:beforeLines="0" w:after="312" w:afterLines="100" w:afterAutospacing="0" w:line="240" w:lineRule="auto"/>
        <w:ind w:left="0" w:right="0" w:firstLine="0" w:leftChars="0" w:rightChars="0" w:firstLineChars="0"/>
        <w:jc w:val="center"/>
        <w:textAlignment w:val="auto"/>
        <w:rPr>
          <w:rFonts w:ascii="楷体_GB2312" w:eastAsia="楷体_GB2312" w:hAnsi="楷体_GB2312" w:hint="eastAsia"/>
          <w:b/>
          <w:sz w:val="72"/>
        </w:rPr>
      </w:pPr>
      <w:r>
        <w:rPr>
          <w:rFonts w:ascii="楷体_GB2312" w:eastAsia="楷体_GB2312" w:hAnsi="楷体_GB2312" w:hint="eastAsia"/>
          <w:b/>
          <w:sz w:val="72"/>
          <w:lang w:eastAsia="zh-CN"/>
        </w:rPr>
        <w:t>目</w:t>
      </w:r>
      <w:r>
        <w:rPr>
          <w:rFonts w:ascii="楷体_GB2312" w:eastAsia="楷体_GB2312" w:hAnsi="楷体_GB2312" w:hint="eastAsia"/>
          <w:b/>
          <w:sz w:val="72"/>
          <w:lang w:val="en-US" w:eastAsia="zh-CN"/>
        </w:rPr>
        <w:t xml:space="preserve">  </w:t>
      </w:r>
      <w:r>
        <w:rPr>
          <w:rFonts w:ascii="楷体_GB2312" w:eastAsia="楷体_GB2312" w:hAnsi="楷体_GB2312" w:hint="eastAsia"/>
          <w:b/>
          <w:sz w:val="7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sz w:val="36"/>
        </w:rPr>
      </w:pPr>
      <w:r>
        <w:rPr>
          <w:rFonts w:ascii="楷体_GB2312" w:eastAsia="楷体_GB2312" w:hAnsi="楷体_GB2312" w:hint="eastAsia"/>
          <w:b/>
          <w:sz w:val="36"/>
          <w:lang w:eastAsia="zh-CN"/>
        </w:rPr>
        <w:t>公司基本概况</w:t>
      </w:r>
      <w:r>
        <w:rPr>
          <w:rFonts w:ascii="楷体_GB2312" w:eastAsia="楷体_GB2312" w:hAnsi="楷体_GB2312" w:hint="eastAsia"/>
          <w:b/>
          <w:sz w:val="36"/>
          <w:lang w:val="en-US" w:eastAsia="zh-CN"/>
        </w:rPr>
        <w:t>----------------------------2</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sz w:val="36"/>
        </w:rPr>
      </w:pPr>
      <w:r>
        <w:rPr>
          <w:rFonts w:ascii="楷体_GB2312" w:eastAsia="楷体_GB2312" w:hAnsi="楷体_GB2312" w:hint="eastAsia"/>
          <w:b/>
          <w:sz w:val="36"/>
          <w:lang w:eastAsia="zh-CN"/>
        </w:rPr>
        <w:t>物业基本概况</w:t>
      </w:r>
      <w:r>
        <w:rPr>
          <w:rFonts w:ascii="楷体_GB2312" w:eastAsia="楷体_GB2312" w:hAnsi="楷体_GB2312" w:hint="eastAsia"/>
          <w:b/>
          <w:sz w:val="36"/>
          <w:lang w:val="en-US" w:eastAsia="zh-CN"/>
        </w:rPr>
        <w:t>----------------------------2</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sz w:val="36"/>
        </w:rPr>
      </w:pPr>
      <w:r>
        <w:rPr>
          <w:rFonts w:ascii="楷体_GB2312" w:eastAsia="楷体_GB2312" w:hAnsi="楷体_GB2312" w:hint="eastAsia"/>
          <w:b/>
          <w:sz w:val="36"/>
          <w:lang w:eastAsia="zh-CN"/>
        </w:rPr>
        <w:t>海城苑物业服务定位</w:t>
      </w:r>
      <w:r>
        <w:rPr>
          <w:rFonts w:ascii="楷体_GB2312" w:eastAsia="楷体_GB2312" w:hAnsi="楷体_GB2312" w:hint="eastAsia"/>
          <w:b/>
          <w:sz w:val="36"/>
          <w:lang w:val="en-US" w:eastAsia="zh-CN"/>
        </w:rPr>
        <w:t>----------------------3</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sz w:val="36"/>
        </w:rPr>
      </w:pPr>
      <w:r>
        <w:rPr>
          <w:rFonts w:ascii="楷体_GB2312" w:eastAsia="楷体_GB2312" w:hAnsi="楷体_GB2312" w:hint="eastAsia"/>
          <w:b/>
          <w:sz w:val="36"/>
          <w:lang w:eastAsia="zh-CN"/>
        </w:rPr>
        <w:t>海城苑物业服务措施</w:t>
      </w:r>
      <w:r>
        <w:rPr>
          <w:rFonts w:ascii="楷体_GB2312" w:eastAsia="楷体_GB2312" w:hAnsi="楷体_GB2312" w:hint="eastAsia"/>
          <w:b/>
          <w:sz w:val="36"/>
          <w:lang w:val="en-US" w:eastAsia="zh-CN"/>
        </w:rPr>
        <w:t>----------------------3</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sz w:val="36"/>
        </w:rPr>
      </w:pPr>
      <w:r>
        <w:rPr>
          <w:rFonts w:ascii="楷体_GB2312" w:eastAsia="楷体_GB2312" w:hAnsi="楷体_GB2312" w:hint="eastAsia"/>
          <w:b/>
          <w:sz w:val="36"/>
          <w:lang w:eastAsia="zh-CN"/>
        </w:rPr>
        <w:t>物业服务收费</w:t>
      </w:r>
      <w:r>
        <w:rPr>
          <w:rFonts w:ascii="楷体_GB2312" w:eastAsia="楷体_GB2312" w:hAnsi="楷体_GB2312" w:hint="eastAsia"/>
          <w:b/>
          <w:sz w:val="36"/>
          <w:lang w:val="en-US" w:eastAsia="zh-CN"/>
        </w:rPr>
        <w:t>----------------------------4</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sz w:val="36"/>
          <w:szCs w:val="32"/>
        </w:rPr>
      </w:pPr>
      <w:r>
        <w:rPr>
          <w:rFonts w:ascii="楷体_GB2312" w:eastAsia="楷体_GB2312" w:hAnsi="楷体_GB2312" w:hint="eastAsia"/>
          <w:b/>
          <w:sz w:val="36"/>
          <w:szCs w:val="32"/>
        </w:rPr>
        <w:t>物业服务费支出预算</w:t>
      </w:r>
      <w:r>
        <w:rPr>
          <w:rFonts w:ascii="楷体_GB2312" w:eastAsia="楷体_GB2312" w:hAnsi="楷体_GB2312" w:hint="eastAsia"/>
          <w:b/>
          <w:sz w:val="36"/>
          <w:szCs w:val="32"/>
          <w:lang w:val="en-US" w:eastAsia="zh-CN"/>
        </w:rPr>
        <w:t>----------------------5</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sz w:val="36"/>
        </w:rPr>
      </w:pPr>
      <w:r>
        <w:rPr>
          <w:rFonts w:ascii="楷体_GB2312" w:eastAsia="楷体_GB2312" w:hAnsi="楷体_GB2312" w:hint="eastAsia"/>
          <w:b/>
          <w:sz w:val="36"/>
          <w:szCs w:val="32"/>
        </w:rPr>
        <w:t>物业服务费收支状况说明</w:t>
      </w:r>
      <w:r>
        <w:rPr>
          <w:rFonts w:ascii="楷体_GB2312" w:eastAsia="楷体_GB2312" w:hAnsi="楷体_GB2312" w:hint="eastAsia"/>
          <w:b/>
          <w:sz w:val="36"/>
          <w:szCs w:val="32"/>
          <w:lang w:val="en-US" w:eastAsia="zh-CN"/>
        </w:rPr>
        <w:t>------------------6</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sz w:val="36"/>
        </w:rPr>
      </w:pPr>
      <w:r>
        <w:rPr>
          <w:rFonts w:ascii="楷体_GB2312" w:eastAsia="楷体_GB2312" w:hAnsi="楷体_GB2312" w:hint="eastAsia"/>
          <w:b/>
          <w:bCs/>
          <w:sz w:val="36"/>
          <w:lang w:val="en-US" w:eastAsia="zh-CN"/>
        </w:rPr>
        <w:t>海城苑</w:t>
      </w:r>
      <w:r>
        <w:rPr>
          <w:rFonts w:ascii="楷体_GB2312" w:eastAsia="楷体_GB2312" w:hAnsi="楷体_GB2312" w:hint="eastAsia"/>
          <w:b/>
          <w:sz w:val="36"/>
          <w:szCs w:val="32"/>
        </w:rPr>
        <w:t>物业管理服务要求和质量</w:t>
      </w:r>
      <w:r>
        <w:rPr>
          <w:rFonts w:ascii="楷体_GB2312" w:eastAsia="楷体_GB2312" w:hAnsi="楷体_GB2312" w:hint="eastAsia"/>
          <w:b/>
          <w:sz w:val="36"/>
          <w:szCs w:val="32"/>
          <w:lang w:val="en-US" w:eastAsia="zh-CN"/>
        </w:rPr>
        <w:t>------------6</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bCs w:val="0"/>
          <w:sz w:val="36"/>
          <w:szCs w:val="32"/>
        </w:rPr>
      </w:pPr>
      <w:r>
        <w:rPr>
          <w:rFonts w:ascii="楷体_GB2312" w:eastAsia="楷体_GB2312" w:hAnsi="楷体_GB2312" w:hint="eastAsia"/>
          <w:b/>
          <w:bCs/>
          <w:sz w:val="36"/>
          <w:lang w:val="en-US" w:eastAsia="zh-CN"/>
        </w:rPr>
        <w:t>海城苑</w:t>
      </w:r>
      <w:r>
        <w:rPr>
          <w:rFonts w:ascii="楷体_GB2312" w:eastAsia="楷体_GB2312" w:hAnsi="楷体_GB2312" w:hint="eastAsia"/>
          <w:b/>
          <w:bCs w:val="0"/>
          <w:sz w:val="36"/>
          <w:szCs w:val="32"/>
        </w:rPr>
        <w:t>物业服务制度</w:t>
      </w:r>
      <w:r>
        <w:rPr>
          <w:rFonts w:ascii="楷体_GB2312" w:eastAsia="楷体_GB2312" w:hAnsi="楷体_GB2312" w:hint="eastAsia"/>
          <w:b/>
          <w:bCs w:val="0"/>
          <w:sz w:val="36"/>
          <w:szCs w:val="32"/>
          <w:lang w:val="en-US" w:eastAsia="zh-CN"/>
        </w:rPr>
        <w:t>---------------------14</w:t>
      </w:r>
    </w:p>
    <w:p>
      <w:pPr>
        <w:keepNext w:val="0"/>
        <w:keepLines w:val="0"/>
        <w:pageBreakBefore w:val="0"/>
        <w:widowControl w:val="0"/>
        <w:numPr>
          <w:ilvl w:val="0"/>
          <w:numId w:val="1"/>
        </w:numPr>
        <w:kinsoku/>
        <w:wordWrap/>
        <w:overflowPunct/>
        <w:topLinePunct w:val="0"/>
        <w:autoSpaceDE/>
        <w:autoSpaceDN/>
        <w:bidi w:val="0"/>
        <w:adjustRightInd/>
        <w:snapToGrid/>
        <w:spacing w:before="0" w:beforeLines="0" w:after="0" w:afterLines="0" w:line="700" w:lineRule="exact"/>
        <w:ind w:left="0" w:right="0" w:firstLine="0" w:leftChars="0" w:rightChars="0" w:firstLineChars="0"/>
        <w:jc w:val="both"/>
        <w:textAlignment w:val="auto"/>
        <w:outlineLvl w:val="9"/>
        <w:rPr>
          <w:rFonts w:ascii="楷体_GB2312" w:eastAsia="楷体_GB2312" w:hAnsi="楷体_GB2312" w:hint="eastAsia"/>
          <w:b/>
          <w:bCs w:val="0"/>
          <w:sz w:val="36"/>
          <w:szCs w:val="32"/>
        </w:rPr>
      </w:pPr>
      <w:r>
        <w:rPr>
          <w:rFonts w:ascii="楷体_GB2312" w:eastAsia="楷体_GB2312" w:hAnsi="楷体_GB2312" w:hint="eastAsia"/>
          <w:b/>
          <w:sz w:val="36"/>
          <w:szCs w:val="32"/>
        </w:rPr>
        <w:t>公共修理基金续筹、管理、运用与监督</w:t>
      </w:r>
      <w:r>
        <w:rPr>
          <w:rFonts w:ascii="楷体_GB2312" w:eastAsia="楷体_GB2312" w:hAnsi="楷体_GB2312" w:hint="eastAsia"/>
          <w:b/>
          <w:sz w:val="36"/>
          <w:szCs w:val="32"/>
          <w:lang w:val="en-US" w:eastAsia="zh-CN"/>
        </w:rPr>
        <w:t>-----22</w:t>
      </w:r>
    </w:p>
    <w:p>
      <w:pPr>
        <w:keepNext w:val="0"/>
        <w:keepLines w:val="0"/>
        <w:pageBreakBefore w:val="0"/>
        <w:numPr>
          <w:ilvl w:val="0"/>
          <w:numId w:val="0"/>
        </w:numPr>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sectPr>
          <w:type w:val="nextPage"/>
          <w:pgSz w:w="11906" w:h="16838"/>
          <w:pgMar w:top="1247" w:right="1134" w:bottom="1247" w:left="1134" w:header="851" w:footer="992" w:gutter="0"/>
          <w:pgNumType w:fmt="decimal" w:start="1"/>
          <w:cols w:space="708"/>
          <w:titlePg w:val="0"/>
          <w:docGrid w:type="lines" w:linePitch="312"/>
        </w:sect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r>
        <w:rPr>
          <w:rFonts w:ascii="楷体_GB2312" w:eastAsia="楷体_GB2312" w:hAnsi="楷体_GB2312" w:hint="eastAsia"/>
          <w:b/>
          <w:sz w:val="36"/>
        </w:rPr>
        <w:t>一、公司基本概况</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szCs w:val="28"/>
        </w:rPr>
        <w:t>北</w:t>
      </w:r>
      <w:r>
        <w:rPr>
          <w:rFonts w:ascii="仿宋_GB2312" w:eastAsia="仿宋_GB2312" w:hAnsi="仿宋_GB2312" w:hint="eastAsia"/>
          <w:sz w:val="30"/>
        </w:rPr>
        <w:t>海市乐安物业服务有限责任公司成立于2008年9月，注册资金50万元，是一个具备三级管理资质，独立法人资格的专业从事物业管理服务企业，公司现有</w:t>
      </w:r>
      <w:r>
        <w:rPr>
          <w:rFonts w:ascii="仿宋_GB2312" w:eastAsia="仿宋_GB2312" w:hAnsi="仿宋_GB2312" w:hint="eastAsia"/>
          <w:sz w:val="30"/>
          <w:lang w:eastAsia="zh-CN"/>
        </w:rPr>
        <w:t>员工</w:t>
      </w:r>
      <w:r>
        <w:rPr>
          <w:rFonts w:ascii="仿宋_GB2312" w:eastAsia="仿宋_GB2312" w:hAnsi="仿宋_GB2312" w:hint="eastAsia"/>
          <w:sz w:val="30"/>
          <w:lang w:val="en-US" w:eastAsia="zh-CN"/>
        </w:rPr>
        <w:t>50</w:t>
      </w:r>
      <w:r>
        <w:rPr>
          <w:rFonts w:ascii="仿宋_GB2312" w:eastAsia="仿宋_GB2312" w:hAnsi="仿宋_GB2312" w:hint="eastAsia"/>
          <w:sz w:val="30"/>
        </w:rPr>
        <w:t>人其中具有中级职称的技术人员</w:t>
      </w:r>
      <w:r>
        <w:rPr>
          <w:rFonts w:ascii="仿宋_GB2312" w:eastAsia="仿宋_GB2312" w:hAnsi="仿宋_GB2312" w:hint="eastAsia"/>
          <w:sz w:val="30"/>
          <w:lang w:val="en-US" w:eastAsia="zh-CN"/>
        </w:rPr>
        <w:t>6</w:t>
      </w:r>
      <w:r>
        <w:rPr>
          <w:rFonts w:ascii="仿宋_GB2312" w:eastAsia="仿宋_GB2312" w:hAnsi="仿宋_GB2312" w:hint="eastAsia"/>
          <w:sz w:val="30"/>
        </w:rPr>
        <w:t>人，具有全国物业经理上岗证者及专业技术人员</w:t>
      </w:r>
      <w:r>
        <w:rPr>
          <w:rFonts w:ascii="仿宋_GB2312" w:eastAsia="仿宋_GB2312" w:hAnsi="仿宋_GB2312" w:hint="eastAsia"/>
          <w:sz w:val="30"/>
          <w:lang w:val="en-US" w:eastAsia="zh-CN"/>
        </w:rPr>
        <w:t>18</w:t>
      </w:r>
      <w:r>
        <w:rPr>
          <w:rFonts w:ascii="仿宋_GB2312" w:eastAsia="仿宋_GB2312" w:hAnsi="仿宋_GB2312" w:hint="eastAsia"/>
          <w:sz w:val="30"/>
        </w:rPr>
        <w:t>人，公司法人代表及各部门经理有多年的物业服务阅历。公司现设人事管理部、物业管理部、专业服务修理部、绿化保洁部，公司成立以来得到了初具规模的发展。</w:t>
      </w:r>
    </w:p>
    <w:p>
      <w:pPr>
        <w:keepNext w:val="0"/>
        <w:keepLines w:val="0"/>
        <w:pageBreakBefore w:val="0"/>
        <w:kinsoku/>
        <w:wordWrap/>
        <w:overflowPunct/>
        <w:topLinePunct w:val="0"/>
        <w:autoSpaceDE/>
        <w:autoSpaceDN/>
        <w:bidi w:val="0"/>
        <w:adjustRightInd/>
        <w:snapToGrid/>
        <w:spacing w:before="0" w:beforeLines="0" w:after="0" w:afterLines="0" w:line="240" w:lineRule="auto"/>
        <w:ind w:left="0" w:firstLine="639" w:leftChars="0" w:firstLineChars="213"/>
        <w:jc w:val="left"/>
        <w:textAlignment w:val="auto"/>
        <w:rPr>
          <w:rFonts w:ascii="仿宋_GB2312" w:eastAsia="仿宋_GB2312" w:hAnsi="仿宋_GB2312" w:hint="eastAsia"/>
          <w:sz w:val="30"/>
        </w:rPr>
      </w:pPr>
      <w:r>
        <w:rPr>
          <w:rFonts w:ascii="仿宋_GB2312" w:eastAsia="仿宋_GB2312" w:hAnsi="仿宋_GB2312" w:hint="eastAsia"/>
          <w:sz w:val="30"/>
        </w:rPr>
        <w:t>目前</w:t>
      </w:r>
      <w:r>
        <w:rPr>
          <w:rFonts w:ascii="仿宋_GB2312" w:eastAsia="仿宋_GB2312" w:hAnsi="仿宋_GB2312" w:hint="eastAsia"/>
          <w:sz w:val="30"/>
          <w:lang w:eastAsia="zh-CN"/>
        </w:rPr>
        <w:t>，我公司</w:t>
      </w:r>
      <w:r>
        <w:rPr>
          <w:rFonts w:ascii="仿宋_GB2312" w:eastAsia="仿宋_GB2312" w:hAnsi="仿宋_GB2312" w:hint="eastAsia"/>
          <w:sz w:val="30"/>
        </w:rPr>
        <w:t>服务的项目有：海军干部公寓、宝晖大厦、锦绣花园、</w:t>
      </w:r>
      <w:r>
        <w:rPr>
          <w:rFonts w:ascii="仿宋_GB2312" w:eastAsia="仿宋_GB2312" w:hAnsi="仿宋_GB2312" w:hint="eastAsia"/>
          <w:sz w:val="30"/>
          <w:lang w:eastAsia="zh-CN"/>
        </w:rPr>
        <w:t>泰发大厦</w:t>
      </w:r>
      <w:r>
        <w:rPr>
          <w:rFonts w:ascii="仿宋_GB2312" w:eastAsia="仿宋_GB2312" w:hAnsi="仿宋_GB2312" w:hint="eastAsia"/>
          <w:sz w:val="30"/>
        </w:rPr>
        <w:t>、绿海花园、尚城雅居</w:t>
      </w:r>
      <w:r>
        <w:rPr>
          <w:rFonts w:ascii="仿宋_GB2312" w:eastAsia="仿宋_GB2312" w:hAnsi="仿宋_GB2312" w:hint="eastAsia"/>
          <w:sz w:val="30"/>
        </w:rPr>
        <w:t>Ⅰ</w:t>
      </w:r>
      <w:r>
        <w:rPr>
          <w:rFonts w:ascii="仿宋_GB2312" w:eastAsia="仿宋_GB2312" w:hAnsi="仿宋_GB2312" w:hint="eastAsia"/>
          <w:sz w:val="30"/>
        </w:rPr>
        <w:t>期、</w:t>
      </w:r>
      <w:r>
        <w:rPr>
          <w:rFonts w:ascii="仿宋_GB2312" w:eastAsia="仿宋_GB2312" w:hAnsi="仿宋_GB2312" w:hint="eastAsia"/>
          <w:sz w:val="30"/>
        </w:rPr>
        <w:t>Ⅱ</w:t>
      </w:r>
      <w:r>
        <w:rPr>
          <w:rFonts w:ascii="仿宋_GB2312" w:eastAsia="仿宋_GB2312" w:hAnsi="仿宋_GB2312" w:hint="eastAsia"/>
          <w:sz w:val="30"/>
        </w:rPr>
        <w:t>期</w:t>
      </w:r>
      <w:r>
        <w:rPr>
          <w:rFonts w:ascii="仿宋_GB2312" w:eastAsia="仿宋_GB2312" w:hAnsi="仿宋_GB2312" w:hint="eastAsia"/>
          <w:sz w:val="30"/>
          <w:lang w:eastAsia="zh-CN"/>
        </w:rPr>
        <w:t>、</w:t>
      </w:r>
      <w:r>
        <w:rPr>
          <w:rFonts w:ascii="仿宋_GB2312" w:eastAsia="仿宋_GB2312" w:hAnsi="仿宋_GB2312" w:hint="eastAsia"/>
          <w:sz w:val="30"/>
          <w:lang w:val="en-US" w:eastAsia="zh-CN"/>
        </w:rPr>
        <w:t>Ⅲ</w:t>
      </w:r>
      <w:r>
        <w:rPr>
          <w:rFonts w:ascii="仿宋_GB2312" w:eastAsia="仿宋_GB2312" w:hAnsi="仿宋_GB2312" w:hint="eastAsia"/>
          <w:sz w:val="30"/>
          <w:lang w:val="en-US" w:eastAsia="zh-CN"/>
        </w:rPr>
        <w:t>期、金宸</w:t>
      </w:r>
      <w:r>
        <w:rPr>
          <w:rFonts w:ascii="仿宋_GB2312" w:eastAsia="仿宋_GB2312" w:hAnsi="仿宋_GB2312" w:hint="eastAsia"/>
          <w:sz w:val="30"/>
          <w:lang w:val="en-US" w:eastAsia="zh-CN"/>
        </w:rPr>
        <w:t>·</w:t>
      </w:r>
      <w:r>
        <w:rPr>
          <w:rFonts w:ascii="仿宋_GB2312" w:eastAsia="仿宋_GB2312" w:hAnsi="仿宋_GB2312" w:hint="eastAsia"/>
          <w:sz w:val="30"/>
          <w:lang w:val="en-US" w:eastAsia="zh-CN"/>
        </w:rPr>
        <w:t>南康花苑</w:t>
      </w:r>
      <w:r>
        <w:rPr>
          <w:rFonts w:ascii="仿宋_GB2312" w:eastAsia="仿宋_GB2312" w:hAnsi="仿宋_GB2312" w:hint="eastAsia"/>
          <w:sz w:val="30"/>
        </w:rPr>
        <w:t>等；</w:t>
      </w:r>
      <w:r>
        <w:rPr>
          <w:rFonts w:ascii="仿宋_GB2312" w:eastAsia="仿宋_GB2312" w:hAnsi="仿宋_GB2312" w:hint="eastAsia"/>
          <w:sz w:val="30"/>
          <w:lang w:eastAsia="zh-CN"/>
        </w:rPr>
        <w:t>待接管项目有：海洋监测应急指挥中心；</w:t>
      </w:r>
      <w:r>
        <w:rPr>
          <w:rFonts w:ascii="仿宋_GB2312" w:eastAsia="仿宋_GB2312" w:hAnsi="仿宋_GB2312" w:hint="eastAsia"/>
          <w:b w:val="0"/>
          <w:bCs w:val="0"/>
          <w:sz w:val="30"/>
          <w:lang w:eastAsia="zh-CN"/>
        </w:rPr>
        <w:t>尚城雅居被评为</w:t>
      </w:r>
      <w:r>
        <w:rPr>
          <w:rFonts w:ascii="仿宋_GB2312" w:eastAsia="仿宋_GB2312" w:hAnsi="仿宋_GB2312" w:hint="eastAsia"/>
          <w:b w:val="0"/>
          <w:bCs w:val="0"/>
          <w:sz w:val="30"/>
          <w:lang w:eastAsia="zh-CN"/>
        </w:rPr>
        <w:t>“</w:t>
      </w:r>
      <w:r>
        <w:rPr>
          <w:rFonts w:ascii="仿宋_GB2312" w:eastAsia="仿宋_GB2312" w:hAnsi="仿宋_GB2312" w:hint="eastAsia"/>
          <w:b w:val="0"/>
          <w:bCs w:val="0"/>
          <w:sz w:val="30"/>
          <w:lang w:val="en-US" w:eastAsia="zh-CN"/>
        </w:rPr>
        <w:t>2010年度</w:t>
      </w:r>
      <w:r>
        <w:rPr>
          <w:rFonts w:ascii="仿宋_GB2312" w:eastAsia="仿宋_GB2312" w:hAnsi="仿宋_GB2312" w:hint="eastAsia"/>
          <w:b w:val="0"/>
          <w:bCs w:val="0"/>
          <w:sz w:val="30"/>
          <w:lang w:eastAsia="zh-CN"/>
        </w:rPr>
        <w:t>北海市平安文明小区</w:t>
      </w:r>
      <w:r>
        <w:rPr>
          <w:rFonts w:ascii="仿宋_GB2312" w:eastAsia="仿宋_GB2312" w:hAnsi="仿宋_GB2312" w:hint="eastAsia"/>
          <w:b w:val="0"/>
          <w:bCs w:val="0"/>
          <w:sz w:val="30"/>
          <w:lang w:eastAsia="zh-CN"/>
        </w:rPr>
        <w:t>”</w:t>
      </w:r>
      <w:r>
        <w:rPr>
          <w:rFonts w:ascii="仿宋_GB2312" w:eastAsia="仿宋_GB2312" w:hAnsi="仿宋_GB2312" w:hint="eastAsia"/>
          <w:b w:val="0"/>
          <w:bCs w:val="0"/>
          <w:sz w:val="30"/>
          <w:lang w:eastAsia="zh-CN"/>
        </w:rPr>
        <w:t>；海军干部公寓、尚城雅居、泰发大厦即将参与北海市</w:t>
      </w:r>
      <w:r>
        <w:rPr>
          <w:rFonts w:ascii="仿宋_GB2312" w:eastAsia="仿宋_GB2312" w:hAnsi="仿宋_GB2312" w:hint="eastAsia"/>
          <w:b w:val="0"/>
          <w:bCs w:val="0"/>
          <w:sz w:val="30"/>
          <w:lang w:val="en-US" w:eastAsia="zh-CN"/>
        </w:rPr>
        <w:t>2011年度</w:t>
      </w:r>
      <w:r>
        <w:rPr>
          <w:rFonts w:ascii="仿宋_GB2312" w:eastAsia="仿宋_GB2312" w:hAnsi="仿宋_GB2312" w:hint="eastAsia"/>
          <w:b w:val="0"/>
          <w:bCs w:val="0"/>
          <w:sz w:val="30"/>
          <w:lang w:eastAsia="zh-CN"/>
        </w:rPr>
        <w:t>优秀小区、平安文明小区的评比。</w:t>
      </w:r>
      <w:r>
        <w:rPr>
          <w:rFonts w:ascii="仿宋_GB2312" w:eastAsia="仿宋_GB2312" w:hAnsi="仿宋_GB2312" w:hint="eastAsia"/>
          <w:sz w:val="30"/>
        </w:rPr>
        <w:t>服务的物业类型有高层电梯房、多层住宅、别墅、公寓商住楼，总建筑面积达</w:t>
      </w:r>
      <w:r>
        <w:rPr>
          <w:rFonts w:ascii="仿宋_GB2312" w:eastAsia="仿宋_GB2312" w:hAnsi="仿宋_GB2312" w:hint="eastAsia"/>
          <w:sz w:val="30"/>
          <w:lang w:val="en-US" w:eastAsia="zh-CN"/>
        </w:rPr>
        <w:t>20</w:t>
      </w:r>
      <w:r>
        <w:rPr>
          <w:rFonts w:ascii="仿宋_GB2312" w:eastAsia="仿宋_GB2312" w:hAnsi="仿宋_GB2312" w:hint="eastAsia"/>
          <w:sz w:val="30"/>
        </w:rPr>
        <w:t>万平米。公司本着</w:t>
      </w:r>
      <w:r>
        <w:rPr>
          <w:rFonts w:ascii="仿宋_GB2312" w:eastAsia="仿宋_GB2312" w:hAnsi="仿宋_GB2312" w:hint="eastAsia"/>
          <w:sz w:val="30"/>
        </w:rPr>
        <w:t>“</w:t>
      </w:r>
      <w:r>
        <w:rPr>
          <w:rFonts w:ascii="仿宋_GB2312" w:eastAsia="仿宋_GB2312" w:hAnsi="仿宋_GB2312" w:hint="eastAsia"/>
          <w:sz w:val="30"/>
        </w:rPr>
        <w:t>业主至上，服务第一</w:t>
      </w:r>
      <w:r>
        <w:rPr>
          <w:rFonts w:ascii="仿宋_GB2312" w:eastAsia="仿宋_GB2312" w:hAnsi="仿宋_GB2312" w:hint="eastAsia"/>
          <w:sz w:val="30"/>
        </w:rPr>
        <w:t>”</w:t>
      </w:r>
      <w:r>
        <w:rPr>
          <w:rFonts w:ascii="仿宋_GB2312" w:eastAsia="仿宋_GB2312" w:hAnsi="仿宋_GB2312" w:hint="eastAsia"/>
          <w:sz w:val="30"/>
        </w:rPr>
        <w:t>的宗旨，坚持</w:t>
      </w:r>
      <w:r>
        <w:rPr>
          <w:rFonts w:ascii="仿宋_GB2312" w:eastAsia="仿宋_GB2312" w:hAnsi="仿宋_GB2312" w:hint="eastAsia"/>
          <w:sz w:val="30"/>
        </w:rPr>
        <w:t>“</w:t>
      </w:r>
      <w:r>
        <w:rPr>
          <w:rFonts w:ascii="仿宋_GB2312" w:eastAsia="仿宋_GB2312" w:hAnsi="仿宋_GB2312" w:hint="eastAsia"/>
          <w:sz w:val="30"/>
        </w:rPr>
        <w:t>以人为本，诚信服务</w:t>
      </w:r>
      <w:r>
        <w:rPr>
          <w:rFonts w:ascii="仿宋_GB2312" w:eastAsia="仿宋_GB2312" w:hAnsi="仿宋_GB2312" w:hint="eastAsia"/>
          <w:sz w:val="30"/>
        </w:rPr>
        <w:t>”</w:t>
      </w:r>
      <w:r>
        <w:rPr>
          <w:rFonts w:ascii="仿宋_GB2312" w:eastAsia="仿宋_GB2312" w:hAnsi="仿宋_GB2312" w:hint="eastAsia"/>
          <w:sz w:val="30"/>
        </w:rPr>
        <w:t>为原则，走人性化服务，正规化管理的道路，向军事化，酒店式管理发展，真正成为服务于广阔业主的帮手，能使广阔业主得以高兴奋兴，快欢乐乐的安家立业，</w:t>
      </w:r>
      <w:r>
        <w:rPr>
          <w:rFonts w:ascii="仿宋_GB2312" w:eastAsia="仿宋_GB2312" w:hAnsi="仿宋_GB2312" w:hint="eastAsia"/>
          <w:sz w:val="30"/>
          <w:lang w:eastAsia="zh-CN"/>
        </w:rPr>
        <w:t>也为公司的发展创建了良好的条件。</w:t>
      </w: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仿宋_GB2312" w:eastAsia="仿宋_GB2312" w:hAnsi="仿宋_GB2312" w:hint="eastAsia"/>
          <w:b/>
          <w:sz w:val="30"/>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rPr>
      </w:pPr>
      <w:r>
        <w:rPr>
          <w:rFonts w:ascii="楷体_GB2312" w:eastAsia="楷体_GB2312" w:hAnsi="楷体_GB2312" w:hint="eastAsia"/>
          <w:b/>
          <w:sz w:val="36"/>
        </w:rPr>
        <w:t>二、物业基本概况</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1、座落位置：</w:t>
      </w:r>
      <w:r>
        <w:rPr>
          <w:rFonts w:ascii="仿宋_GB2312" w:eastAsia="仿宋_GB2312" w:hAnsi="仿宋_GB2312" w:hint="eastAsia"/>
          <w:sz w:val="30"/>
          <w:u w:val="single"/>
          <w:lang w:eastAsia="zh-CN"/>
        </w:rPr>
        <w:t>北海市广东路与西南大道交汇处</w:t>
      </w:r>
      <w:r>
        <w:rPr>
          <w:rFonts w:ascii="仿宋_GB2312" w:eastAsia="仿宋_GB2312" w:hAnsi="仿宋_GB2312" w:hint="eastAsia"/>
          <w:sz w:val="30"/>
        </w:rPr>
        <w:t>；</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2、总建筑面积：约</w:t>
      </w:r>
      <w:r>
        <w:rPr>
          <w:rFonts w:ascii="仿宋_GB2312" w:eastAsia="仿宋_GB2312" w:hAnsi="仿宋_GB2312" w:hint="eastAsia"/>
          <w:sz w:val="30"/>
          <w:u w:val="single"/>
          <w:lang w:val="en-US" w:eastAsia="zh-CN"/>
        </w:rPr>
        <w:t>6500</w:t>
      </w:r>
      <w:r>
        <w:rPr>
          <w:rFonts w:ascii="仿宋_GB2312" w:eastAsia="仿宋_GB2312" w:hAnsi="仿宋_GB2312" w:hint="eastAsia"/>
          <w:sz w:val="30"/>
        </w:rPr>
        <w:t>平方米</w:t>
      </w:r>
      <w:r>
        <w:rPr>
          <w:rFonts w:ascii="仿宋_GB2312" w:eastAsia="仿宋_GB2312" w:hAnsi="仿宋_GB2312" w:hint="eastAsia"/>
          <w:sz w:val="30"/>
          <w:lang w:eastAsia="zh-CN"/>
        </w:rPr>
        <w:t>，其中商铺建筑面积约</w:t>
      </w:r>
      <w:r>
        <w:rPr>
          <w:rFonts w:ascii="仿宋_GB2312" w:eastAsia="仿宋_GB2312" w:hAnsi="仿宋_GB2312" w:hint="eastAsia"/>
          <w:sz w:val="30"/>
          <w:u w:val="single" w:color="auto"/>
          <w:lang w:val="en-US" w:eastAsia="zh-CN"/>
        </w:rPr>
        <w:t>5000</w:t>
      </w:r>
      <w:r>
        <w:rPr>
          <w:rFonts w:ascii="仿宋_GB2312" w:eastAsia="仿宋_GB2312" w:hAnsi="仿宋_GB2312" w:hint="eastAsia"/>
          <w:sz w:val="30"/>
          <w:lang w:val="en-US" w:eastAsia="zh-CN"/>
        </w:rPr>
        <w:t>平方米</w:t>
      </w:r>
      <w:r>
        <w:rPr>
          <w:rFonts w:ascii="仿宋_GB2312" w:eastAsia="仿宋_GB2312" w:hAnsi="仿宋_GB2312" w:hint="eastAsia"/>
          <w:sz w:val="30"/>
        </w:rPr>
        <w:t>；</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3、小区内公共设施设备基本完善；</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lang w:val="en-US" w:eastAsia="zh-CN"/>
        </w:rPr>
        <w:t>4</w:t>
      </w:r>
      <w:r>
        <w:rPr>
          <w:rFonts w:ascii="仿宋_GB2312" w:eastAsia="仿宋_GB2312" w:hAnsi="仿宋_GB2312" w:hint="eastAsia"/>
          <w:sz w:val="30"/>
        </w:rPr>
        <w:t>、</w:t>
      </w:r>
      <w:r>
        <w:rPr>
          <w:rFonts w:ascii="仿宋_GB2312" w:eastAsia="仿宋_GB2312" w:hAnsi="仿宋_GB2312" w:hint="eastAsia"/>
          <w:sz w:val="30"/>
          <w:lang w:eastAsia="zh-CN"/>
        </w:rPr>
        <w:t>小区分为三个分区共三个大门</w:t>
      </w:r>
      <w:r>
        <w:rPr>
          <w:rFonts w:ascii="仿宋_GB2312" w:eastAsia="仿宋_GB2312" w:hAnsi="仿宋_GB2312" w:hint="eastAsia"/>
          <w:sz w:val="30"/>
        </w:rPr>
        <w:t>；</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sectPr>
          <w:type w:val="nextPage"/>
          <w:pgSz w:w="11906" w:h="16838"/>
          <w:pgMar w:top="1247" w:right="1134" w:bottom="1247" w:left="1134" w:header="851" w:footer="992" w:gutter="0"/>
          <w:pgNumType w:fmt="decimal" w:start="2"/>
          <w:cols w:space="708"/>
          <w:titlePg w:val="0"/>
          <w:docGrid w:type="lines" w:linePitch="312"/>
        </w:sectPr>
      </w:pPr>
      <w:r>
        <w:rPr>
          <w:rFonts w:ascii="仿宋_GB2312" w:eastAsia="仿宋_GB2312" w:hAnsi="仿宋_GB2312" w:hint="eastAsia"/>
          <w:sz w:val="30"/>
          <w:lang w:val="en-US" w:eastAsia="zh-CN"/>
        </w:rPr>
        <w:t>5</w:t>
      </w:r>
      <w:r>
        <w:rPr>
          <w:rFonts w:ascii="仿宋_GB2312" w:eastAsia="仿宋_GB2312" w:hAnsi="仿宋_GB2312" w:hint="eastAsia"/>
          <w:sz w:val="30"/>
        </w:rPr>
        <w:t>、小区供电：一户一表；供水：一户一表。</w:t>
      </w: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sz w:val="36"/>
        </w:rPr>
      </w:pPr>
      <w:r>
        <w:rPr>
          <w:rFonts w:ascii="楷体_GB2312" w:eastAsia="楷体_GB2312" w:hAnsi="楷体_GB2312" w:hint="eastAsia"/>
          <w:b/>
          <w:sz w:val="36"/>
          <w:szCs w:val="32"/>
        </w:rPr>
        <w:t>三、</w:t>
      </w:r>
      <w:r>
        <w:rPr>
          <w:rFonts w:ascii="楷体_GB2312" w:eastAsia="楷体_GB2312" w:hAnsi="楷体_GB2312" w:hint="eastAsia"/>
          <w:b/>
          <w:bCs/>
          <w:sz w:val="36"/>
          <w:lang w:val="en-US" w:eastAsia="zh-CN"/>
        </w:rPr>
        <w:t>海城苑</w:t>
      </w:r>
      <w:r>
        <w:rPr>
          <w:rFonts w:ascii="楷体_GB2312" w:eastAsia="楷体_GB2312" w:hAnsi="楷体_GB2312" w:hint="eastAsia"/>
          <w:b/>
          <w:sz w:val="36"/>
          <w:szCs w:val="32"/>
        </w:rPr>
        <w:t>物业服务定位</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1、物业管理服务理念：</w:t>
      </w:r>
      <w:r>
        <w:rPr>
          <w:rFonts w:ascii="仿宋_GB2312" w:eastAsia="仿宋_GB2312" w:hAnsi="仿宋_GB2312" w:hint="eastAsia"/>
          <w:sz w:val="30"/>
        </w:rPr>
        <w:t>“</w:t>
      </w:r>
      <w:r>
        <w:rPr>
          <w:rFonts w:ascii="仿宋_GB2312" w:eastAsia="仿宋_GB2312" w:hAnsi="仿宋_GB2312" w:hint="eastAsia"/>
          <w:sz w:val="30"/>
        </w:rPr>
        <w:t>追求业主满足率最大化</w:t>
      </w:r>
      <w:r>
        <w:rPr>
          <w:rFonts w:ascii="仿宋_GB2312" w:eastAsia="仿宋_GB2312" w:hAnsi="仿宋_GB2312" w:hint="eastAsia"/>
          <w:sz w:val="30"/>
        </w:rPr>
        <w:t>”</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2、物业服务定位：针对</w:t>
      </w:r>
      <w:r>
        <w:rPr>
          <w:rFonts w:ascii="仿宋_GB2312" w:eastAsia="仿宋_GB2312" w:hAnsi="仿宋_GB2312" w:hint="eastAsia"/>
          <w:sz w:val="30"/>
          <w:lang w:eastAsia="zh-CN"/>
        </w:rPr>
        <w:t>海城苑</w:t>
      </w:r>
      <w:r>
        <w:rPr>
          <w:rFonts w:ascii="仿宋_GB2312" w:eastAsia="仿宋_GB2312" w:hAnsi="仿宋_GB2312" w:hint="eastAsia"/>
          <w:sz w:val="30"/>
        </w:rPr>
        <w:t>物业状况和业主们消费层次的需求，我们依据北海市物价局和建委68号文件制定的标准，依据三级以下的服务收费，三级以上的服务标准供应物业管理服务。</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3、物业管理服务模式：正规化管理，人性化服务</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作为从事多年物业管理阅历的公司领导者，对正规化管理和人性化服务有着深刻的理解，并力求把这种管理服务理念融合到公司员工专业管理的模式中去，强调的是以人为本，诚信服务的内在关系，强调的是统一的管理制度规范化训练，公司提倡的是礼貌待人，微笑服务，细致做好</w:t>
      </w:r>
      <w:r>
        <w:rPr>
          <w:rFonts w:ascii="仿宋_GB2312" w:eastAsia="仿宋_GB2312" w:hAnsi="仿宋_GB2312" w:hint="eastAsia"/>
          <w:sz w:val="30"/>
          <w:lang w:eastAsia="zh-CN"/>
        </w:rPr>
        <w:t>海城苑</w:t>
      </w:r>
      <w:r>
        <w:rPr>
          <w:rFonts w:ascii="仿宋_GB2312" w:eastAsia="仿宋_GB2312" w:hAnsi="仿宋_GB2312" w:hint="eastAsia"/>
          <w:sz w:val="30"/>
        </w:rPr>
        <w:t>的物业服务管理工作。</w:t>
      </w: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仿宋_GB2312" w:eastAsia="仿宋_GB2312" w:hAnsi="仿宋_GB2312" w:hint="eastAsia"/>
          <w:b/>
          <w:sz w:val="30"/>
          <w:szCs w:val="32"/>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szCs w:val="32"/>
        </w:rPr>
      </w:pPr>
      <w:r>
        <w:rPr>
          <w:rFonts w:ascii="楷体_GB2312" w:eastAsia="楷体_GB2312" w:hAnsi="楷体_GB2312" w:hint="eastAsia"/>
          <w:b/>
          <w:sz w:val="36"/>
          <w:szCs w:val="32"/>
        </w:rPr>
        <w:t>四、</w:t>
      </w:r>
      <w:r>
        <w:rPr>
          <w:rFonts w:ascii="楷体_GB2312" w:eastAsia="楷体_GB2312" w:hAnsi="楷体_GB2312" w:hint="eastAsia"/>
          <w:b/>
          <w:bCs/>
          <w:sz w:val="36"/>
          <w:lang w:val="en-US" w:eastAsia="zh-CN"/>
        </w:rPr>
        <w:t>海城苑</w:t>
      </w:r>
      <w:r>
        <w:rPr>
          <w:rFonts w:ascii="楷体_GB2312" w:eastAsia="楷体_GB2312" w:hAnsi="楷体_GB2312" w:hint="eastAsia"/>
          <w:b/>
          <w:sz w:val="36"/>
          <w:szCs w:val="32"/>
        </w:rPr>
        <w:t>物业服务措施</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b/>
          <w:sz w:val="30"/>
        </w:rPr>
      </w:pPr>
      <w:r>
        <w:rPr>
          <w:rFonts w:ascii="仿宋_GB2312" w:eastAsia="仿宋_GB2312" w:hAnsi="仿宋_GB2312" w:hint="eastAsia"/>
          <w:b/>
          <w:sz w:val="30"/>
        </w:rPr>
        <w:t>1、正规管理，规范服务</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物业管理服务要达到肯定的水平必需建立并实施一套完整的管理制度，依据</w:t>
      </w:r>
      <w:r>
        <w:rPr>
          <w:rFonts w:ascii="仿宋_GB2312" w:eastAsia="仿宋_GB2312" w:hAnsi="仿宋_GB2312" w:hint="eastAsia"/>
          <w:sz w:val="30"/>
          <w:lang w:val="en-US" w:eastAsia="zh-CN"/>
        </w:rPr>
        <w:t>海城苑</w:t>
      </w:r>
      <w:r>
        <w:rPr>
          <w:rFonts w:ascii="仿宋_GB2312" w:eastAsia="仿宋_GB2312" w:hAnsi="仿宋_GB2312" w:hint="eastAsia"/>
          <w:sz w:val="30"/>
        </w:rPr>
        <w:t>的实际状况制定实质性的管理服务方案，做到正规化管理，人性化服务。</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b/>
          <w:sz w:val="30"/>
        </w:rPr>
      </w:pPr>
      <w:r>
        <w:rPr>
          <w:rFonts w:ascii="仿宋_GB2312" w:eastAsia="仿宋_GB2312" w:hAnsi="仿宋_GB2312" w:hint="eastAsia"/>
          <w:b/>
          <w:sz w:val="30"/>
        </w:rPr>
        <w:t>2、强化培训，提高素养</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人才是物业服务企业最重要的资源，对聘请进来的员工进行岗前、岗后培训，提高员工的专业化技能和较好的综合素养，必需做到统一管理，统一行动，统一调配，以内部培训为主，使员工的素养逐步提高，确保向小区业主和住户供应标准化的专业物业管理服务。</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b/>
          <w:sz w:val="30"/>
        </w:rPr>
      </w:pPr>
      <w:r>
        <w:rPr>
          <w:rFonts w:ascii="仿宋_GB2312" w:eastAsia="仿宋_GB2312" w:hAnsi="仿宋_GB2312" w:hint="eastAsia"/>
          <w:b/>
          <w:sz w:val="30"/>
        </w:rPr>
        <w:t>3、业主参与，双向共管</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sectPr>
          <w:type w:val="nextPage"/>
          <w:pgSz w:w="11906" w:h="16838"/>
          <w:pgMar w:top="1247" w:right="1134" w:bottom="1247" w:left="1134" w:header="851" w:footer="992" w:gutter="0"/>
          <w:pgNumType w:fmt="decimal" w:start="3"/>
          <w:cols w:space="708"/>
          <w:titlePg w:val="0"/>
          <w:docGrid w:type="lines" w:linePitch="312"/>
        </w:sectPr>
      </w:pP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广阔业主一起共同参与物业服务管理，使物业服务中心单向推动，为物业服务中心与广阔业主双向共管。建立业主参与物业服务机制，建立联合会议制度，通过定期召开联席会议；物业服务工作须要业主和服务中心的亲密协作与合作；物业服务中心向业主报告并探讨重大的物业服务遇到的问题，以达到沟通解决问题的效果。监督检查制度，依据有关法律法规和物业服务合同实施规范的管理，虚心接受广阔业主的监督检查。</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b/>
          <w:sz w:val="30"/>
        </w:rPr>
      </w:pPr>
      <w:r>
        <w:rPr>
          <w:rFonts w:ascii="仿宋_GB2312" w:eastAsia="仿宋_GB2312" w:hAnsi="仿宋_GB2312" w:hint="eastAsia"/>
          <w:b/>
          <w:sz w:val="30"/>
        </w:rPr>
        <w:t>4、秩序井然，，美化环境</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制定小区平安管理目标，做到平安第一，预防为主，健全平安管理职责，防止外来偷盗事务，杜绝平安隐患，保障平安，有效限制意外事故发生。小区车辆出入管理，车辆停放管理，确保小区车辆</w:t>
      </w:r>
      <w:r>
        <w:rPr>
          <w:rFonts w:ascii="仿宋_GB2312" w:eastAsia="仿宋_GB2312" w:hAnsi="仿宋_GB2312" w:hint="eastAsia"/>
          <w:sz w:val="30"/>
          <w:lang w:eastAsia="zh-CN"/>
        </w:rPr>
        <w:t>有序规则出入、停放</w:t>
      </w:r>
      <w:r>
        <w:rPr>
          <w:rFonts w:ascii="仿宋_GB2312" w:eastAsia="仿宋_GB2312" w:hAnsi="仿宋_GB2312" w:hint="eastAsia"/>
          <w:sz w:val="30"/>
        </w:rPr>
        <w:t>。实行消防平安制度，建立防火平安制度，预防意外火灾事故。小区区域内确保无垃圾、无杂物、</w:t>
      </w:r>
      <w:r>
        <w:rPr>
          <w:rFonts w:ascii="仿宋_GB2312" w:eastAsia="仿宋_GB2312" w:hAnsi="仿宋_GB2312" w:hint="eastAsia"/>
          <w:sz w:val="30"/>
          <w:lang w:eastAsia="zh-CN"/>
        </w:rPr>
        <w:t>防</w:t>
      </w:r>
      <w:r>
        <w:rPr>
          <w:rFonts w:ascii="仿宋_GB2312" w:eastAsia="仿宋_GB2312" w:hAnsi="仿宋_GB2312" w:hint="eastAsia"/>
          <w:sz w:val="30"/>
        </w:rPr>
        <w:t>四害，设立保洁绿化规章制度，美化绿化，使业主有一个平安、舒适的居住环境。</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588" w:firstLineChars="196"/>
        <w:textAlignment w:val="auto"/>
        <w:rPr>
          <w:rFonts w:ascii="仿宋_GB2312" w:eastAsia="仿宋_GB2312" w:hAnsi="仿宋_GB2312" w:hint="eastAsia"/>
          <w:b/>
          <w:sz w:val="30"/>
        </w:rPr>
      </w:pPr>
      <w:r>
        <w:rPr>
          <w:rFonts w:ascii="仿宋_GB2312" w:eastAsia="仿宋_GB2312" w:hAnsi="仿宋_GB2312" w:hint="eastAsia"/>
          <w:b/>
          <w:sz w:val="30"/>
        </w:rPr>
        <w:t>5、开展活动，共建和谐</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w:t>
      </w:r>
      <w:r>
        <w:rPr>
          <w:rFonts w:ascii="仿宋_GB2312" w:eastAsia="仿宋_GB2312" w:hAnsi="仿宋_GB2312" w:hint="eastAsia"/>
          <w:sz w:val="30"/>
        </w:rPr>
        <w:t>和谐小区建设</w:t>
      </w:r>
      <w:r>
        <w:rPr>
          <w:rFonts w:ascii="仿宋_GB2312" w:eastAsia="仿宋_GB2312" w:hAnsi="仿宋_GB2312" w:hint="eastAsia"/>
          <w:sz w:val="30"/>
        </w:rPr>
        <w:t>”</w:t>
      </w:r>
      <w:r>
        <w:rPr>
          <w:rFonts w:ascii="仿宋_GB2312" w:eastAsia="仿宋_GB2312" w:hAnsi="仿宋_GB2312" w:hint="eastAsia"/>
          <w:sz w:val="30"/>
        </w:rPr>
        <w:t>是我们将胜利管理服务小区的一条重要法则，家和万事兴，小区是业主的大家，我们将全面绽开环境文化、行为文化、制度文化、精神文化、文明文化。通过按部就班、潜移默化、相互沟通、相互了解，提高</w:t>
      </w:r>
      <w:r>
        <w:rPr>
          <w:rFonts w:ascii="仿宋_GB2312" w:eastAsia="仿宋_GB2312" w:hAnsi="仿宋_GB2312" w:hint="eastAsia"/>
          <w:sz w:val="30"/>
          <w:lang w:eastAsia="zh-CN"/>
        </w:rPr>
        <w:t>服务人员</w:t>
      </w:r>
      <w:r>
        <w:rPr>
          <w:rFonts w:ascii="仿宋_GB2312" w:eastAsia="仿宋_GB2312" w:hAnsi="仿宋_GB2312" w:hint="eastAsia"/>
          <w:sz w:val="30"/>
        </w:rPr>
        <w:t>和业主的素养，发挥各有所长，相互学习共处，共建文明和谐小区。</w:t>
      </w: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szCs w:val="32"/>
        </w:rPr>
      </w:pPr>
    </w:p>
    <w:p>
      <w:pPr>
        <w:keepNext w:val="0"/>
        <w:keepLines w:val="0"/>
        <w:pageBreakBefore w:val="0"/>
        <w:kinsoku/>
        <w:wordWrap/>
        <w:overflowPunct/>
        <w:topLinePunct w:val="0"/>
        <w:autoSpaceDE/>
        <w:autoSpaceDN/>
        <w:bidi w:val="0"/>
        <w:adjustRightInd/>
        <w:snapToGrid/>
        <w:spacing w:before="0" w:beforeLines="0" w:after="0" w:afterLines="0" w:line="560" w:lineRule="exact"/>
        <w:textAlignment w:val="auto"/>
        <w:rPr>
          <w:rFonts w:ascii="楷体_GB2312" w:eastAsia="楷体_GB2312" w:hAnsi="楷体_GB2312" w:hint="eastAsia"/>
          <w:b/>
          <w:sz w:val="36"/>
          <w:szCs w:val="32"/>
        </w:rPr>
      </w:pPr>
      <w:r>
        <w:rPr>
          <w:rFonts w:ascii="楷体_GB2312" w:eastAsia="楷体_GB2312" w:hAnsi="楷体_GB2312" w:hint="eastAsia"/>
          <w:b/>
          <w:sz w:val="36"/>
          <w:szCs w:val="32"/>
        </w:rPr>
        <w:t>五、物业服务收费</w:t>
      </w:r>
    </w:p>
    <w:p>
      <w:pPr>
        <w:keepNext w:val="0"/>
        <w:keepLines w:val="0"/>
        <w:pageBreakBefore w:val="0"/>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依据广西自治区物业收费标准及北海市物业收费标准规定，我们将以三级以下的物业服务标准收费，以北海及</w:t>
      </w:r>
      <w:r>
        <w:rPr>
          <w:rFonts w:ascii="仿宋_GB2312" w:eastAsia="仿宋_GB2312" w:hAnsi="仿宋_GB2312" w:hint="eastAsia"/>
          <w:sz w:val="30"/>
          <w:lang w:val="en-US" w:eastAsia="zh-CN"/>
        </w:rPr>
        <w:t>海城苑</w:t>
      </w:r>
      <w:r>
        <w:rPr>
          <w:rFonts w:ascii="仿宋_GB2312" w:eastAsia="仿宋_GB2312" w:hAnsi="仿宋_GB2312" w:hint="eastAsia"/>
          <w:sz w:val="30"/>
        </w:rPr>
        <w:t>的实际状况动身，为广阔业主着想，现对</w:t>
      </w:r>
      <w:r>
        <w:rPr>
          <w:rFonts w:ascii="仿宋_GB2312" w:eastAsia="仿宋_GB2312" w:hAnsi="仿宋_GB2312" w:hint="eastAsia"/>
          <w:sz w:val="30"/>
          <w:lang w:eastAsia="zh-CN"/>
        </w:rPr>
        <w:t>海城苑</w:t>
      </w:r>
      <w:r>
        <w:rPr>
          <w:rFonts w:ascii="仿宋_GB2312" w:eastAsia="仿宋_GB2312" w:hAnsi="仿宋_GB2312" w:hint="eastAsia"/>
          <w:sz w:val="30"/>
        </w:rPr>
        <w:t>的物业服务定价为：</w:t>
      </w:r>
    </w:p>
    <w:p>
      <w:pPr>
        <w:keepNext w:val="0"/>
        <w:keepLines w:val="0"/>
        <w:pageBreakBefore w:val="0"/>
        <w:numPr>
          <w:ilvl w:val="0"/>
          <w:numId w:val="2"/>
        </w:numPr>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lang w:eastAsia="zh-CN"/>
        </w:rPr>
        <w:t>住宅</w:t>
      </w:r>
      <w:r>
        <w:rPr>
          <w:rFonts w:ascii="仿宋_GB2312" w:eastAsia="仿宋_GB2312" w:hAnsi="仿宋_GB2312" w:hint="eastAsia"/>
          <w:sz w:val="30"/>
        </w:rPr>
        <w:t>按建筑面积每平方米0.</w:t>
      </w:r>
      <w:r>
        <w:rPr>
          <w:rFonts w:ascii="仿宋_GB2312" w:eastAsia="仿宋_GB2312" w:hAnsi="仿宋_GB2312" w:hint="eastAsia"/>
          <w:sz w:val="30"/>
          <w:lang w:val="en-US" w:eastAsia="zh-CN"/>
        </w:rPr>
        <w:t>60</w:t>
      </w:r>
      <w:r>
        <w:rPr>
          <w:rFonts w:ascii="仿宋_GB2312" w:eastAsia="仿宋_GB2312" w:hAnsi="仿宋_GB2312" w:hint="eastAsia"/>
          <w:sz w:val="30"/>
        </w:rPr>
        <w:t>元/月；</w:t>
      </w:r>
    </w:p>
    <w:p>
      <w:pPr>
        <w:keepNext w:val="0"/>
        <w:keepLines w:val="0"/>
        <w:pageBreakBefore w:val="0"/>
        <w:numPr>
          <w:ilvl w:val="0"/>
          <w:numId w:val="2"/>
        </w:numPr>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lang w:eastAsia="zh-CN"/>
        </w:rPr>
        <w:t>商铺按建筑面积</w:t>
      </w:r>
      <w:r>
        <w:rPr>
          <w:rFonts w:ascii="仿宋_GB2312" w:eastAsia="仿宋_GB2312" w:hAnsi="仿宋_GB2312" w:hint="eastAsia"/>
          <w:sz w:val="30"/>
        </w:rPr>
        <w:t>每平方米</w:t>
      </w:r>
      <w:r>
        <w:rPr>
          <w:rFonts w:ascii="仿宋_GB2312" w:eastAsia="仿宋_GB2312" w:hAnsi="仿宋_GB2312" w:hint="eastAsia"/>
          <w:sz w:val="30"/>
          <w:lang w:val="en-US" w:eastAsia="zh-CN"/>
        </w:rPr>
        <w:t>1.50</w:t>
      </w:r>
      <w:r>
        <w:rPr>
          <w:rFonts w:ascii="仿宋_GB2312" w:eastAsia="仿宋_GB2312" w:hAnsi="仿宋_GB2312" w:hint="eastAsia"/>
          <w:sz w:val="30"/>
        </w:rPr>
        <w:t>元/月；</w:t>
      </w:r>
    </w:p>
    <w:p>
      <w:pPr>
        <w:keepNext w:val="0"/>
        <w:keepLines w:val="0"/>
        <w:pageBreakBefore w:val="0"/>
        <w:numPr>
          <w:ilvl w:val="0"/>
          <w:numId w:val="2"/>
        </w:numPr>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r>
        <w:rPr>
          <w:rFonts w:ascii="仿宋_GB2312" w:eastAsia="仿宋_GB2312" w:hAnsi="仿宋_GB2312" w:hint="eastAsia"/>
          <w:sz w:val="30"/>
        </w:rPr>
        <w:t>公共路灯照明费用每户每月</w:t>
      </w:r>
      <w:r>
        <w:rPr>
          <w:rFonts w:ascii="仿宋_GB2312" w:eastAsia="仿宋_GB2312" w:hAnsi="仿宋_GB2312" w:hint="eastAsia"/>
          <w:sz w:val="30"/>
          <w:lang w:eastAsia="zh-CN"/>
        </w:rPr>
        <w:t>按实际费用均摊</w:t>
      </w:r>
      <w:r>
        <w:rPr>
          <w:rFonts w:ascii="仿宋_GB2312" w:eastAsia="仿宋_GB2312" w:hAnsi="仿宋_GB2312" w:hint="eastAsia"/>
          <w:sz w:val="30"/>
        </w:rPr>
        <w:t>；</w:t>
      </w:r>
      <w:r>
        <w:rPr>
          <w:rFonts w:ascii="仿宋_GB2312" w:eastAsia="仿宋_GB2312" w:hAnsi="仿宋_GB2312" w:hint="eastAsia"/>
          <w:sz w:val="30"/>
        </w:rPr>
        <w:br/>
      </w:r>
      <w:r>
        <w:rPr>
          <w:rFonts w:ascii="仿宋_GB2312" w:eastAsia="仿宋_GB2312" w:hAnsi="仿宋_GB2312" w:hint="eastAsia"/>
          <w:sz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https://d.book118.com/608004053132006047</w:t>
        </w:r>
      </w:hyperlink>
    </w:p>
    <w:p>
      <w:pPr>
        <w:keepNext w:val="0"/>
        <w:keepLines w:val="0"/>
        <w:pageBreakBefore w:val="0"/>
        <w:numPr>
          <w:ilvl w:val="0"/>
          <w:numId w:val="2"/>
        </w:numPr>
        <w:kinsoku/>
        <w:wordWrap/>
        <w:overflowPunct/>
        <w:topLinePunct w:val="0"/>
        <w:autoSpaceDE/>
        <w:autoSpaceDN/>
        <w:bidi w:val="0"/>
        <w:adjustRightInd/>
        <w:snapToGrid/>
        <w:spacing w:before="0" w:beforeLines="0" w:after="0" w:afterLines="0" w:line="560" w:lineRule="exact"/>
        <w:ind w:firstLine="600" w:firstLineChars="200"/>
        <w:textAlignment w:val="auto"/>
        <w:rPr>
          <w:rFonts w:ascii="仿宋_GB2312" w:eastAsia="仿宋_GB2312" w:hAnsi="仿宋_GB2312" w:hint="eastAsia"/>
          <w:sz w:val="30"/>
        </w:rPr>
      </w:pPr>
    </w:p>
    <w:sectPr>
      <w:type w:val="nextPage"/>
      <w:pgSz w:w="11906" w:h="16838"/>
      <w:pgMar w:top="1247" w:right="1134" w:bottom="1247" w:left="1134" w:header="851" w:footer="992" w:gutter="0"/>
      <w:pgNumType w:fmt="decimal" w:start="4"/>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Cambria Math">
    <w:altName w:val="Palatino Linotype"/>
    <w:panose1 w:val="02040503050406030204"/>
    <w:charset w:val="00"/>
    <w:family w:val="roman"/>
    <w:pitch w:val="default"/>
    <w:sig w:usb0="A00002EF" w:usb1="420020EB" w:usb2="00000000" w:usb3="00000000" w:csb0="0000009F" w:csb1="00000000"/>
  </w:font>
  <w:font w:name="Symbol">
    <w:panose1 w:val="05050102010706020507"/>
    <w:charset w:val="02"/>
    <w:family w:val="roman"/>
    <w:pitch w:val="default"/>
    <w:sig w:usb0="00000000" w:usb1="00000000" w:usb2="00000000" w:usb3="00000000" w:csb0="80000000" w:csb1="00000000"/>
  </w:font>
  <w:font w:name="Palatino Linotype">
    <w:panose1 w:val="02040502050505030304"/>
    <w:charset w:val="00"/>
    <w:family w:val="auto"/>
    <w:pitch w:val="default"/>
    <w:sig w:usb0="E0000387" w:usb1="40000013" w:usb2="00000000" w:usb3="00000000" w:csb0="2000019F" w:csb1="00000000"/>
  </w:font>
  <w:font w:name="Arial">
    <w:panose1 w:val="020B0604020202020204"/>
    <w:charset w:val="01"/>
    <w:family w:val="swiss"/>
    <w:pitch w:val="default"/>
    <w:sig w:usb0="00007A87" w:usb1="80000000" w:usb2="00000008" w:usb3="00000000" w:csb0="400001FF" w:csb1="FFFF0000"/>
  </w:font>
  <w:font w:name="华文行楷">
    <w:altName w:val="楷体_GB2312"/>
    <w:panose1 w:val="02010800040101010101"/>
    <w:charset w:val="86"/>
    <w:family w:val="auto"/>
    <w:pitch w:val="default"/>
    <w:sig w:usb0="00000001" w:usb1="080F0000" w:usb2="00000000" w:usb3="00000000" w:csb0="00040000" w:csb1="00000000"/>
  </w:font>
  <w:font w:name="黑体">
    <w:panose1 w:val="02010600030101010101"/>
    <w:charset w:val="86"/>
    <w:family w:val="auto"/>
    <w:pitch w:val="default"/>
    <w:sig w:usb0="00000001" w:usb1="080E0000" w:usb2="00000000" w:usb3="00000000" w:csb0="00040000" w:csb1="00000000"/>
  </w:font>
  <w:font w:name="Arial Black">
    <w:panose1 w:val="020B0A04020102020204"/>
    <w:charset w:val="00"/>
    <w:family w:val="auto"/>
    <w:pitch w:val="default"/>
    <w:sig w:usb0="00000287" w:usb1="00000000" w:usb2="00000000" w:usb3="00000000" w:csb0="2000009F" w:csb1="DFD7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singleLevel"/>
    <w:tmpl w:val="00000000"/>
    <w:lvl w:ilvl="0">
      <w:start w:val="1"/>
      <w:numFmt w:val="decimal"/>
      <w:suff w:val="nothing"/>
      <w:lvlText w:val="%1、"/>
      <w:lvlJc w:val="left"/>
    </w:lvl>
  </w:abstractNum>
  <w:abstractNum w:abstractNumId="1">
    <w:nsid w:val="0000000A"/>
    <w:multiLevelType w:val="singleLevel"/>
    <w:tmpl w:val="0000000A"/>
    <w:lvl w:ilvl="0">
      <w:start w:val="1"/>
      <w:numFmt w:val="decimal"/>
      <w:suff w:val="nothing"/>
      <w:lvlText w:val="%1、"/>
      <w:lvlJc w:val="left"/>
    </w:lvl>
  </w:abstractNum>
  <w:abstractNum w:abstractNumId="2">
    <w:nsid w:val="0000000B"/>
    <w:multiLevelType w:val="singleLevel"/>
    <w:tmpl w:val="0000000B"/>
    <w:lvl w:ilvl="0">
      <w:start w:val="1"/>
      <w:numFmt w:val="decimal"/>
      <w:suff w:val="nothing"/>
      <w:lvlText w:val="%1、"/>
      <w:lvlJc w:val="left"/>
    </w:lvl>
  </w:abstractNum>
  <w:abstractNum w:abstractNumId="3">
    <w:nsid w:val="0000000D"/>
    <w:multiLevelType w:val="singleLevel"/>
    <w:tmpl w:val="0000000D"/>
    <w:lvl w:ilvl="0">
      <w:start w:val="1"/>
      <w:numFmt w:val="chineseCounting"/>
      <w:suff w:val="nothing"/>
      <w:lvlText w:val="%1、"/>
      <w:lvlJc w:val="left"/>
    </w:lvl>
  </w:abstractNum>
  <w:abstractNum w:abstractNumId="4">
    <w:nsid w:val="0000000F"/>
    <w:multiLevelType w:val="singleLevel"/>
    <w:tmpl w:val="0000000F"/>
    <w:lvl w:ilvl="0">
      <w:start w:val="1"/>
      <w:numFmt w:val="bullet"/>
      <w:lvlText w:val=""/>
      <w:lvlJc w:val="left"/>
      <w:pPr>
        <w:tabs>
          <w:tab w:val="num" w:pos="420"/>
        </w:tabs>
        <w:ind w:left="420" w:hanging="42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styleId="LineNumber">
    <w:name w:val="line number"/>
    <w:basedOn w:val="DefaultParagraphFont"/>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18"/>
    </w:rPr>
  </w:style>
  <w:style w:type="paragraph" w:styleId="DocumentMap">
    <w:name w:val="Document Map"/>
    <w:basedOn w:val="Normal"/>
    <w:pPr>
      <w:shd w:val="clear" w:color="auto" w:fill="000080"/>
    </w:p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0800405313200604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1605</Words>
  <Characters>9152</Characters>
  <Application>Microsoft Office Word</Application>
  <DocSecurity>0</DocSecurity>
  <Lines>76</Lines>
  <Paragraphs>21</Paragraphs>
  <ScaleCrop>false</ScaleCrop>
  <Company>WwW.YlmF.CoM</Company>
  <LinksUpToDate>false</LinksUpToDate>
  <CharactersWithSpaces>10736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泰发大厦物业管理服务方案</dc:title>
  <dc:creator>YlmF</dc:creator>
  <cp:lastModifiedBy>SKYFREE</cp:lastModifiedBy>
  <cp:revision>36</cp:revision>
  <cp:lastPrinted>2010-01-06T05:08:00Z</cp:lastPrinted>
  <dcterms:created xsi:type="dcterms:W3CDTF">2003-01-26T13:41:00Z</dcterms:created>
  <dcterms:modified xsi:type="dcterms:W3CDTF">2010-03-02T14:03:00Z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2052-6.6.0.2877</vt:lpwstr>
  </property>
</Properties>
</file>