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光端机相关行业公司成立报告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8" w:history="1">
        <w:r>
          <w:rPr>
            <w:rFonts w:ascii="仿宋" w:eastAsia="仿宋" w:hAnsi="仿宋" w:cs="仿宋" w:hint="eastAsia"/>
            <w:lang w:eastAsia="zh-CN"/>
          </w:rPr>
          <w:t>二、光端机筹建公司基本信息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四、光端机项目概况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2" w:history="1">
        <w:r>
          <w:rPr>
            <w:rFonts w:ascii="仿宋" w:eastAsia="仿宋" w:hAnsi="仿宋" w:cs="仿宋" w:hint="eastAsia"/>
            <w:lang w:eastAsia="zh-CN"/>
          </w:rPr>
          <w:t>(二)、光端机项目提出的理由</w:t>
        </w:r>
        <w:r>
          <w:tab/>
        </w:r>
        <w:r>
          <w:fldChar w:fldCharType="begin"/>
        </w:r>
        <w:r>
          <w:instrText xml:space="preserve"> PAGEREF _Toc18892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(三)、光端机项目选址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_Toc24110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eastAsia="zh-CN"/>
          </w:rPr>
          <w:t>(六)、光端机项目投资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0" w:history="1">
        <w:r>
          <w:rPr>
            <w:rFonts w:ascii="仿宋" w:eastAsia="仿宋" w:hAnsi="仿宋" w:cs="仿宋" w:hint="eastAsia"/>
            <w:lang w:eastAsia="zh-CN"/>
          </w:rPr>
          <w:t>(七)、光端机项目进度规划</w:t>
        </w:r>
        <w:r>
          <w:tab/>
        </w:r>
        <w:r>
          <w:fldChar w:fldCharType="begin"/>
        </w:r>
        <w:r>
          <w:instrText xml:space="preserve"> PAGEREF _Toc6190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(九)、光端机项目综合评价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(一)、光端机项目选址原则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(五)、光端机项目选址综合评价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(五)、光端机项目总投资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(一)、光端机项目背景分析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(二)、光端机项目建设必要性分析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(一)、光端机项目进度安排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(二)、光端机项目实施保障措施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_Toc9310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_Toc8232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_Toc22273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6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33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https://d.book118.com/608046045131006036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光端机相关行业公司成立报告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光端机相关行业公司成立报告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光端机相关行业公司成立报告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光端机相关行业公司成立报告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光端机相关行业公司成立报告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46045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2024-02-03T08:05:00Z</dcterms:created>
  <dcterms:modified xsi:type="dcterms:W3CDTF">2024-02-03T08:06:01Z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C3973F457DCA4580B90558C36DA927B8_11</vt:lpwstr>
  </property>
  <property fmtid="{D5CDD505-2E9C-101B-9397-08002B2CF9AE}" pid="3" name="KSOProductBuildVer">
    <vt:lpwstr>2052-12.1.0.16250</vt:lpwstr>
  </property>
</Properties>
</file>