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阳离子染料项目计划设计方案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36" w:history="1">
        <w:r>
          <w:rPr>
            <w:rFonts w:ascii="仿宋" w:eastAsia="仿宋" w:hAnsi="仿宋" w:cs="仿宋" w:hint="eastAsia"/>
            <w:lang w:eastAsia="zh-CN"/>
          </w:rPr>
          <w:t>前言</w:t>
        </w:r>
        <w:r>
          <w:tab/>
        </w:r>
        <w:r>
          <w:fldChar w:fldCharType="begin"/>
        </w:r>
        <w:r>
          <w:instrText xml:space="preserve"> PAGEREF _Toc26236 \h </w:instrText>
        </w:r>
        <w:r>
          <w:fldChar w:fldCharType="separate"/>
        </w:r>
        <w:r>
          <w:t>3</w:t>
        </w:r>
        <w:r>
          <w:fldChar w:fldCharType="end"/>
        </w:r>
      </w:hyperlink>
    </w:p>
    <w:p>
      <w:pPr>
        <w:pStyle w:val="TOC1"/>
        <w:tabs>
          <w:tab w:val="right" w:leader="dot" w:pos="8306"/>
        </w:tabs>
      </w:pPr>
      <w:hyperlink w:anchor="_Toc3461" w:history="1">
        <w:r>
          <w:rPr>
            <w:rFonts w:ascii="仿宋" w:eastAsia="仿宋" w:hAnsi="仿宋" w:cs="仿宋" w:hint="eastAsia"/>
            <w:lang w:eastAsia="zh-CN"/>
          </w:rPr>
          <w:t>一、阳离子染料项目绩效评估</w:t>
        </w:r>
        <w:r>
          <w:tab/>
        </w:r>
        <w:r>
          <w:fldChar w:fldCharType="begin"/>
        </w:r>
        <w:r>
          <w:instrText xml:space="preserve"> PAGEREF _Toc3461 \h </w:instrText>
        </w:r>
        <w:r>
          <w:fldChar w:fldCharType="separate"/>
        </w:r>
        <w:r>
          <w:t>3</w:t>
        </w:r>
        <w:r>
          <w:fldChar w:fldCharType="end"/>
        </w:r>
      </w:hyperlink>
    </w:p>
    <w:p>
      <w:pPr>
        <w:pStyle w:val="TOC2"/>
        <w:tabs>
          <w:tab w:val="right" w:leader="dot" w:pos="8306"/>
        </w:tabs>
      </w:pPr>
      <w:hyperlink w:anchor="_Toc24319" w:history="1">
        <w:r>
          <w:rPr>
            <w:rFonts w:ascii="仿宋" w:eastAsia="仿宋" w:hAnsi="仿宋" w:cs="仿宋" w:hint="eastAsia"/>
            <w:lang w:eastAsia="zh-CN"/>
          </w:rPr>
          <w:t>(一)、绩效评估指标</w:t>
        </w:r>
        <w:r>
          <w:tab/>
        </w:r>
        <w:r>
          <w:fldChar w:fldCharType="begin"/>
        </w:r>
        <w:r>
          <w:instrText xml:space="preserve"> PAGEREF _Toc24319 \h </w:instrText>
        </w:r>
        <w:r>
          <w:fldChar w:fldCharType="separate"/>
        </w:r>
        <w:r>
          <w:t>3</w:t>
        </w:r>
        <w:r>
          <w:fldChar w:fldCharType="end"/>
        </w:r>
      </w:hyperlink>
    </w:p>
    <w:p>
      <w:pPr>
        <w:pStyle w:val="TOC2"/>
        <w:tabs>
          <w:tab w:val="right" w:leader="dot" w:pos="8306"/>
        </w:tabs>
      </w:pPr>
      <w:hyperlink w:anchor="_Toc4930" w:history="1">
        <w:r>
          <w:rPr>
            <w:rFonts w:ascii="仿宋" w:eastAsia="仿宋" w:hAnsi="仿宋" w:cs="仿宋" w:hint="eastAsia"/>
            <w:lang w:eastAsia="zh-CN"/>
          </w:rPr>
          <w:t>(二)、绩效评估方法</w:t>
        </w:r>
        <w:r>
          <w:tab/>
        </w:r>
        <w:r>
          <w:fldChar w:fldCharType="begin"/>
        </w:r>
        <w:r>
          <w:instrText xml:space="preserve"> PAGEREF _Toc4930 \h </w:instrText>
        </w:r>
        <w:r>
          <w:fldChar w:fldCharType="separate"/>
        </w:r>
        <w:r>
          <w:t>4</w:t>
        </w:r>
        <w:r>
          <w:fldChar w:fldCharType="end"/>
        </w:r>
      </w:hyperlink>
    </w:p>
    <w:p>
      <w:pPr>
        <w:pStyle w:val="TOC2"/>
        <w:tabs>
          <w:tab w:val="right" w:leader="dot" w:pos="8306"/>
        </w:tabs>
      </w:pPr>
      <w:hyperlink w:anchor="_Toc18194" w:history="1">
        <w:r>
          <w:rPr>
            <w:rFonts w:ascii="仿宋" w:eastAsia="仿宋" w:hAnsi="仿宋" w:cs="仿宋" w:hint="eastAsia"/>
            <w:lang w:eastAsia="zh-CN"/>
          </w:rPr>
          <w:t>(三)、绩效评估周期</w:t>
        </w:r>
        <w:r>
          <w:tab/>
        </w:r>
        <w:r>
          <w:fldChar w:fldCharType="begin"/>
        </w:r>
        <w:r>
          <w:instrText xml:space="preserve"> PAGEREF _Toc18194 \h </w:instrText>
        </w:r>
        <w:r>
          <w:fldChar w:fldCharType="separate"/>
        </w:r>
        <w:r>
          <w:t>5</w:t>
        </w:r>
        <w:r>
          <w:fldChar w:fldCharType="end"/>
        </w:r>
      </w:hyperlink>
    </w:p>
    <w:p>
      <w:pPr>
        <w:pStyle w:val="TOC1"/>
        <w:tabs>
          <w:tab w:val="right" w:leader="dot" w:pos="8306"/>
        </w:tabs>
      </w:pPr>
      <w:hyperlink w:anchor="_Toc6604" w:history="1">
        <w:r>
          <w:rPr>
            <w:rFonts w:ascii="仿宋" w:eastAsia="仿宋" w:hAnsi="仿宋" w:cs="仿宋" w:hint="eastAsia"/>
            <w:lang w:eastAsia="zh-CN"/>
          </w:rPr>
          <w:t>二、产品规划分析</w:t>
        </w:r>
        <w:r>
          <w:tab/>
        </w:r>
        <w:r>
          <w:fldChar w:fldCharType="begin"/>
        </w:r>
        <w:r>
          <w:instrText xml:space="preserve"> PAGEREF _Toc6604 \h </w:instrText>
        </w:r>
        <w:r>
          <w:fldChar w:fldCharType="separate"/>
        </w:r>
        <w:r>
          <w:t>6</w:t>
        </w:r>
        <w:r>
          <w:fldChar w:fldCharType="end"/>
        </w:r>
      </w:hyperlink>
    </w:p>
    <w:p>
      <w:pPr>
        <w:pStyle w:val="TOC2"/>
        <w:tabs>
          <w:tab w:val="right" w:leader="dot" w:pos="8306"/>
        </w:tabs>
      </w:pPr>
      <w:hyperlink w:anchor="_Toc30543" w:history="1">
        <w:r>
          <w:rPr>
            <w:rFonts w:ascii="仿宋" w:eastAsia="仿宋" w:hAnsi="仿宋" w:cs="仿宋" w:hint="eastAsia"/>
            <w:lang w:eastAsia="zh-CN"/>
          </w:rPr>
          <w:t>(一)、产品规划</w:t>
        </w:r>
        <w:r>
          <w:tab/>
        </w:r>
        <w:r>
          <w:fldChar w:fldCharType="begin"/>
        </w:r>
        <w:r>
          <w:instrText xml:space="preserve"> PAGEREF _Toc30543 \h </w:instrText>
        </w:r>
        <w:r>
          <w:fldChar w:fldCharType="separate"/>
        </w:r>
        <w:r>
          <w:t>6</w:t>
        </w:r>
        <w:r>
          <w:fldChar w:fldCharType="end"/>
        </w:r>
      </w:hyperlink>
    </w:p>
    <w:p>
      <w:pPr>
        <w:pStyle w:val="TOC2"/>
        <w:tabs>
          <w:tab w:val="right" w:leader="dot" w:pos="8306"/>
        </w:tabs>
      </w:pPr>
      <w:hyperlink w:anchor="_Toc15651" w:history="1">
        <w:r>
          <w:rPr>
            <w:rFonts w:ascii="仿宋" w:eastAsia="仿宋" w:hAnsi="仿宋" w:cs="仿宋" w:hint="eastAsia"/>
            <w:lang w:eastAsia="zh-CN"/>
          </w:rPr>
          <w:t>(二)、建设规模</w:t>
        </w:r>
        <w:r>
          <w:tab/>
        </w:r>
        <w:r>
          <w:fldChar w:fldCharType="begin"/>
        </w:r>
        <w:r>
          <w:instrText xml:space="preserve"> PAGEREF _Toc15651 \h </w:instrText>
        </w:r>
        <w:r>
          <w:fldChar w:fldCharType="separate"/>
        </w:r>
        <w:r>
          <w:t>7</w:t>
        </w:r>
        <w:r>
          <w:fldChar w:fldCharType="end"/>
        </w:r>
      </w:hyperlink>
    </w:p>
    <w:p>
      <w:pPr>
        <w:pStyle w:val="TOC1"/>
        <w:tabs>
          <w:tab w:val="right" w:leader="dot" w:pos="8306"/>
        </w:tabs>
      </w:pPr>
      <w:hyperlink w:anchor="_Toc29248" w:history="1">
        <w:r>
          <w:rPr>
            <w:rFonts w:ascii="仿宋" w:eastAsia="仿宋" w:hAnsi="仿宋" w:cs="仿宋" w:hint="eastAsia"/>
            <w:lang w:eastAsia="zh-CN"/>
          </w:rPr>
          <w:t>三、阳离子染料项目土建工程</w:t>
        </w:r>
        <w:r>
          <w:tab/>
        </w:r>
        <w:r>
          <w:fldChar w:fldCharType="begin"/>
        </w:r>
        <w:r>
          <w:instrText xml:space="preserve"> PAGEREF _Toc29248 \h </w:instrText>
        </w:r>
        <w:r>
          <w:fldChar w:fldCharType="separate"/>
        </w:r>
        <w:r>
          <w:t>8</w:t>
        </w:r>
        <w:r>
          <w:fldChar w:fldCharType="end"/>
        </w:r>
      </w:hyperlink>
    </w:p>
    <w:p>
      <w:pPr>
        <w:pStyle w:val="TOC2"/>
        <w:tabs>
          <w:tab w:val="right" w:leader="dot" w:pos="8306"/>
        </w:tabs>
      </w:pPr>
      <w:hyperlink w:anchor="_Toc6668" w:history="1">
        <w:r>
          <w:rPr>
            <w:rFonts w:ascii="仿宋" w:eastAsia="仿宋" w:hAnsi="仿宋" w:cs="仿宋" w:hint="eastAsia"/>
            <w:lang w:eastAsia="zh-CN"/>
          </w:rPr>
          <w:t>(一)、建筑工程设计原则</w:t>
        </w:r>
        <w:r>
          <w:tab/>
        </w:r>
        <w:r>
          <w:fldChar w:fldCharType="begin"/>
        </w:r>
        <w:r>
          <w:instrText xml:space="preserve"> PAGEREF _Toc6668 \h </w:instrText>
        </w:r>
        <w:r>
          <w:fldChar w:fldCharType="separate"/>
        </w:r>
        <w:r>
          <w:t>8</w:t>
        </w:r>
        <w:r>
          <w:fldChar w:fldCharType="end"/>
        </w:r>
      </w:hyperlink>
    </w:p>
    <w:p>
      <w:pPr>
        <w:pStyle w:val="TOC2"/>
        <w:tabs>
          <w:tab w:val="right" w:leader="dot" w:pos="8306"/>
        </w:tabs>
      </w:pPr>
      <w:hyperlink w:anchor="_Toc31856" w:history="1">
        <w:r>
          <w:rPr>
            <w:rFonts w:ascii="仿宋" w:eastAsia="仿宋" w:hAnsi="仿宋" w:cs="仿宋" w:hint="eastAsia"/>
            <w:lang w:eastAsia="zh-CN"/>
          </w:rPr>
          <w:t>(二)、土建工程设计年限及安全等级</w:t>
        </w:r>
        <w:r>
          <w:tab/>
        </w:r>
        <w:r>
          <w:fldChar w:fldCharType="begin"/>
        </w:r>
        <w:r>
          <w:instrText xml:space="preserve"> PAGEREF _Toc31856 \h </w:instrText>
        </w:r>
        <w:r>
          <w:fldChar w:fldCharType="separate"/>
        </w:r>
        <w:r>
          <w:t>9</w:t>
        </w:r>
        <w:r>
          <w:fldChar w:fldCharType="end"/>
        </w:r>
      </w:hyperlink>
    </w:p>
    <w:p>
      <w:pPr>
        <w:pStyle w:val="TOC2"/>
        <w:tabs>
          <w:tab w:val="right" w:leader="dot" w:pos="8306"/>
        </w:tabs>
      </w:pPr>
      <w:hyperlink w:anchor="_Toc31320" w:history="1">
        <w:r>
          <w:rPr>
            <w:rFonts w:ascii="仿宋" w:eastAsia="仿宋" w:hAnsi="仿宋" w:cs="仿宋" w:hint="eastAsia"/>
            <w:lang w:eastAsia="zh-CN"/>
          </w:rPr>
          <w:t>(三)、建筑工程设计总体要求</w:t>
        </w:r>
        <w:r>
          <w:tab/>
        </w:r>
        <w:r>
          <w:fldChar w:fldCharType="begin"/>
        </w:r>
        <w:r>
          <w:instrText xml:space="preserve"> PAGEREF _Toc31320 \h </w:instrText>
        </w:r>
        <w:r>
          <w:fldChar w:fldCharType="separate"/>
        </w:r>
        <w:r>
          <w:t>10</w:t>
        </w:r>
        <w:r>
          <w:fldChar w:fldCharType="end"/>
        </w:r>
      </w:hyperlink>
    </w:p>
    <w:p>
      <w:pPr>
        <w:pStyle w:val="TOC2"/>
        <w:tabs>
          <w:tab w:val="right" w:leader="dot" w:pos="8306"/>
        </w:tabs>
      </w:pPr>
      <w:hyperlink w:anchor="_Toc14872" w:history="1">
        <w:r>
          <w:rPr>
            <w:rFonts w:ascii="仿宋" w:eastAsia="仿宋" w:hAnsi="仿宋" w:cs="仿宋" w:hint="eastAsia"/>
            <w:lang w:eastAsia="zh-CN"/>
          </w:rPr>
          <w:t>(四)、土建工程建设指标</w:t>
        </w:r>
        <w:r>
          <w:tab/>
        </w:r>
        <w:r>
          <w:fldChar w:fldCharType="begin"/>
        </w:r>
        <w:r>
          <w:instrText xml:space="preserve"> PAGEREF _Toc14872 \h </w:instrText>
        </w:r>
        <w:r>
          <w:fldChar w:fldCharType="separate"/>
        </w:r>
        <w:r>
          <w:t>11</w:t>
        </w:r>
        <w:r>
          <w:fldChar w:fldCharType="end"/>
        </w:r>
      </w:hyperlink>
    </w:p>
    <w:p>
      <w:pPr>
        <w:pStyle w:val="TOC1"/>
        <w:tabs>
          <w:tab w:val="right" w:leader="dot" w:pos="8306"/>
        </w:tabs>
      </w:pPr>
      <w:hyperlink w:anchor="_Toc5213" w:history="1">
        <w:r>
          <w:rPr>
            <w:rFonts w:ascii="仿宋" w:eastAsia="仿宋" w:hAnsi="仿宋" w:cs="仿宋" w:hint="eastAsia"/>
            <w:lang w:eastAsia="zh-CN"/>
          </w:rPr>
          <w:t>四、阳离子染料项目文档管理</w:t>
        </w:r>
        <w:r>
          <w:tab/>
        </w:r>
        <w:r>
          <w:fldChar w:fldCharType="begin"/>
        </w:r>
        <w:r>
          <w:instrText xml:space="preserve"> PAGEREF _Toc5213 \h </w:instrText>
        </w:r>
        <w:r>
          <w:fldChar w:fldCharType="separate"/>
        </w:r>
        <w:r>
          <w:t>11</w:t>
        </w:r>
        <w:r>
          <w:fldChar w:fldCharType="end"/>
        </w:r>
      </w:hyperlink>
    </w:p>
    <w:p>
      <w:pPr>
        <w:pStyle w:val="TOC2"/>
        <w:tabs>
          <w:tab w:val="right" w:leader="dot" w:pos="8306"/>
        </w:tabs>
      </w:pPr>
      <w:hyperlink w:anchor="_Toc10028" w:history="1">
        <w:r>
          <w:rPr>
            <w:rFonts w:ascii="仿宋" w:eastAsia="仿宋" w:hAnsi="仿宋" w:cs="仿宋" w:hint="eastAsia"/>
            <w:lang w:eastAsia="zh-CN"/>
          </w:rPr>
          <w:t>(一)、文档编制与审查</w:t>
        </w:r>
        <w:r>
          <w:tab/>
        </w:r>
        <w:r>
          <w:fldChar w:fldCharType="begin"/>
        </w:r>
        <w:r>
          <w:instrText xml:space="preserve"> PAGEREF _Toc10028 \h </w:instrText>
        </w:r>
        <w:r>
          <w:fldChar w:fldCharType="separate"/>
        </w:r>
        <w:r>
          <w:t>11</w:t>
        </w:r>
        <w:r>
          <w:fldChar w:fldCharType="end"/>
        </w:r>
      </w:hyperlink>
    </w:p>
    <w:p>
      <w:pPr>
        <w:pStyle w:val="TOC2"/>
        <w:tabs>
          <w:tab w:val="right" w:leader="dot" w:pos="8306"/>
        </w:tabs>
      </w:pPr>
      <w:hyperlink w:anchor="_Toc32596" w:history="1">
        <w:r>
          <w:rPr>
            <w:rFonts w:ascii="仿宋" w:eastAsia="仿宋" w:hAnsi="仿宋" w:cs="仿宋" w:hint="eastAsia"/>
            <w:lang w:eastAsia="zh-CN"/>
          </w:rPr>
          <w:t>(二)、文档发布与分发</w:t>
        </w:r>
        <w:r>
          <w:tab/>
        </w:r>
        <w:r>
          <w:fldChar w:fldCharType="begin"/>
        </w:r>
        <w:r>
          <w:instrText xml:space="preserve"> PAGEREF _Toc32596 \h </w:instrText>
        </w:r>
        <w:r>
          <w:fldChar w:fldCharType="separate"/>
        </w:r>
        <w:r>
          <w:t>13</w:t>
        </w:r>
        <w:r>
          <w:fldChar w:fldCharType="end"/>
        </w:r>
      </w:hyperlink>
    </w:p>
    <w:p>
      <w:pPr>
        <w:pStyle w:val="TOC2"/>
        <w:tabs>
          <w:tab w:val="right" w:leader="dot" w:pos="8306"/>
        </w:tabs>
      </w:pPr>
      <w:hyperlink w:anchor="_Toc9425" w:history="1">
        <w:r>
          <w:rPr>
            <w:rFonts w:ascii="仿宋" w:eastAsia="仿宋" w:hAnsi="仿宋" w:cs="仿宋" w:hint="eastAsia"/>
            <w:lang w:eastAsia="zh-CN"/>
          </w:rPr>
          <w:t>(三)、文档存档与归档</w:t>
        </w:r>
        <w:r>
          <w:tab/>
        </w:r>
        <w:r>
          <w:fldChar w:fldCharType="begin"/>
        </w:r>
        <w:r>
          <w:instrText xml:space="preserve"> PAGEREF _Toc9425 \h </w:instrText>
        </w:r>
        <w:r>
          <w:fldChar w:fldCharType="separate"/>
        </w:r>
        <w:r>
          <w:t>13</w:t>
        </w:r>
        <w:r>
          <w:fldChar w:fldCharType="end"/>
        </w:r>
      </w:hyperlink>
    </w:p>
    <w:p>
      <w:pPr>
        <w:pStyle w:val="TOC1"/>
        <w:tabs>
          <w:tab w:val="right" w:leader="dot" w:pos="8306"/>
        </w:tabs>
      </w:pPr>
      <w:hyperlink w:anchor="_Toc19312" w:history="1">
        <w:r>
          <w:rPr>
            <w:rFonts w:ascii="仿宋" w:eastAsia="仿宋" w:hAnsi="仿宋" w:cs="仿宋" w:hint="eastAsia"/>
            <w:lang w:eastAsia="zh-CN"/>
          </w:rPr>
          <w:t>五、阳离子染料项目建设背景及必要性分析</w:t>
        </w:r>
        <w:r>
          <w:tab/>
        </w:r>
        <w:r>
          <w:fldChar w:fldCharType="begin"/>
        </w:r>
        <w:r>
          <w:instrText xml:space="preserve"> PAGEREF _Toc19312 \h </w:instrText>
        </w:r>
        <w:r>
          <w:fldChar w:fldCharType="separate"/>
        </w:r>
        <w:r>
          <w:t>15</w:t>
        </w:r>
        <w:r>
          <w:fldChar w:fldCharType="end"/>
        </w:r>
      </w:hyperlink>
    </w:p>
    <w:p>
      <w:pPr>
        <w:pStyle w:val="TOC2"/>
        <w:tabs>
          <w:tab w:val="right" w:leader="dot" w:pos="8306"/>
        </w:tabs>
      </w:pPr>
      <w:hyperlink w:anchor="_Toc28546" w:history="1">
        <w:r>
          <w:rPr>
            <w:rFonts w:ascii="仿宋" w:eastAsia="仿宋" w:hAnsi="仿宋" w:cs="仿宋" w:hint="eastAsia"/>
            <w:lang w:eastAsia="zh-CN"/>
          </w:rPr>
          <w:t>(一)、阳离子染料项目背景分析</w:t>
        </w:r>
        <w:r>
          <w:tab/>
        </w:r>
        <w:r>
          <w:fldChar w:fldCharType="begin"/>
        </w:r>
        <w:r>
          <w:instrText xml:space="preserve"> PAGEREF _Toc28546 \h </w:instrText>
        </w:r>
        <w:r>
          <w:fldChar w:fldCharType="separate"/>
        </w:r>
        <w:r>
          <w:t>15</w:t>
        </w:r>
        <w:r>
          <w:fldChar w:fldCharType="end"/>
        </w:r>
      </w:hyperlink>
    </w:p>
    <w:p>
      <w:pPr>
        <w:pStyle w:val="TOC2"/>
        <w:tabs>
          <w:tab w:val="right" w:leader="dot" w:pos="8306"/>
        </w:tabs>
      </w:pPr>
      <w:hyperlink w:anchor="_Toc25582" w:history="1">
        <w:r>
          <w:rPr>
            <w:rFonts w:ascii="仿宋" w:eastAsia="仿宋" w:hAnsi="仿宋" w:cs="仿宋" w:hint="eastAsia"/>
            <w:lang w:eastAsia="zh-CN"/>
          </w:rPr>
          <w:t>(二)、阳离子染料项目建设必要性分析</w:t>
        </w:r>
        <w:r>
          <w:tab/>
        </w:r>
        <w:r>
          <w:fldChar w:fldCharType="begin"/>
        </w:r>
        <w:r>
          <w:instrText xml:space="preserve"> PAGEREF _Toc25582 \h </w:instrText>
        </w:r>
        <w:r>
          <w:fldChar w:fldCharType="separate"/>
        </w:r>
        <w:r>
          <w:t>16</w:t>
        </w:r>
        <w:r>
          <w:fldChar w:fldCharType="end"/>
        </w:r>
      </w:hyperlink>
    </w:p>
    <w:p>
      <w:pPr>
        <w:pStyle w:val="TOC1"/>
        <w:tabs>
          <w:tab w:val="right" w:leader="dot" w:pos="8306"/>
        </w:tabs>
      </w:pPr>
      <w:hyperlink w:anchor="_Toc11124" w:history="1">
        <w:r>
          <w:rPr>
            <w:rFonts w:ascii="仿宋" w:eastAsia="仿宋" w:hAnsi="仿宋" w:cs="仿宋" w:hint="eastAsia"/>
            <w:lang w:eastAsia="zh-CN"/>
          </w:rPr>
          <w:t>六、阳离子染料项目选址可行性分析</w:t>
        </w:r>
        <w:r>
          <w:tab/>
        </w:r>
        <w:r>
          <w:fldChar w:fldCharType="begin"/>
        </w:r>
        <w:r>
          <w:instrText xml:space="preserve"> PAGEREF _Toc11124 \h </w:instrText>
        </w:r>
        <w:r>
          <w:fldChar w:fldCharType="separate"/>
        </w:r>
        <w:r>
          <w:t>18</w:t>
        </w:r>
        <w:r>
          <w:fldChar w:fldCharType="end"/>
        </w:r>
      </w:hyperlink>
    </w:p>
    <w:p>
      <w:pPr>
        <w:pStyle w:val="TOC2"/>
        <w:tabs>
          <w:tab w:val="right" w:leader="dot" w:pos="8306"/>
        </w:tabs>
      </w:pPr>
      <w:hyperlink w:anchor="_Toc21106" w:history="1">
        <w:r>
          <w:rPr>
            <w:rFonts w:ascii="仿宋" w:eastAsia="仿宋" w:hAnsi="仿宋" w:cs="仿宋" w:hint="eastAsia"/>
            <w:lang w:eastAsia="zh-CN"/>
          </w:rPr>
          <w:t>(一)、阳离子染料项目选址</w:t>
        </w:r>
        <w:r>
          <w:tab/>
        </w:r>
        <w:r>
          <w:fldChar w:fldCharType="begin"/>
        </w:r>
        <w:r>
          <w:instrText xml:space="preserve"> PAGEREF _Toc21106 \h </w:instrText>
        </w:r>
        <w:r>
          <w:fldChar w:fldCharType="separate"/>
        </w:r>
        <w:r>
          <w:t>18</w:t>
        </w:r>
        <w:r>
          <w:fldChar w:fldCharType="end"/>
        </w:r>
      </w:hyperlink>
    </w:p>
    <w:p>
      <w:pPr>
        <w:pStyle w:val="TOC2"/>
        <w:tabs>
          <w:tab w:val="right" w:leader="dot" w:pos="8306"/>
        </w:tabs>
      </w:pPr>
      <w:hyperlink w:anchor="_Toc24822" w:history="1">
        <w:r>
          <w:rPr>
            <w:rFonts w:ascii="仿宋" w:eastAsia="仿宋" w:hAnsi="仿宋" w:cs="仿宋" w:hint="eastAsia"/>
            <w:lang w:eastAsia="zh-CN"/>
          </w:rPr>
          <w:t>(二)、用地控制指标</w:t>
        </w:r>
        <w:r>
          <w:tab/>
        </w:r>
        <w:r>
          <w:fldChar w:fldCharType="begin"/>
        </w:r>
        <w:r>
          <w:instrText xml:space="preserve"> PAGEREF _Toc24822 \h </w:instrText>
        </w:r>
        <w:r>
          <w:fldChar w:fldCharType="separate"/>
        </w:r>
        <w:r>
          <w:t>18</w:t>
        </w:r>
        <w:r>
          <w:fldChar w:fldCharType="end"/>
        </w:r>
      </w:hyperlink>
    </w:p>
    <w:p>
      <w:pPr>
        <w:pStyle w:val="TOC2"/>
        <w:tabs>
          <w:tab w:val="right" w:leader="dot" w:pos="8306"/>
        </w:tabs>
      </w:pPr>
      <w:hyperlink w:anchor="_Toc30308" w:history="1">
        <w:r>
          <w:rPr>
            <w:rFonts w:ascii="仿宋" w:eastAsia="仿宋" w:hAnsi="仿宋" w:cs="仿宋" w:hint="eastAsia"/>
            <w:lang w:eastAsia="zh-CN"/>
          </w:rPr>
          <w:t>(三)、节约用地措施</w:t>
        </w:r>
        <w:r>
          <w:tab/>
        </w:r>
        <w:r>
          <w:fldChar w:fldCharType="begin"/>
        </w:r>
        <w:r>
          <w:instrText xml:space="preserve"> PAGEREF _Toc30308 \h </w:instrText>
        </w:r>
        <w:r>
          <w:fldChar w:fldCharType="separate"/>
        </w:r>
        <w:r>
          <w:t>20</w:t>
        </w:r>
        <w:r>
          <w:fldChar w:fldCharType="end"/>
        </w:r>
      </w:hyperlink>
    </w:p>
    <w:p>
      <w:pPr>
        <w:pStyle w:val="TOC2"/>
        <w:tabs>
          <w:tab w:val="right" w:leader="dot" w:pos="8306"/>
        </w:tabs>
      </w:pPr>
      <w:hyperlink w:anchor="_Toc20697" w:history="1">
        <w:r>
          <w:rPr>
            <w:rFonts w:ascii="仿宋" w:eastAsia="仿宋" w:hAnsi="仿宋" w:cs="仿宋" w:hint="eastAsia"/>
            <w:lang w:eastAsia="zh-CN"/>
          </w:rPr>
          <w:t>(四)、总图布置方案</w:t>
        </w:r>
        <w:r>
          <w:tab/>
        </w:r>
        <w:r>
          <w:fldChar w:fldCharType="begin"/>
        </w:r>
        <w:r>
          <w:instrText xml:space="preserve"> PAGEREF _Toc20697 \h </w:instrText>
        </w:r>
        <w:r>
          <w:fldChar w:fldCharType="separate"/>
        </w:r>
        <w:r>
          <w:t>21</w:t>
        </w:r>
        <w:r>
          <w:fldChar w:fldCharType="end"/>
        </w:r>
      </w:hyperlink>
    </w:p>
    <w:p>
      <w:pPr>
        <w:pStyle w:val="TOC2"/>
        <w:tabs>
          <w:tab w:val="right" w:leader="dot" w:pos="8306"/>
        </w:tabs>
      </w:pPr>
      <w:hyperlink w:anchor="_Toc6194" w:history="1">
        <w:r>
          <w:rPr>
            <w:rFonts w:ascii="仿宋" w:eastAsia="仿宋" w:hAnsi="仿宋" w:cs="仿宋" w:hint="eastAsia"/>
            <w:lang w:eastAsia="zh-CN"/>
          </w:rPr>
          <w:t>(五)、选址综合评价</w:t>
        </w:r>
        <w:r>
          <w:tab/>
        </w:r>
        <w:r>
          <w:fldChar w:fldCharType="begin"/>
        </w:r>
        <w:r>
          <w:instrText xml:space="preserve"> PAGEREF _Toc6194 \h </w:instrText>
        </w:r>
        <w:r>
          <w:fldChar w:fldCharType="separate"/>
        </w:r>
        <w:r>
          <w:t>22</w:t>
        </w:r>
        <w:r>
          <w:fldChar w:fldCharType="end"/>
        </w:r>
      </w:hyperlink>
    </w:p>
    <w:p>
      <w:pPr>
        <w:pStyle w:val="TOC1"/>
        <w:tabs>
          <w:tab w:val="right" w:leader="dot" w:pos="8306"/>
        </w:tabs>
      </w:pPr>
      <w:hyperlink w:anchor="_Toc2348" w:history="1">
        <w:r>
          <w:rPr>
            <w:rFonts w:ascii="仿宋" w:eastAsia="仿宋" w:hAnsi="仿宋" w:cs="仿宋" w:hint="eastAsia"/>
            <w:lang w:eastAsia="zh-CN"/>
          </w:rPr>
          <w:t>七、阳离子染料项目人力资源管理</w:t>
        </w:r>
        <w:r>
          <w:tab/>
        </w:r>
        <w:r>
          <w:fldChar w:fldCharType="begin"/>
        </w:r>
        <w:r>
          <w:instrText xml:space="preserve"> PAGEREF _Toc2348 \h </w:instrText>
        </w:r>
        <w:r>
          <w:fldChar w:fldCharType="separate"/>
        </w:r>
        <w:r>
          <w:t>23</w:t>
        </w:r>
        <w:r>
          <w:fldChar w:fldCharType="end"/>
        </w:r>
      </w:hyperlink>
    </w:p>
    <w:p>
      <w:pPr>
        <w:pStyle w:val="TOC2"/>
        <w:tabs>
          <w:tab w:val="right" w:leader="dot" w:pos="8306"/>
        </w:tabs>
      </w:pPr>
      <w:hyperlink w:anchor="_Toc16287" w:history="1">
        <w:r>
          <w:rPr>
            <w:rFonts w:ascii="仿宋" w:eastAsia="仿宋" w:hAnsi="仿宋" w:cs="仿宋" w:hint="eastAsia"/>
            <w:lang w:eastAsia="zh-CN"/>
          </w:rPr>
          <w:t>(一)、建立健全的预算管理制度</w:t>
        </w:r>
        <w:r>
          <w:tab/>
        </w:r>
        <w:r>
          <w:fldChar w:fldCharType="begin"/>
        </w:r>
        <w:r>
          <w:instrText xml:space="preserve"> PAGEREF _Toc16287 \h </w:instrText>
        </w:r>
        <w:r>
          <w:fldChar w:fldCharType="separate"/>
        </w:r>
        <w:r>
          <w:t>23</w:t>
        </w:r>
        <w:r>
          <w:fldChar w:fldCharType="end"/>
        </w:r>
      </w:hyperlink>
    </w:p>
    <w:p>
      <w:pPr>
        <w:pStyle w:val="TOC2"/>
        <w:tabs>
          <w:tab w:val="right" w:leader="dot" w:pos="8306"/>
        </w:tabs>
      </w:pPr>
      <w:hyperlink w:anchor="_Toc9426" w:history="1">
        <w:r>
          <w:rPr>
            <w:rFonts w:ascii="仿宋" w:eastAsia="仿宋" w:hAnsi="仿宋" w:cs="仿宋" w:hint="eastAsia"/>
            <w:lang w:eastAsia="zh-CN"/>
          </w:rPr>
          <w:t>(二)、加强资金流动监控</w:t>
        </w:r>
        <w:r>
          <w:tab/>
        </w:r>
        <w:r>
          <w:fldChar w:fldCharType="begin"/>
        </w:r>
        <w:r>
          <w:instrText xml:space="preserve"> PAGEREF _Toc9426 \h </w:instrText>
        </w:r>
        <w:r>
          <w:fldChar w:fldCharType="separate"/>
        </w:r>
        <w:r>
          <w:t>25</w:t>
        </w:r>
        <w:r>
          <w:fldChar w:fldCharType="end"/>
        </w:r>
      </w:hyperlink>
    </w:p>
    <w:p>
      <w:pPr>
        <w:pStyle w:val="TOC2"/>
        <w:tabs>
          <w:tab w:val="right" w:leader="dot" w:pos="8306"/>
        </w:tabs>
      </w:pPr>
      <w:hyperlink w:anchor="_Toc11653" w:history="1">
        <w:r>
          <w:rPr>
            <w:rFonts w:ascii="仿宋" w:eastAsia="仿宋" w:hAnsi="仿宋" w:cs="仿宋" w:hint="eastAsia"/>
            <w:lang w:eastAsia="zh-CN"/>
          </w:rPr>
          <w:t>(三)、制定完善的风险控制机制</w:t>
        </w:r>
        <w:r>
          <w:tab/>
        </w:r>
        <w:r>
          <w:fldChar w:fldCharType="begin"/>
        </w:r>
        <w:r>
          <w:instrText xml:space="preserve"> PAGEREF _Toc11653 \h </w:instrText>
        </w:r>
        <w:r>
          <w:fldChar w:fldCharType="separate"/>
        </w:r>
        <w:r>
          <w:t>26</w:t>
        </w:r>
        <w:r>
          <w:fldChar w:fldCharType="end"/>
        </w:r>
      </w:hyperlink>
    </w:p>
    <w:p>
      <w:pPr>
        <w:pStyle w:val="TOC2"/>
        <w:tabs>
          <w:tab w:val="right" w:leader="dot" w:pos="8306"/>
        </w:tabs>
      </w:pPr>
      <w:hyperlink w:anchor="_Toc13493" w:history="1">
        <w:r>
          <w:rPr>
            <w:rFonts w:ascii="仿宋" w:eastAsia="仿宋" w:hAnsi="仿宋" w:cs="仿宋" w:hint="eastAsia"/>
            <w:lang w:eastAsia="zh-CN"/>
          </w:rPr>
          <w:t>(四)、优化成本管理</w:t>
        </w:r>
        <w:r>
          <w:tab/>
        </w:r>
        <w:r>
          <w:fldChar w:fldCharType="begin"/>
        </w:r>
        <w:r>
          <w:instrText xml:space="preserve"> PAGEREF _Toc13493 \h </w:instrText>
        </w:r>
        <w:r>
          <w:fldChar w:fldCharType="separate"/>
        </w:r>
        <w:r>
          <w:t>27</w:t>
        </w:r>
        <w:r>
          <w:fldChar w:fldCharType="end"/>
        </w:r>
      </w:hyperlink>
    </w:p>
    <w:p>
      <w:pPr>
        <w:pStyle w:val="TOC1"/>
        <w:tabs>
          <w:tab w:val="right" w:leader="dot" w:pos="8306"/>
        </w:tabs>
      </w:pPr>
      <w:hyperlink w:anchor="_Toc7352" w:history="1">
        <w:r>
          <w:rPr>
            <w:rFonts w:ascii="仿宋" w:eastAsia="仿宋" w:hAnsi="仿宋" w:cs="仿宋" w:hint="eastAsia"/>
            <w:lang w:eastAsia="zh-CN"/>
          </w:rPr>
          <w:t>八、阳离子染料项目人力资源培养与发展</w:t>
        </w:r>
        <w:r>
          <w:tab/>
        </w:r>
        <w:r>
          <w:fldChar w:fldCharType="begin"/>
        </w:r>
        <w:r>
          <w:instrText xml:space="preserve"> PAGEREF _Toc7352 \h </w:instrText>
        </w:r>
        <w:r>
          <w:fldChar w:fldCharType="separate"/>
        </w:r>
        <w:r>
          <w:t>28</w:t>
        </w:r>
        <w:r>
          <w:fldChar w:fldCharType="end"/>
        </w:r>
      </w:hyperlink>
    </w:p>
    <w:p>
      <w:pPr>
        <w:pStyle w:val="TOC2"/>
        <w:tabs>
          <w:tab w:val="right" w:leader="dot" w:pos="8306"/>
        </w:tabs>
      </w:pPr>
      <w:hyperlink w:anchor="_Toc1958" w:history="1">
        <w:r>
          <w:rPr>
            <w:rFonts w:ascii="仿宋" w:eastAsia="仿宋" w:hAnsi="仿宋" w:cs="仿宋" w:hint="eastAsia"/>
            <w:lang w:eastAsia="zh-CN"/>
          </w:rPr>
          <w:t>(一)、人才需求与规划</w:t>
        </w:r>
        <w:r>
          <w:tab/>
        </w:r>
        <w:r>
          <w:fldChar w:fldCharType="begin"/>
        </w:r>
        <w:r>
          <w:instrText xml:space="preserve"> PAGEREF _Toc1958 \h </w:instrText>
        </w:r>
        <w:r>
          <w:fldChar w:fldCharType="separate"/>
        </w:r>
        <w:r>
          <w:t>28</w:t>
        </w:r>
        <w:r>
          <w:fldChar w:fldCharType="end"/>
        </w:r>
      </w:hyperlink>
    </w:p>
    <w:p>
      <w:pPr>
        <w:pStyle w:val="TOC2"/>
        <w:tabs>
          <w:tab w:val="right" w:leader="dot" w:pos="8306"/>
        </w:tabs>
      </w:pPr>
      <w:hyperlink w:anchor="_Toc19178" w:history="1">
        <w:r>
          <w:rPr>
            <w:rFonts w:ascii="仿宋" w:eastAsia="仿宋" w:hAnsi="仿宋" w:cs="仿宋" w:hint="eastAsia"/>
            <w:lang w:eastAsia="zh-CN"/>
          </w:rPr>
          <w:t>(二)、培训与发展计划</w:t>
        </w:r>
        <w:r>
          <w:tab/>
        </w:r>
        <w:r>
          <w:fldChar w:fldCharType="begin"/>
        </w:r>
        <w:r>
          <w:instrText xml:space="preserve"> PAGEREF _Toc19178 \h </w:instrText>
        </w:r>
        <w:r>
          <w:fldChar w:fldCharType="separate"/>
        </w:r>
        <w:r>
          <w:t>29</w:t>
        </w:r>
        <w:r>
          <w:fldChar w:fldCharType="end"/>
        </w:r>
      </w:hyperlink>
    </w:p>
    <w:p>
      <w:pPr>
        <w:pStyle w:val="TOC1"/>
        <w:tabs>
          <w:tab w:val="right" w:leader="dot" w:pos="8306"/>
        </w:tabs>
      </w:pPr>
      <w:hyperlink w:anchor="_Toc28201" w:history="1">
        <w:r>
          <w:rPr>
            <w:rFonts w:ascii="仿宋" w:eastAsia="仿宋" w:hAnsi="仿宋" w:cs="仿宋" w:hint="eastAsia"/>
            <w:lang w:eastAsia="zh-CN"/>
          </w:rPr>
          <w:t>九、阳离子染料项目技术管理</w:t>
        </w:r>
        <w:r>
          <w:tab/>
        </w:r>
        <w:r>
          <w:fldChar w:fldCharType="begin"/>
        </w:r>
        <w:r>
          <w:instrText xml:space="preserve"> PAGEREF _Toc28201 \h </w:instrText>
        </w:r>
        <w:r>
          <w:fldChar w:fldCharType="separate"/>
        </w:r>
        <w:r>
          <w:t>29</w:t>
        </w:r>
        <w:r>
          <w:fldChar w:fldCharType="end"/>
        </w:r>
      </w:hyperlink>
    </w:p>
    <w:p>
      <w:pPr>
        <w:pStyle w:val="TOC2"/>
        <w:tabs>
          <w:tab w:val="right" w:leader="dot" w:pos="8306"/>
        </w:tabs>
      </w:pPr>
      <w:hyperlink w:anchor="_Toc4540" w:history="1">
        <w:r>
          <w:rPr>
            <w:rFonts w:ascii="仿宋" w:eastAsia="仿宋" w:hAnsi="仿宋" w:cs="仿宋" w:hint="eastAsia"/>
            <w:lang w:eastAsia="zh-CN"/>
          </w:rPr>
          <w:t>(一)、技术方案选用方向</w:t>
        </w:r>
        <w:r>
          <w:tab/>
        </w:r>
        <w:r>
          <w:fldChar w:fldCharType="begin"/>
        </w:r>
        <w:r>
          <w:instrText xml:space="preserve"> PAGEREF _Toc4540 \h </w:instrText>
        </w:r>
        <w:r>
          <w:fldChar w:fldCharType="separate"/>
        </w:r>
        <w:r>
          <w:t>29</w:t>
        </w:r>
        <w:r>
          <w:fldChar w:fldCharType="end"/>
        </w:r>
      </w:hyperlink>
    </w:p>
    <w:p>
      <w:pPr>
        <w:pStyle w:val="TOC2"/>
        <w:tabs>
          <w:tab w:val="right" w:leader="dot" w:pos="8306"/>
        </w:tabs>
      </w:pPr>
      <w:hyperlink w:anchor="_Toc16833" w:history="1">
        <w:r>
          <w:rPr>
            <w:rFonts w:ascii="仿宋" w:eastAsia="仿宋" w:hAnsi="仿宋" w:cs="仿宋" w:hint="eastAsia"/>
            <w:lang w:eastAsia="zh-CN"/>
          </w:rPr>
          <w:t>(二)、工艺技术方案选用原则</w:t>
        </w:r>
        <w:r>
          <w:tab/>
        </w:r>
        <w:r>
          <w:fldChar w:fldCharType="begin"/>
        </w:r>
        <w:r>
          <w:instrText xml:space="preserve"> PAGEREF _Toc16833 \h </w:instrText>
        </w:r>
        <w:r>
          <w:fldChar w:fldCharType="separate"/>
        </w:r>
        <w:r>
          <w:t>31</w:t>
        </w:r>
        <w:r>
          <w:fldChar w:fldCharType="end"/>
        </w:r>
      </w:hyperlink>
    </w:p>
    <w:p>
      <w:pPr>
        <w:pStyle w:val="TOC2"/>
        <w:tabs>
          <w:tab w:val="right" w:leader="dot" w:pos="8306"/>
        </w:tabs>
      </w:pPr>
      <w:hyperlink w:anchor="_Toc22890" w:history="1">
        <w:r>
          <w:rPr>
            <w:rFonts w:ascii="仿宋" w:eastAsia="仿宋" w:hAnsi="仿宋" w:cs="仿宋" w:hint="eastAsia"/>
            <w:lang w:eastAsia="zh-CN"/>
          </w:rPr>
          <w:t>(三)、工艺技术方案要求</w:t>
        </w:r>
        <w:r>
          <w:tab/>
        </w:r>
        <w:r>
          <w:fldChar w:fldCharType="begin"/>
        </w:r>
        <w:r>
          <w:instrText xml:space="preserve"> PAGEREF _Toc22890 \h </w:instrText>
        </w:r>
        <w:r>
          <w:fldChar w:fldCharType="separate"/>
        </w:r>
        <w:r>
          <w:t>33</w:t>
        </w:r>
        <w:r>
          <w:fldChar w:fldCharType="end"/>
        </w:r>
      </w:hyperlink>
    </w:p>
    <w:p>
      <w:pPr>
        <w:pStyle w:val="TOC1"/>
        <w:tabs>
          <w:tab w:val="right" w:leader="dot" w:pos="8306"/>
        </w:tabs>
      </w:pPr>
      <w:hyperlink w:anchor="_Toc29558" w:history="1">
        <w:r>
          <w:rPr>
            <w:rFonts w:ascii="仿宋" w:eastAsia="仿宋" w:hAnsi="仿宋" w:cs="仿宋" w:hint="eastAsia"/>
            <w:lang w:eastAsia="zh-CN"/>
          </w:rPr>
          <w:t>十、生产安全保护</w:t>
        </w:r>
        <w:r>
          <w:tab/>
        </w:r>
        <w:r>
          <w:fldChar w:fldCharType="begin"/>
        </w:r>
        <w:r>
          <w:instrText xml:space="preserve"> PAGEREF _Toc29558 \h </w:instrText>
        </w:r>
        <w:r>
          <w:fldChar w:fldCharType="separate"/>
        </w:r>
        <w:r>
          <w:t>35</w:t>
        </w:r>
        <w:r>
          <w:fldChar w:fldCharType="end"/>
        </w:r>
      </w:hyperlink>
    </w:p>
    <w:p>
      <w:pPr>
        <w:pStyle w:val="TOC2"/>
        <w:tabs>
          <w:tab w:val="right" w:leader="dot" w:pos="8306"/>
        </w:tabs>
      </w:pPr>
      <w:hyperlink w:anchor="_Toc14764" w:history="1">
        <w:r>
          <w:rPr>
            <w:rFonts w:ascii="仿宋" w:eastAsia="仿宋" w:hAnsi="仿宋" w:cs="仿宋" w:hint="eastAsia"/>
            <w:lang w:eastAsia="zh-CN"/>
          </w:rPr>
          <w:t>(一)、消防安全</w:t>
        </w:r>
        <w:r>
          <w:tab/>
        </w:r>
        <w:r>
          <w:fldChar w:fldCharType="begin"/>
        </w:r>
        <w:r>
          <w:instrText xml:space="preserve"> PAGEREF _Toc14764 \h </w:instrText>
        </w:r>
        <w:r>
          <w:fldChar w:fldCharType="separate"/>
        </w:r>
        <w:r>
          <w:t>35</w:t>
        </w:r>
        <w:r>
          <w:fldChar w:fldCharType="end"/>
        </w:r>
      </w:hyperlink>
    </w:p>
    <w:p>
      <w:pPr>
        <w:pStyle w:val="TOC2"/>
        <w:tabs>
          <w:tab w:val="right" w:leader="dot" w:pos="8306"/>
        </w:tabs>
      </w:pPr>
      <w:hyperlink w:anchor="_Toc17321" w:history="1">
        <w:r>
          <w:rPr>
            <w:rFonts w:ascii="仿宋" w:eastAsia="仿宋" w:hAnsi="仿宋" w:cs="仿宋" w:hint="eastAsia"/>
            <w:lang w:eastAsia="zh-CN"/>
          </w:rPr>
          <w:t>(二)、防火防爆总图布置措施</w:t>
        </w:r>
        <w:r>
          <w:tab/>
        </w:r>
        <w:r>
          <w:fldChar w:fldCharType="begin"/>
        </w:r>
        <w:r>
          <w:instrText xml:space="preserve"> PAGEREF _Toc17321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6" w:history="1">
        <w:r>
          <w:rPr>
            <w:rFonts w:ascii="仿宋" w:eastAsia="仿宋" w:hAnsi="仿宋" w:cs="仿宋" w:hint="eastAsia"/>
            <w:lang w:eastAsia="zh-CN"/>
          </w:rPr>
          <w:t>(三)、自然灾害防范措施</w:t>
        </w:r>
        <w:r>
          <w:tab/>
        </w:r>
        <w:r>
          <w:fldChar w:fldCharType="begin"/>
        </w:r>
        <w:r>
          <w:instrText xml:space="preserve"> PAGEREF _Toc706 \h </w:instrText>
        </w:r>
        <w:r>
          <w:fldChar w:fldCharType="separate"/>
        </w:r>
        <w:r>
          <w:t>38</w:t>
        </w:r>
        <w:r>
          <w:fldChar w:fldCharType="end"/>
        </w:r>
      </w:hyperlink>
    </w:p>
    <w:p>
      <w:pPr>
        <w:pStyle w:val="TOC2"/>
        <w:tabs>
          <w:tab w:val="right" w:leader="dot" w:pos="8306"/>
        </w:tabs>
      </w:pPr>
      <w:hyperlink w:anchor="_Toc5495" w:history="1">
        <w:r>
          <w:rPr>
            <w:rFonts w:ascii="仿宋" w:eastAsia="仿宋" w:hAnsi="仿宋" w:cs="仿宋" w:hint="eastAsia"/>
            <w:lang w:eastAsia="zh-CN"/>
          </w:rPr>
          <w:t>(四)、安全色及安全标志使用要求</w:t>
        </w:r>
        <w:r>
          <w:tab/>
        </w:r>
        <w:r>
          <w:fldChar w:fldCharType="begin"/>
        </w:r>
        <w:r>
          <w:instrText xml:space="preserve"> PAGEREF _Toc5495 \h </w:instrText>
        </w:r>
        <w:r>
          <w:fldChar w:fldCharType="separate"/>
        </w:r>
        <w:r>
          <w:t>39</w:t>
        </w:r>
        <w:r>
          <w:fldChar w:fldCharType="end"/>
        </w:r>
      </w:hyperlink>
    </w:p>
    <w:p>
      <w:pPr>
        <w:pStyle w:val="TOC2"/>
        <w:tabs>
          <w:tab w:val="right" w:leader="dot" w:pos="8306"/>
        </w:tabs>
      </w:pPr>
      <w:hyperlink w:anchor="_Toc30664" w:history="1">
        <w:r>
          <w:rPr>
            <w:rFonts w:ascii="仿宋" w:eastAsia="仿宋" w:hAnsi="仿宋" w:cs="仿宋" w:hint="eastAsia"/>
            <w:lang w:eastAsia="zh-CN"/>
          </w:rPr>
          <w:t>(五)、防尘防毒措施</w:t>
        </w:r>
        <w:r>
          <w:tab/>
        </w:r>
        <w:r>
          <w:fldChar w:fldCharType="begin"/>
        </w:r>
        <w:r>
          <w:instrText xml:space="preserve"> PAGEREF _Toc30664 \h </w:instrText>
        </w:r>
        <w:r>
          <w:fldChar w:fldCharType="separate"/>
        </w:r>
        <w:r>
          <w:t>40</w:t>
        </w:r>
        <w:r>
          <w:fldChar w:fldCharType="end"/>
        </w:r>
      </w:hyperlink>
    </w:p>
    <w:p>
      <w:pPr>
        <w:pStyle w:val="TOC2"/>
        <w:tabs>
          <w:tab w:val="right" w:leader="dot" w:pos="8306"/>
        </w:tabs>
      </w:pPr>
      <w:hyperlink w:anchor="_Toc8756" w:history="1">
        <w:r>
          <w:rPr>
            <w:rFonts w:ascii="仿宋" w:eastAsia="仿宋" w:hAnsi="仿宋" w:cs="仿宋" w:hint="eastAsia"/>
            <w:lang w:eastAsia="zh-CN"/>
          </w:rPr>
          <w:t>(六)、防静电、触电防护及防雷措施</w:t>
        </w:r>
        <w:r>
          <w:tab/>
        </w:r>
        <w:r>
          <w:fldChar w:fldCharType="begin"/>
        </w:r>
        <w:r>
          <w:instrText xml:space="preserve"> PAGEREF _Toc8756 \h </w:instrText>
        </w:r>
        <w:r>
          <w:fldChar w:fldCharType="separate"/>
        </w:r>
        <w:r>
          <w:t>41</w:t>
        </w:r>
        <w:r>
          <w:fldChar w:fldCharType="end"/>
        </w:r>
      </w:hyperlink>
    </w:p>
    <w:p>
      <w:pPr>
        <w:pStyle w:val="TOC2"/>
        <w:tabs>
          <w:tab w:val="right" w:leader="dot" w:pos="8306"/>
        </w:tabs>
      </w:pPr>
      <w:hyperlink w:anchor="_Toc3268" w:history="1">
        <w:r>
          <w:rPr>
            <w:rFonts w:ascii="仿宋" w:eastAsia="仿宋" w:hAnsi="仿宋" w:cs="仿宋" w:hint="eastAsia"/>
            <w:lang w:eastAsia="zh-CN"/>
          </w:rPr>
          <w:t>(七)、机械设备安全保障措施</w:t>
        </w:r>
        <w:r>
          <w:tab/>
        </w:r>
        <w:r>
          <w:fldChar w:fldCharType="begin"/>
        </w:r>
        <w:r>
          <w:instrText xml:space="preserve"> PAGEREF _Toc3268 \h </w:instrText>
        </w:r>
        <w:r>
          <w:fldChar w:fldCharType="separate"/>
        </w:r>
        <w:r>
          <w:t>42</w:t>
        </w:r>
        <w:r>
          <w:fldChar w:fldCharType="end"/>
        </w:r>
      </w:hyperlink>
    </w:p>
    <w:p>
      <w:pPr>
        <w:pStyle w:val="TOC1"/>
        <w:tabs>
          <w:tab w:val="right" w:leader="dot" w:pos="8306"/>
        </w:tabs>
      </w:pPr>
      <w:hyperlink w:anchor="_Toc13769" w:history="1">
        <w:r>
          <w:rPr>
            <w:rFonts w:ascii="仿宋" w:eastAsia="仿宋" w:hAnsi="仿宋" w:cs="仿宋" w:hint="eastAsia"/>
            <w:lang w:eastAsia="zh-CN"/>
          </w:rPr>
          <w:t>十一、阳离子染料项目创新与研发</w:t>
        </w:r>
        <w:r>
          <w:tab/>
        </w:r>
        <w:r>
          <w:fldChar w:fldCharType="begin"/>
        </w:r>
        <w:r>
          <w:instrText xml:space="preserve"> PAGEREF _Toc13769 \h </w:instrText>
        </w:r>
        <w:r>
          <w:fldChar w:fldCharType="separate"/>
        </w:r>
        <w:r>
          <w:t>43</w:t>
        </w:r>
        <w:r>
          <w:fldChar w:fldCharType="end"/>
        </w:r>
      </w:hyperlink>
    </w:p>
    <w:p>
      <w:pPr>
        <w:pStyle w:val="TOC2"/>
        <w:tabs>
          <w:tab w:val="right" w:leader="dot" w:pos="8306"/>
        </w:tabs>
      </w:pPr>
      <w:hyperlink w:anchor="_Toc19981" w:history="1">
        <w:r>
          <w:rPr>
            <w:rFonts w:ascii="仿宋" w:eastAsia="仿宋" w:hAnsi="仿宋" w:cs="仿宋" w:hint="eastAsia"/>
            <w:lang w:eastAsia="zh-CN"/>
          </w:rPr>
          <w:t>(一)、创新策略与方向</w:t>
        </w:r>
        <w:r>
          <w:tab/>
        </w:r>
        <w:r>
          <w:fldChar w:fldCharType="begin"/>
        </w:r>
        <w:r>
          <w:instrText xml:space="preserve"> PAGEREF _Toc19981 \h </w:instrText>
        </w:r>
        <w:r>
          <w:fldChar w:fldCharType="separate"/>
        </w:r>
        <w:r>
          <w:t>43</w:t>
        </w:r>
        <w:r>
          <w:fldChar w:fldCharType="end"/>
        </w:r>
      </w:hyperlink>
    </w:p>
    <w:p>
      <w:pPr>
        <w:pStyle w:val="TOC2"/>
        <w:tabs>
          <w:tab w:val="right" w:leader="dot" w:pos="8306"/>
        </w:tabs>
      </w:pPr>
      <w:hyperlink w:anchor="_Toc8953" w:history="1">
        <w:r>
          <w:rPr>
            <w:rFonts w:ascii="仿宋" w:eastAsia="仿宋" w:hAnsi="仿宋" w:cs="仿宋" w:hint="eastAsia"/>
            <w:lang w:eastAsia="zh-CN"/>
          </w:rPr>
          <w:t>(二)、研发规划与投入</w:t>
        </w:r>
        <w:r>
          <w:tab/>
        </w:r>
        <w:r>
          <w:fldChar w:fldCharType="begin"/>
        </w:r>
        <w:r>
          <w:instrText xml:space="preserve"> PAGEREF _Toc8953 \h </w:instrText>
        </w:r>
        <w:r>
          <w:fldChar w:fldCharType="separate"/>
        </w:r>
        <w:r>
          <w:t>45</w:t>
        </w:r>
        <w:r>
          <w:fldChar w:fldCharType="end"/>
        </w:r>
      </w:hyperlink>
    </w:p>
    <w:p>
      <w:pPr>
        <w:pStyle w:val="TOC1"/>
        <w:tabs>
          <w:tab w:val="right" w:leader="dot" w:pos="8306"/>
        </w:tabs>
      </w:pPr>
      <w:hyperlink w:anchor="_Toc1019" w:history="1">
        <w:r>
          <w:rPr>
            <w:rFonts w:ascii="仿宋" w:eastAsia="仿宋" w:hAnsi="仿宋" w:cs="仿宋" w:hint="eastAsia"/>
            <w:lang w:eastAsia="zh-CN"/>
          </w:rPr>
          <w:t>十二、阳离子染料项目社会影响</w:t>
        </w:r>
        <w:r>
          <w:tab/>
        </w:r>
        <w:r>
          <w:fldChar w:fldCharType="begin"/>
        </w:r>
        <w:r>
          <w:instrText xml:space="preserve"> PAGEREF _Toc1019 \h </w:instrText>
        </w:r>
        <w:r>
          <w:fldChar w:fldCharType="separate"/>
        </w:r>
        <w:r>
          <w:t>46</w:t>
        </w:r>
        <w:r>
          <w:fldChar w:fldCharType="end"/>
        </w:r>
      </w:hyperlink>
    </w:p>
    <w:p>
      <w:pPr>
        <w:pStyle w:val="TOC2"/>
        <w:tabs>
          <w:tab w:val="right" w:leader="dot" w:pos="8306"/>
        </w:tabs>
      </w:pPr>
      <w:hyperlink w:anchor="_Toc22234" w:history="1">
        <w:r>
          <w:rPr>
            <w:rFonts w:ascii="仿宋" w:eastAsia="仿宋" w:hAnsi="仿宋" w:cs="仿宋" w:hint="eastAsia"/>
            <w:lang w:eastAsia="zh-CN"/>
          </w:rPr>
          <w:t>(一)、社会责任与义务</w:t>
        </w:r>
        <w:r>
          <w:tab/>
        </w:r>
        <w:r>
          <w:fldChar w:fldCharType="begin"/>
        </w:r>
        <w:r>
          <w:instrText xml:space="preserve"> PAGEREF _Toc22234 \h </w:instrText>
        </w:r>
        <w:r>
          <w:fldChar w:fldCharType="separate"/>
        </w:r>
        <w:r>
          <w:t>46</w:t>
        </w:r>
        <w:r>
          <w:fldChar w:fldCharType="end"/>
        </w:r>
      </w:hyperlink>
    </w:p>
    <w:p>
      <w:pPr>
        <w:pStyle w:val="TOC2"/>
        <w:tabs>
          <w:tab w:val="right" w:leader="dot" w:pos="8306"/>
        </w:tabs>
      </w:pPr>
      <w:hyperlink w:anchor="_Toc31997" w:history="1">
        <w:r>
          <w:rPr>
            <w:rFonts w:ascii="仿宋" w:eastAsia="仿宋" w:hAnsi="仿宋" w:cs="仿宋" w:hint="eastAsia"/>
            <w:lang w:eastAsia="zh-CN"/>
          </w:rPr>
          <w:t>(二)、社会参与与沟通</w:t>
        </w:r>
        <w:r>
          <w:tab/>
        </w:r>
        <w:r>
          <w:fldChar w:fldCharType="begin"/>
        </w:r>
        <w:r>
          <w:instrText xml:space="preserve"> PAGEREF _Toc31997 \h </w:instrText>
        </w:r>
        <w:r>
          <w:fldChar w:fldCharType="separate"/>
        </w:r>
        <w:r>
          <w:t>47</w:t>
        </w:r>
        <w:r>
          <w:fldChar w:fldCharType="end"/>
        </w:r>
      </w:hyperlink>
    </w:p>
    <w:p>
      <w:pPr>
        <w:pStyle w:val="TOC1"/>
        <w:tabs>
          <w:tab w:val="right" w:leader="dot" w:pos="8306"/>
        </w:tabs>
      </w:pPr>
      <w:hyperlink w:anchor="_Toc27908" w:history="1">
        <w:r>
          <w:rPr>
            <w:rFonts w:ascii="仿宋" w:eastAsia="仿宋" w:hAnsi="仿宋" w:cs="仿宋" w:hint="eastAsia"/>
            <w:lang w:eastAsia="zh-CN"/>
          </w:rPr>
          <w:t>十三、阳离子染料项目实施时间节点</w:t>
        </w:r>
        <w:r>
          <w:tab/>
        </w:r>
        <w:r>
          <w:fldChar w:fldCharType="begin"/>
        </w:r>
        <w:r>
          <w:instrText xml:space="preserve"> PAGEREF _Toc27908 \h </w:instrText>
        </w:r>
        <w:r>
          <w:fldChar w:fldCharType="separate"/>
        </w:r>
        <w:r>
          <w:t>48</w:t>
        </w:r>
        <w:r>
          <w:fldChar w:fldCharType="end"/>
        </w:r>
      </w:hyperlink>
    </w:p>
    <w:p>
      <w:pPr>
        <w:pStyle w:val="TOC2"/>
        <w:tabs>
          <w:tab w:val="right" w:leader="dot" w:pos="8306"/>
        </w:tabs>
      </w:pPr>
      <w:hyperlink w:anchor="_Toc31118" w:history="1">
        <w:r>
          <w:rPr>
            <w:rFonts w:ascii="仿宋" w:eastAsia="仿宋" w:hAnsi="仿宋" w:cs="仿宋" w:hint="eastAsia"/>
            <w:lang w:eastAsia="zh-CN"/>
          </w:rPr>
          <w:t>(一)、阳离子染料项目启动阶段时间节点</w:t>
        </w:r>
        <w:r>
          <w:tab/>
        </w:r>
        <w:r>
          <w:fldChar w:fldCharType="begin"/>
        </w:r>
        <w:r>
          <w:instrText xml:space="preserve"> PAGEREF _Toc31118 \h </w:instrText>
        </w:r>
        <w:r>
          <w:fldChar w:fldCharType="separate"/>
        </w:r>
        <w:r>
          <w:t>48</w:t>
        </w:r>
        <w:r>
          <w:fldChar w:fldCharType="end"/>
        </w:r>
      </w:hyperlink>
    </w:p>
    <w:p>
      <w:pPr>
        <w:pStyle w:val="TOC2"/>
        <w:tabs>
          <w:tab w:val="right" w:leader="dot" w:pos="8306"/>
        </w:tabs>
      </w:pPr>
      <w:hyperlink w:anchor="_Toc29250" w:history="1">
        <w:r>
          <w:rPr>
            <w:rFonts w:ascii="仿宋" w:eastAsia="仿宋" w:hAnsi="仿宋" w:cs="仿宋" w:hint="eastAsia"/>
            <w:lang w:eastAsia="zh-CN"/>
          </w:rPr>
          <w:t>(二)、阳离子染料项目执行阶段时间节点</w:t>
        </w:r>
        <w:r>
          <w:tab/>
        </w:r>
        <w:r>
          <w:fldChar w:fldCharType="begin"/>
        </w:r>
        <w:r>
          <w:instrText xml:space="preserve"> PAGEREF _Toc29250 \h </w:instrText>
        </w:r>
        <w:r>
          <w:fldChar w:fldCharType="separate"/>
        </w:r>
        <w:r>
          <w:t>49</w:t>
        </w:r>
        <w:r>
          <w:fldChar w:fldCharType="end"/>
        </w:r>
      </w:hyperlink>
    </w:p>
    <w:p>
      <w:pPr>
        <w:pStyle w:val="TOC2"/>
        <w:tabs>
          <w:tab w:val="right" w:leader="dot" w:pos="8306"/>
        </w:tabs>
      </w:pPr>
      <w:hyperlink w:anchor="_Toc20638" w:history="1">
        <w:r>
          <w:rPr>
            <w:rFonts w:ascii="仿宋" w:eastAsia="仿宋" w:hAnsi="仿宋" w:cs="仿宋" w:hint="eastAsia"/>
            <w:lang w:eastAsia="zh-CN"/>
          </w:rPr>
          <w:t>(三)、阳离子染料项目完成阶段时间节点</w:t>
        </w:r>
        <w:r>
          <w:tab/>
        </w:r>
        <w:r>
          <w:fldChar w:fldCharType="begin"/>
        </w:r>
        <w:r>
          <w:instrText xml:space="preserve"> PAGEREF _Toc20638 \h </w:instrText>
        </w:r>
        <w:r>
          <w:fldChar w:fldCharType="separate"/>
        </w:r>
        <w:r>
          <w:t>50</w:t>
        </w:r>
        <w:r>
          <w:fldChar w:fldCharType="end"/>
        </w:r>
      </w:hyperlink>
    </w:p>
    <w:p>
      <w:pPr>
        <w:pStyle w:val="TOC1"/>
        <w:tabs>
          <w:tab w:val="right" w:leader="dot" w:pos="8306"/>
        </w:tabs>
      </w:pPr>
      <w:hyperlink w:anchor="_Toc12750" w:history="1">
        <w:r>
          <w:rPr>
            <w:rFonts w:ascii="仿宋" w:eastAsia="仿宋" w:hAnsi="仿宋" w:cs="仿宋" w:hint="eastAsia"/>
            <w:lang w:eastAsia="zh-CN"/>
          </w:rPr>
          <w:t>十四、阳离子染料项目治理与监督</w:t>
        </w:r>
        <w:r>
          <w:tab/>
        </w:r>
        <w:r>
          <w:fldChar w:fldCharType="begin"/>
        </w:r>
        <w:r>
          <w:instrText xml:space="preserve"> PAGEREF _Toc12750 \h </w:instrText>
        </w:r>
        <w:r>
          <w:fldChar w:fldCharType="separate"/>
        </w:r>
        <w:r>
          <w:t>51</w:t>
        </w:r>
        <w:r>
          <w:fldChar w:fldCharType="end"/>
        </w:r>
      </w:hyperlink>
    </w:p>
    <w:p>
      <w:pPr>
        <w:pStyle w:val="TOC2"/>
        <w:tabs>
          <w:tab w:val="right" w:leader="dot" w:pos="8306"/>
        </w:tabs>
      </w:pPr>
      <w:hyperlink w:anchor="_Toc22630" w:history="1">
        <w:r>
          <w:rPr>
            <w:rFonts w:ascii="仿宋" w:eastAsia="仿宋" w:hAnsi="仿宋" w:cs="仿宋" w:hint="eastAsia"/>
            <w:lang w:eastAsia="zh-CN"/>
          </w:rPr>
          <w:t>(一)、阳离子染料项目治理结构</w:t>
        </w:r>
        <w:r>
          <w:tab/>
        </w:r>
        <w:r>
          <w:fldChar w:fldCharType="begin"/>
        </w:r>
        <w:r>
          <w:instrText xml:space="preserve"> PAGEREF _Toc22630 \h </w:instrText>
        </w:r>
        <w:r>
          <w:fldChar w:fldCharType="separate"/>
        </w:r>
        <w:r>
          <w:t>51</w:t>
        </w:r>
        <w:r>
          <w:fldChar w:fldCharType="end"/>
        </w:r>
      </w:hyperlink>
    </w:p>
    <w:p>
      <w:pPr>
        <w:pStyle w:val="TOC2"/>
        <w:tabs>
          <w:tab w:val="right" w:leader="dot" w:pos="8306"/>
        </w:tabs>
      </w:pPr>
      <w:hyperlink w:anchor="_Toc2391" w:history="1">
        <w:r>
          <w:rPr>
            <w:rFonts w:ascii="仿宋" w:eastAsia="仿宋" w:hAnsi="仿宋" w:cs="仿宋" w:hint="eastAsia"/>
            <w:lang w:eastAsia="zh-CN"/>
          </w:rPr>
          <w:t>(二)、监督与审计</w:t>
        </w:r>
        <w:r>
          <w:tab/>
        </w:r>
        <w:r>
          <w:fldChar w:fldCharType="begin"/>
        </w:r>
        <w:r>
          <w:instrText xml:space="preserve"> PAGEREF _Toc2391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3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461"/>
      <w:r>
        <w:rPr>
          <w:rFonts w:ascii="仿宋" w:eastAsia="仿宋" w:hAnsi="仿宋" w:cs="仿宋" w:hint="eastAsia"/>
          <w:sz w:val="28"/>
          <w:lang w:eastAsia="zh-CN"/>
        </w:rPr>
        <w:t>一、阳离子染料项目绩效评估</w:t>
      </w:r>
      <w:bookmarkEnd w:id="2"/>
    </w:p>
    <w:p>
      <w:pPr>
        <w:pStyle w:val="Heading2"/>
        <w:rPr>
          <w:rFonts w:ascii="仿宋" w:eastAsia="仿宋" w:hAnsi="仿宋" w:cs="仿宋" w:hint="eastAsia"/>
          <w:lang w:eastAsia="zh-CN"/>
        </w:rPr>
      </w:pPr>
      <w:bookmarkStart w:id="3" w:name="_Toc2431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阳离子染料项目中，我们设计了一套全面的绩效评估指标，以确保阳离子染料项目的可控和成功交付。这些指标跨足阳离子染料项目目标、成本、进度和质量等多个维度，为我们提供了全面洞察阳离子染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阳离子染料项目目标达成率是我们关注的首要指标。我们设定了明确的目标，并通过定期监测和评估，迅速发现并应对潜在的目标偏差。这为阳离子染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成本绩效是另一个核心关注点。通过实际成本与预算成本的对比分析，我们深入了解成本差异的原因，及时调整资源分配，保持阳离子染料项目在经济效益方面的合理水平。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阳离子染料项目进度作为关键的绩效指标之一，得到了精心的关注。我们制定了详细的阳离子染料项目进度计划，并设立了进度符合度指标，确保实际进度与计划进度保持一致。这使我们能够快速发现和解决潜在的进度问题，保持阳离子染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阳离子染料项目绩效的不可或缺的一环。我们引入了一系列的质量标准和客户满意度指标，以确保阳离子染料项目交付的成果在质量上达到或超越预期水平。通过持续监测这些指标，我们努力提升阳离子染料项目整体质量水平，为阳离子染料项目的成功交付提供有力保障。通过这些科学且全面的绩效评估，我们能够更好地引导阳离子染料项目的持续改进，确保阳离子染料项目目标的顺利达成。</w:t>
      </w:r>
    </w:p>
    <w:p>
      <w:pPr>
        <w:pStyle w:val="Heading2"/>
        <w:ind w:firstLine="560" w:firstLineChars="200"/>
        <w:rPr>
          <w:rFonts w:ascii="仿宋" w:eastAsia="仿宋" w:hAnsi="仿宋" w:cs="仿宋" w:hint="eastAsia"/>
          <w:sz w:val="28"/>
          <w:lang w:eastAsia="zh-CN"/>
        </w:rPr>
      </w:pPr>
      <w:bookmarkStart w:id="4" w:name="_Toc493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绩效评估是阳离子染料项目中的关键环节，为确保阳离子染料项目达到预期目标，我们采用了多层次、多维度的绩效评估方法。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阳离子染料项目的战略目标对齐，确保每个决策和行动都与阳离子染料项目整体目标保持一致。团队会定期召开战略对齐会议，审视当前工作与阳离子染料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阳离子染料项目进度、质量、成本和风险等方面。这些指标通过数据收集和分析，为阳离子染料项目管理团队提供了客观的评估依据。例如，我们通过阳离子染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绩效评估不仅仅停留在阳离子染料项目内部，还考虑了阳离子染料项目对外部环境的影响。我们定期进行干系人满意度调查，以了解各利益相关方对阳离子染料项目的期望和满意度，并及时做出调整。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这种多层次、多角度的绩效评估方法，使得我们能够全面了解阳离子染料项目的运行状态，及时做出调整，确保阳离子染料项目在不断变化的环境中保持稳健前行。</w:t>
      </w:r>
    </w:p>
    <w:p>
      <w:pPr>
        <w:pStyle w:val="Heading2"/>
        <w:ind w:firstLine="560" w:firstLineChars="200"/>
        <w:rPr>
          <w:rFonts w:ascii="仿宋" w:eastAsia="仿宋" w:hAnsi="仿宋" w:cs="仿宋" w:hint="eastAsia"/>
          <w:sz w:val="28"/>
          <w:lang w:eastAsia="zh-CN"/>
        </w:rPr>
      </w:pPr>
      <w:bookmarkStart w:id="5" w:name="_Toc1819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为了确保阳离子染料项目的有效管理和不断优化，我们采用了精心设计的绩效评估周期。这个周期旨在实现灵活、实时和全面的评估，以适应阳离子染料项目执行中的各种挑战。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阳离子染料项目的不同需求，分为短期、中期和长期。短期评估关注每个迭代或工作周期，以及时发现和解决当前任务中的问题。中期评估涵盖几个迭代，深入了解整体阳离子染料项目的趋势和性能。长期评估则着眼于整个阳离子染料项目阶段，确保阳离子染料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阳离子染料项目管理工具和协作平台，团队成员能够随时更新和分享阳离子染料项目数据。这种实时性的反馈机制使我们能够及时察觉潜在问题，快速调整，保持阳离子染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阳离子染料项目的决策制定密不可分。每个周期的阳离子染料项目回顾会议成为集体总结经验、识别问题深层次原因并找到创新解决方案的平台。这种定期的反思与调整机制使阳离子染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6604"/>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30543"/>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阳离子染料项目的主要产品是XXXX，预计年产值为XXX万元。这一产品在市场中占据着重要的地位，其广泛的应用范围使得该阳离子染料项目的市场前景非常广阔。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阳离子染料项目的xxx产品作为重要的原材料之一，将在多个领域发挥关键作用。其在建筑、交通、能源等方面的广泛应用将为整个产业链提供强大的支持，形成产业协同效应。阳离子染料项目的年产值XXX万XXX万XXX万万元不仅反映了其在市场上的巨大潜力，更预示着它对国民经济的积极贡献。这种关联度高、涉及面广的产业关系，使得该阳离子染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15651"/>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阳离子染料项目总征地面积为XXXX平方米，相当于约XX.XX亩，其中净用地面积为XXXX平方米，红线范围内相当于约XX.XX亩。这一用地规模充分考虑了阳离子染料项目的建设需求，保障了阳离子染料项目在合适的空间内得以充分发展。阳离子染料项目规划的总建筑面积为XXXX平方米，其中主体工程建设占XXXX平方米，计容建筑面积达XXXX平方米。预计建筑工程的投资将达到XXXX万元，为阳离子染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阳离子染料项目计划购置的设备共计XXXX台（套），设备购置费用为XXXX万元。这一设备购置计划充分考虑到阳离子染料项目的生产需求和技术要求，确保了阳离子染料项目在生产运营中具备先进的技术装备和高效的生产能力。设备的合理配置将为阳离子染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阳离子染料项目计划总投资为XXXX万元，预计年实现营业收入为XXXX万元。这一产能规模的设定旨在确保阳离子染料项目能够在投资与回报之间取得平衡，实现长期可持续的发展。阳离子染料项目的总投资充分考虑到各个方面的需求，包括用地建设、设备购置等多个环节，以确保阳离子染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9248"/>
      <w:r>
        <w:rPr>
          <w:rFonts w:ascii="仿宋" w:eastAsia="仿宋" w:hAnsi="仿宋" w:cs="仿宋" w:hint="eastAsia"/>
          <w:sz w:val="28"/>
          <w:lang w:eastAsia="zh-CN"/>
        </w:rPr>
        <w:t>三、阳离子染料项目土建工程</w:t>
      </w:r>
      <w:bookmarkEnd w:id="9"/>
    </w:p>
    <w:p>
      <w:pPr>
        <w:pStyle w:val="Heading2"/>
        <w:rPr>
          <w:rFonts w:ascii="仿宋" w:eastAsia="仿宋" w:hAnsi="仿宋" w:cs="仿宋" w:hint="eastAsia"/>
          <w:lang w:eastAsia="zh-CN"/>
        </w:rPr>
      </w:pPr>
      <w:bookmarkStart w:id="10" w:name="_Toc6668"/>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在阳离子染料项目的建筑工程设计中，我们将秉承一系列重要的设计原则，以确保阳离子染料项目建筑在功能、美观、可持续性等方面达到最佳效果。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首要原则是确保建筑的功能性得到最大化的发挥。我们将充分理解阳离子染料项目的实际需求，合理布局各个功能区域，保证建筑在满足业务需求的同时，提供高效的工作环境。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在建筑设计中，我们将综合考虑建设和运营成本。通过精细的经济效益分析，确保设计方案在高效利用资源的同时，对阳离子染料项目的长期盈利能力有积极的贡献。</w:t>
      </w:r>
    </w:p>
    <w:p>
      <w:pPr>
        <w:pStyle w:val="Heading2"/>
        <w:ind w:firstLine="560" w:firstLineChars="200"/>
        <w:rPr>
          <w:rFonts w:ascii="仿宋" w:eastAsia="仿宋" w:hAnsi="仿宋" w:cs="仿宋" w:hint="eastAsia"/>
          <w:sz w:val="28"/>
          <w:lang w:eastAsia="zh-CN"/>
        </w:rPr>
      </w:pPr>
      <w:bookmarkStart w:id="11" w:name="_Toc31856"/>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阳离子染料项目的土建工程设计中，我们将精准设定设计年限，结合阳离子染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阳离子染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31320"/>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阳离子染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阳离子染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阳离子染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4872"/>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本期工程阳离子染料项目预计总建筑面积XXX平方米，其中：计容建筑面积XXX平方米，计划建筑工程投资XX万元，占阳离子染料项目总投资的XX%。</w:t>
      </w:r>
    </w:p>
    <w:p>
      <w:pPr>
        <w:pStyle w:val="Heading1"/>
        <w:ind w:firstLine="560" w:firstLineChars="200"/>
        <w:rPr>
          <w:rFonts w:ascii="仿宋" w:eastAsia="仿宋" w:hAnsi="仿宋" w:cs="仿宋" w:hint="eastAsia"/>
          <w:sz w:val="28"/>
          <w:lang w:eastAsia="zh-CN"/>
        </w:rPr>
      </w:pPr>
      <w:bookmarkStart w:id="14" w:name="_Toc5213"/>
      <w:r>
        <w:rPr>
          <w:rFonts w:ascii="仿宋" w:eastAsia="仿宋" w:hAnsi="仿宋" w:cs="仿宋" w:hint="eastAsia"/>
          <w:sz w:val="28"/>
          <w:lang w:eastAsia="zh-CN"/>
        </w:rPr>
        <w:t>四、阳离子染料项目文档管理</w:t>
      </w:r>
      <w:bookmarkEnd w:id="14"/>
    </w:p>
    <w:p>
      <w:pPr>
        <w:pStyle w:val="Heading2"/>
        <w:rPr>
          <w:rFonts w:ascii="仿宋" w:eastAsia="仿宋" w:hAnsi="仿宋" w:cs="仿宋" w:hint="eastAsia"/>
          <w:lang w:eastAsia="zh-CN"/>
        </w:rPr>
      </w:pPr>
      <w:bookmarkStart w:id="15" w:name="_Toc10028"/>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阳离子染料项目高度重视文档的质量和准确性，以支持阳离子染料项目的各项活动和决策。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阳离子染料项目文档的编制始于阳离子染料项目计划的初期，我们制定了详细的文档编制计划，明确了每个文档的内容、格式和编写责任人。在阳离子染料项目启动阶段，我们首先编制了阳离子染料项目章程，明确定义了阳离子染料项目的目标、范围、风险等关键要素。随后，阳离子染料项目团队根据计划陆续编制了需求文档、设计文档、测试文档等各类文档，确保阳离子染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阳离子染料项目管理中的重要环节，旨在确保阳离子染料项目文档符合质量标准和阳离子染料项目需求。在阳离子染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阳离子染料项目相关利益方和专业领域的专家对文档进行独立审查。这有助于获取更全面、客观的反馈，确保阳离子染料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阳离子染料项目在文档编制与审查方面建立了严格的管理机制，通过规范的流程和多维度的审查，确保阳离子染料项目文档的质量、准确性和可靠性，为阳离子染料项目的顺利推进提供了有力支持。</w:t>
      </w:r>
    </w:p>
    <w:p>
      <w:pPr>
        <w:pStyle w:val="Heading2"/>
        <w:ind w:firstLine="560" w:firstLineChars="200"/>
        <w:rPr>
          <w:rFonts w:ascii="仿宋" w:eastAsia="仿宋" w:hAnsi="仿宋" w:cs="仿宋" w:hint="eastAsia"/>
          <w:sz w:val="28"/>
          <w:lang w:eastAsia="zh-CN"/>
        </w:rPr>
      </w:pPr>
      <w:bookmarkStart w:id="16" w:name="_Toc32596"/>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在阳离子染料项目中，我们致力于优化文档发布与分发过程，以确保信息的高效传递和团队间协作的顺畅进行。以下是我们采取的关键优化策略：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我们通过多渠道发布文档，包括电子邮件、阳离子染料项目管理平台、内部网站等，以满足不同团队成员的偏好和需求。多渠道发布确保了信息的全面覆盖。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我们采用了精细的权限控制，确保只有授权人员可以访问敏感信息。这种安全措施保护了阳离子染料项目文档的机密性，防止了未经授权的信息泄露。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9425"/>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文档存档与归档是阳离子染料项目生命周期中一个至关重要的环节，直接关系到阳离子染料项目信息的长期保存和历史记录的完整性。在阳离子染料项目中，我们实施了一系列有效的文档存档与归档管理策略：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19312"/>
      <w:r>
        <w:rPr>
          <w:rFonts w:ascii="仿宋" w:eastAsia="仿宋" w:hAnsi="仿宋" w:cs="仿宋" w:hint="eastAsia"/>
          <w:sz w:val="28"/>
          <w:lang w:eastAsia="zh-CN"/>
        </w:rPr>
        <w:t>五、阳离子染料项目建设背景及必要性分析</w:t>
      </w:r>
      <w:bookmarkEnd w:id="18"/>
    </w:p>
    <w:p>
      <w:pPr>
        <w:pStyle w:val="Heading2"/>
        <w:rPr>
          <w:rFonts w:ascii="仿宋" w:eastAsia="仿宋" w:hAnsi="仿宋" w:cs="仿宋" w:hint="eastAsia"/>
          <w:lang w:eastAsia="zh-CN"/>
        </w:rPr>
      </w:pPr>
      <w:bookmarkStart w:id="19" w:name="_Toc28546"/>
      <w:r>
        <w:rPr>
          <w:rFonts w:ascii="仿宋" w:eastAsia="仿宋" w:hAnsi="仿宋" w:cs="仿宋" w:hint="eastAsia"/>
          <w:lang w:eastAsia="zh-CN"/>
        </w:rPr>
        <w:t>(一)、阳离子染料项目背景分析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阳离子染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阳离子染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阳离子染料项目在这个潮流中的定位。同时，我们将关注行业内涌现的新兴机遇，以便阳离子染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阳离子染料项目提供了强大的发展动力。我们将聚焦于行业内最新的技术发展趋势，包括但不限于人工智能、大数据分析、物联网等领域。通过深度的技术研究，我们将确保阳离子染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阳离子染料项目发展的源泉。我们将投入更多的精力对市场需求进行深入剖析，超越表面的需求，深入挖掘潜在的市场痛点和机遇。通过对市场需求的细致了解，阳离子染料项目将更有针对性地设计解决方案，满足市场的多样化需求，从而更好地促进阳离子染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阳离子染料项目战略至关重要。我们将对竞争态势进行更为深入的分析，包括但不限于市场份额、产品特点、客户满意度等多个维度。通过深度的竞争分析，阳离子染料项目将能够更准确地把握市场脉搏，制定具有竞争力的阳离子染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阳离子染料项目的发展具有直接的影响。我们将进行更为全面的法规和政策分析，了解行业发展中的潜在法律风险和合规挑战。通过充分了解和遵守相关法规，阳离子染料项目将确保在法律框架内合法合规运营，为阳离子染料项目的稳健发展提供有力支持。</w:t>
      </w:r>
    </w:p>
    <w:p>
      <w:pPr>
        <w:pStyle w:val="Heading2"/>
        <w:ind w:firstLine="560" w:firstLineChars="200"/>
        <w:rPr>
          <w:rFonts w:ascii="仿宋" w:eastAsia="仿宋" w:hAnsi="仿宋" w:cs="仿宋" w:hint="eastAsia"/>
          <w:sz w:val="28"/>
          <w:lang w:eastAsia="zh-CN"/>
        </w:rPr>
      </w:pPr>
      <w:bookmarkStart w:id="20" w:name="_Toc25582"/>
      <w:r>
        <w:rPr>
          <w:rFonts w:ascii="仿宋" w:eastAsia="仿宋" w:hAnsi="仿宋" w:cs="仿宋" w:hint="eastAsia"/>
          <w:sz w:val="28"/>
          <w:lang w:eastAsia="zh-CN"/>
        </w:rPr>
        <w:t>(二)、阳离子染料项目建设必要性分析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阳离子染料项目建设的迫切性源于对行业发展趋势的深刻洞察。我们正处于一个行业变革的时代，科技创新、数字化转型成为企业发展的关键动力。阳离子染料项目建设的必要性在于紧跟行业发展的前沿，主动应对变革，确保企业在竞争激烈的市场中保持领先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https://d.book118.com/608072047110006044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EF3425"/>
    <w:rsid w:val="31EF34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8072047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2024-02-29T01:38:00Z</dcterms:created>
  <dcterms:modified xsi:type="dcterms:W3CDTF">2024-02-29T01:38:55Z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0A5B066C07D349BBBF99B9D23A27B7BF_11</vt:lpwstr>
  </property>
  <property fmtid="{D5CDD505-2E9C-101B-9397-08002B2CF9AE}" pid="3" name="KSOProductBuildVer">
    <vt:lpwstr>2052-12.1.0.16388</vt:lpwstr>
  </property>
</Properties>
</file>