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2015-2023年山东城市建设职业学院高职单招（数学／语文／英语）历年参考题库带答案解析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“文章合为时而著，歌诗合为事而作”的口号是谁提出的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冰心、郁达夫、徐志摩曾参加的文学社团依次是（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A.文学研究会、新月社、创造社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B.创造社、文学研究会、新月社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C.文学研究会、创造社、新月社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D.新月社、文学研究会、创造社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在《李将军列传》中，司马迁用“中石没镞”来刻画李将军的独特个性，这种人物描写方法是（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B.细节描写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《马伶传》中的“分宜”“昆山”依次指（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A.分宜人、顾秉谦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B.严嵩、昆山人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C.严嵩、顾秉谦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D.分宜人、昆山人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在先秦诸子中，文风以想象丰富、辞藻瑰丽、汪洋恣肆而著称的是（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诗集《春水》的作者是（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A.张爱玲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C.萧红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A.郭橐驼对这个绰号很反感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B.郭橐驼懂得顺应树木生长的规律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C.郭橐驼移栽树木时会换上新土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D.郭橐驼早晚都会去照料树木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“人有悲欢离合，月有阴晴圆缺”这两句诗出自（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准确描述《五代史伶官传序》中心论点的一组对应词语是（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A.兴盛与衰败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B.天命与人事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C.自满与谦虚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D.忧劳与逸豫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《声声慢》（寻寻觅觅）中体现家破人亡之痛的词句是（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D.梧桐更兼细雨，到黄昏、点点滴滴。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https://d.book118.com/608135142034006041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08135142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