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血球计数器项目建设总纲及方案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95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_Toc4955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29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_Toc10529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_Toc28175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6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_Toc9906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_Toc22514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8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_Toc7788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3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_Toc14653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25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_Toc26425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5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_Toc18025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1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_Toc21811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2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_Toc30612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09" w:history="1">
        <w:r>
          <w:rPr>
            <w:rFonts w:ascii="仿宋" w:eastAsia="仿宋" w:hAnsi="仿宋" w:cs="仿宋" w:hint="eastAsia"/>
            <w:lang w:eastAsia="zh-CN"/>
          </w:rPr>
          <w:t>三、发展规划、产业政策和行业准入分析</w:t>
        </w:r>
        <w:r>
          <w:tab/>
        </w:r>
        <w:r>
          <w:fldChar w:fldCharType="begin"/>
        </w:r>
        <w:r>
          <w:instrText xml:space="preserve"> PAGEREF _Toc29409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6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_Toc17246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9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_Toc3499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9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_Toc12969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07" w:history="1">
        <w:r>
          <w:rPr>
            <w:rFonts w:ascii="仿宋" w:eastAsia="仿宋" w:hAnsi="仿宋" w:cs="仿宋" w:hint="eastAsia"/>
            <w:lang w:eastAsia="zh-CN"/>
          </w:rPr>
          <w:t>四、建设风险评估分析</w:t>
        </w:r>
        <w:r>
          <w:tab/>
        </w:r>
        <w:r>
          <w:fldChar w:fldCharType="begin"/>
        </w:r>
        <w:r>
          <w:instrText xml:space="preserve"> PAGEREF _Toc21107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0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_Toc14200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4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_Toc10544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1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_Toc26591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6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_Toc19896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_Toc24107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5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_Toc12235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9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_Toc5939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5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_Toc23695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2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_Toc10352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7" w:history="1">
        <w:r>
          <w:rPr>
            <w:rFonts w:ascii="仿宋" w:eastAsia="仿宋" w:hAnsi="仿宋" w:cs="仿宋" w:hint="eastAsia"/>
            <w:lang w:eastAsia="zh-CN"/>
          </w:rPr>
          <w:t>五、社会影响分析</w:t>
        </w:r>
        <w:r>
          <w:tab/>
        </w:r>
        <w:r>
          <w:fldChar w:fldCharType="begin"/>
        </w:r>
        <w:r>
          <w:instrText xml:space="preserve"> PAGEREF _Toc1247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3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_Toc13193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6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_Toc3866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0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_Toc27500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10" w:history="1">
        <w:r>
          <w:rPr>
            <w:rFonts w:ascii="仿宋" w:eastAsia="仿宋" w:hAnsi="仿宋" w:cs="仿宋" w:hint="eastAsia"/>
            <w:lang w:eastAsia="zh-CN"/>
          </w:rPr>
          <w:t>六、血球计数器项目概论</w:t>
        </w:r>
        <w:r>
          <w:tab/>
        </w:r>
        <w:r>
          <w:fldChar w:fldCharType="begin"/>
        </w:r>
        <w:r>
          <w:instrText xml:space="preserve"> PAGEREF _Toc22610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3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_Toc24383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0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_Toc10250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08" w:history="1">
        <w:r>
          <w:rPr>
            <w:rFonts w:ascii="仿宋" w:eastAsia="仿宋" w:hAnsi="仿宋" w:cs="仿宋" w:hint="eastAsia"/>
            <w:lang w:eastAsia="zh-CN"/>
          </w:rPr>
          <w:t>七、环境保护与治理方案</w:t>
        </w:r>
        <w:r>
          <w:tab/>
        </w:r>
        <w:r>
          <w:fldChar w:fldCharType="begin"/>
        </w:r>
        <w:r>
          <w:instrText xml:space="preserve"> PAGEREF _Toc8608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7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_Toc13037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0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_Toc22280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93" w:history="1">
        <w:r>
          <w:rPr>
            <w:rFonts w:ascii="仿宋" w:eastAsia="仿宋" w:hAnsi="仿宋" w:cs="仿宋" w:hint="eastAsia"/>
            <w:lang w:eastAsia="zh-CN"/>
          </w:rPr>
          <w:t>八、项目变更管理</w:t>
        </w:r>
        <w:r>
          <w:tab/>
        </w:r>
        <w:r>
          <w:fldChar w:fldCharType="begin"/>
        </w:r>
        <w:r>
          <w:instrText xml:space="preserve"> PAGEREF _Toc11293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2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_Toc19552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0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_Toc8710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4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_Toc32504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_Toc2788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38" w:history="1">
        <w:r>
          <w:rPr>
            <w:rFonts w:ascii="仿宋" w:eastAsia="仿宋" w:hAnsi="仿宋" w:cs="仿宋" w:hint="eastAsia"/>
            <w:lang w:eastAsia="zh-CN"/>
          </w:rPr>
          <w:t>九、土地利用与规划方案</w:t>
        </w:r>
        <w:r>
          <w:tab/>
        </w:r>
        <w:r>
          <w:fldChar w:fldCharType="begin"/>
        </w:r>
        <w:r>
          <w:instrText xml:space="preserve"> PAGEREF _Toc2438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2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_Toc18012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3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_Toc17883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10" w:history="1">
        <w:r>
          <w:rPr>
            <w:rFonts w:ascii="仿宋" w:eastAsia="仿宋" w:hAnsi="仿宋" w:cs="仿宋" w:hint="eastAsia"/>
            <w:lang w:eastAsia="zh-CN"/>
          </w:rPr>
          <w:t>十、环境保护与绿色发展</w:t>
        </w:r>
        <w:r>
          <w:tab/>
        </w:r>
        <w:r>
          <w:fldChar w:fldCharType="begin"/>
        </w:r>
        <w:r>
          <w:instrText xml:space="preserve"> PAGEREF _Toc17610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47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_Toc12647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0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_Toc19010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95" w:history="1">
        <w:r>
          <w:rPr>
            <w:rFonts w:ascii="仿宋" w:eastAsia="仿宋" w:hAnsi="仿宋" w:cs="仿宋" w:hint="eastAsia"/>
            <w:lang w:eastAsia="zh-CN"/>
          </w:rPr>
          <w:t>十一、资金管理与财务规划</w:t>
        </w:r>
        <w:r>
          <w:tab/>
        </w:r>
        <w:r>
          <w:fldChar w:fldCharType="begin"/>
        </w:r>
        <w:r>
          <w:instrText xml:space="preserve"> PAGEREF _Toc21195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2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_Toc12882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8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_Toc4358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_Toc768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46" w:history="1">
        <w:r>
          <w:rPr>
            <w:rFonts w:ascii="仿宋" w:eastAsia="仿宋" w:hAnsi="仿宋" w:cs="仿宋" w:hint="eastAsia"/>
            <w:lang w:eastAsia="zh-CN"/>
          </w:rPr>
          <w:t>十二、客户关系管理与市场拓展</w:t>
        </w:r>
        <w:r>
          <w:tab/>
        </w:r>
        <w:r>
          <w:fldChar w:fldCharType="begin"/>
        </w:r>
        <w:r>
          <w:instrText xml:space="preserve"> PAGEREF _Toc12546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0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_Toc20640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6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_Toc5256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58" w:history="1">
        <w:r>
          <w:rPr>
            <w:rFonts w:ascii="仿宋" w:eastAsia="仿宋" w:hAnsi="仿宋" w:cs="仿宋" w:hint="eastAsia"/>
            <w:lang w:eastAsia="zh-CN"/>
          </w:rPr>
          <w:t>十三、人力资源管理与开发</w:t>
        </w:r>
        <w:r>
          <w:tab/>
        </w:r>
        <w:r>
          <w:fldChar w:fldCharType="begin"/>
        </w:r>
        <w:r>
          <w:instrText xml:space="preserve"> PAGEREF _Toc16758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0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_Toc28140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9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_Toc14139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84" w:history="1">
        <w:r>
          <w:rPr>
            <w:rFonts w:ascii="仿宋" w:eastAsia="仿宋" w:hAnsi="仿宋" w:cs="仿宋" w:hint="eastAsia"/>
            <w:lang w:eastAsia="zh-CN"/>
          </w:rPr>
          <w:t>十四、合作与交流机制建立</w:t>
        </w:r>
        <w:r>
          <w:tab/>
        </w:r>
        <w:r>
          <w:fldChar w:fldCharType="begin"/>
        </w:r>
        <w:r>
          <w:instrText xml:space="preserve"> PAGEREF _Toc30184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4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_Toc5634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6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_Toc23936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29" w:history="1">
        <w:r>
          <w:rPr>
            <w:rFonts w:ascii="仿宋" w:eastAsia="仿宋" w:hAnsi="仿宋" w:cs="仿宋" w:hint="eastAsia"/>
            <w:lang w:eastAsia="zh-CN"/>
          </w:rPr>
          <w:t>十五、设施与设备管理</w:t>
        </w:r>
        <w:r>
          <w:tab/>
        </w:r>
        <w:r>
          <w:fldChar w:fldCharType="begin"/>
        </w:r>
        <w:r>
          <w:instrText xml:space="preserve"> PAGEREF _Toc6929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8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_Toc17388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_Toc2980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9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_Toc30929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0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_Toc700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8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_Toc21848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_Toc7776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4" w:history="1">
        <w:r>
          <w:rPr>
            <w:rFonts w:ascii="仿宋" w:eastAsia="仿宋" w:hAnsi="仿宋" w:cs="仿宋" w:hint="eastAsia"/>
            <w:lang w:eastAsia="zh-CN"/>
          </w:rPr>
          <w:t>十七、产业协同与集群发展</w:t>
        </w:r>
        <w:r>
          <w:tab/>
        </w:r>
        <w:r>
          <w:fldChar w:fldCharType="begin"/>
        </w:r>
        <w:r>
          <w:instrText xml:space="preserve"> PAGEREF _Toc2784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9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_Toc4099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1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_Toc31841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00" w:history="1">
        <w:r>
          <w:rPr>
            <w:rFonts w:ascii="仿宋" w:eastAsia="仿宋" w:hAnsi="仿宋" w:cs="仿宋" w:hint="eastAsia"/>
            <w:lang w:eastAsia="zh-CN"/>
          </w:rPr>
          <w:t>十八、项目施工方案</w:t>
        </w:r>
        <w:r>
          <w:tab/>
        </w:r>
        <w:r>
          <w:fldChar w:fldCharType="begin"/>
        </w:r>
        <w:r>
          <w:instrText xml:space="preserve"> PAGEREF _Toc28900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7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_Toc8117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_Toc676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4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_Toc3684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_Toc1387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54" w:history="1">
        <w:r>
          <w:rPr>
            <w:rFonts w:ascii="仿宋" w:eastAsia="仿宋" w:hAnsi="仿宋" w:cs="仿宋" w:hint="eastAsia"/>
            <w:lang w:eastAsia="zh-CN"/>
          </w:rPr>
          <w:t>十九、质量管理与控制</w:t>
        </w:r>
        <w:r>
          <w:tab/>
        </w:r>
        <w:r>
          <w:fldChar w:fldCharType="begin"/>
        </w:r>
        <w:r>
          <w:instrText xml:space="preserve"> PAGEREF _Toc27054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9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_Toc22609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0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_Toc5080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25" w:history="1">
        <w:r>
          <w:rPr>
            <w:rFonts w:ascii="仿宋" w:eastAsia="仿宋" w:hAnsi="仿宋" w:cs="仿宋" w:hint="eastAsia"/>
            <w:lang w:eastAsia="zh-CN"/>
          </w:rPr>
          <w:t>二十、企业合规与伦理</w:t>
        </w:r>
        <w:r>
          <w:tab/>
        </w:r>
        <w:r>
          <w:fldChar w:fldCharType="begin"/>
        </w:r>
        <w:r>
          <w:instrText xml:space="preserve"> PAGEREF _Toc32225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4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_Toc4374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8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_Toc11768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2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_Toc13442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6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_Toc10056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95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529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175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血球计数器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血球计数器项目将进行详细的生态影响评估，确保不会对当地的动植物种群和自然栖息地造成负面影响。如果项目地点附近有重要的生物栖息地或生态敏感区，项目将重新考虑建设地点或采取相应的保护措施。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血球计数器项目将积极采用可持续材料，如再生塑料和生物降解材料，以减少对环境的影响。项目还将推行废物减量和回收计划，例如通过再利用工业废料或建立回收系统。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血球计数器项目还将参与当地的环保活动和计划，如资助当地的环境保护项目或与社区合作进行环保宣传活动。通过这些活动，项目不仅能够提高自身的环境表现，还能在当地社区中树立积极的环保形象。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906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血球计数器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血球计数器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血球计数器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2514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血球计数器项目将采用绿色屋顶和生态墙等环境友好型建筑设计，这些设计不仅有助于改善空气质量，还能为城市野生动植物提供栖息地。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血球计数器项目将建立高效的废水处理系统，确保所有工业废水在排放前都经过适当处理，达到或超过环保标准。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血球计数器项目将致力于使用清洁能源，如太阳能和风能，减少对化石燃料的依赖。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血球计数器项目将举办环保教育研讨会，向员工和当地社区普及环保知识，提升对环境保护重要性的认识。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7788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在血球计数器项目启动前，将进行一系列深入的地质调查，包括钻探和土壤取样，以深入了解项目区域的地层结构和土壤组成。特别是对于土壤的承载能力和地下水位的深度进行详细评估。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血球计数器项目将通过地下水位监测系统定期检测水位变化，以预测和预防由高地下水位可能引起的地基问题。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血球计数器项目将进行详尽的水文和地形分析，以识别可能的洪水和泥石流风险区。基于这些分析，项目将设计防洪设施，如提高地基、构建防洪墙和排水沟。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血球计数器项目还将考虑建设排水系统，以减少地表水对土壤稳定性的影响。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完成初始的地质风险评估后，血球计数器项目将安装长期地质监测设备，如倾斜仪、裂缝计和地下水位计，以持续监测地质条件的变化。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4653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血球计数器项目将通过这些措施来适应和尊重特殊环境条件，确保项目的可持续发展，同时减少对环境的负面影响。这不仅有助于保护自然和文化遗产，还能提升项目在社会责任方面的表现和形象。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6425"/>
      <w:r>
        <w:rPr>
          <w:rFonts w:ascii="仿宋" w:eastAsia="仿宋" w:hAnsi="仿宋" w:cs="仿宋" w:hint="eastAsia"/>
          <w:sz w:val="28"/>
          <w:lang w:eastAsia="zh-CN"/>
        </w:rPr>
        <w:t>二、经济影响分析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8025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直接收益：假设血球计数器项目的产品或服务年销售收入为XX万元。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间接收益：包括提高品牌价值和市场份额，假设间接经济效益为XX万元。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社会和环境效益：虽难以量化，但假设其长期价值估计为XX万元。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成本效果比较：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假设项目的总成本（初始投资成本加上预计五年的运营成本和环境社会成本）为XX万元。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预期收益（直接收益加上五年的间接收益和社会环境效益）为XX万元。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因此，项目的成本效果比为XX万元（总成本）对比XX万元（总收益）。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投资回收期分析：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假设项目的总初始投资为XX万元，年运营成本为XX万元，而年直接收益为XX万元。假定直接收益和运营成本保持恒定，则项目的投资回收期为：（总初始投资） / （年直接收益 年运营成本）= XX年。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净现值（NPV）和内部收益率（IRR）分析：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https://d.book118.com/608142031106006036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7C335F"/>
    <w:rsid w:val="527C335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60814203110600603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2024-02-07T01:01:00Z</dcterms:created>
  <dcterms:modified xsi:type="dcterms:W3CDTF">2024-02-07T01:02:34Z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898057C5A1534628BCB2F44960BC78FD_11</vt:lpwstr>
  </property>
  <property fmtid="{D5CDD505-2E9C-101B-9397-08002B2CF9AE}" pid="3" name="KSOProductBuildVer">
    <vt:lpwstr>2052-12.1.0.16250</vt:lpwstr>
  </property>
</Properties>
</file>