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1AE9" w:rsidP="00DF28BF">
      <w:pPr>
        <w:pStyle w:val="Normal0"/>
        <w:widowControl/>
        <w:spacing w:before="156" w:after="156"/>
        <w:ind w:firstLine="0" w:firstLineChars="0"/>
        <w:jc w:val="left"/>
        <w:rPr>
          <w:rFonts w:ascii="微软雅黑" w:hAnsi="微软雅黑"/>
          <w:kern w:val="2"/>
          <w:szCs w:val="22"/>
          <w:lang w:val="en-US" w:eastAsia="zh-CN" w:bidi="ar-SA"/>
        </w:rPr>
      </w:pPr>
    </w:p>
    <w:sdt>
      <w:sdtPr>
        <w:rPr>
          <w:rFonts w:asciiTheme="minorHAnsi" w:eastAsiaTheme="minorEastAsia" w:hAnsiTheme="minorHAnsi" w:cstheme="minorBidi"/>
          <w:kern w:val="2"/>
          <w:sz w:val="21"/>
          <w:szCs w:val="22"/>
          <w:lang w:val="zh-CN" w:eastAsia="zh-CN" w:bidi="ar-SA"/>
        </w:rPr>
        <w:id w:val="2337056"/>
        <w:docPartObj>
          <w:docPartGallery w:val="Table of Contents"/>
          <w:docPartUnique/>
        </w:docPartObj>
      </w:sdtPr>
      <w:sdtEndPr>
        <w:rPr>
          <w:rFonts w:asciiTheme="minorHAnsi" w:eastAsiaTheme="minorEastAsia" w:hAnsiTheme="minorHAnsi" w:cstheme="minorBidi"/>
          <w:kern w:val="2"/>
          <w:sz w:val="21"/>
          <w:szCs w:val="22"/>
          <w:lang w:val="en-US" w:eastAsia="zh-CN" w:bidi="ar-SA"/>
        </w:rPr>
      </w:sdtEndPr>
      <w:sdtContent>
        <w:p w:rsidR="00180E5D" w:rsidP="00072073">
          <w:pPr>
            <w:pStyle w:val="Normal0"/>
            <w:spacing w:before="156" w:after="156"/>
            <w:ind w:firstLine="480"/>
            <w:jc w:val="center"/>
            <w:rPr>
              <w:kern w:val="2"/>
              <w:szCs w:val="22"/>
              <w:lang w:val="en-US" w:eastAsia="zh-CN" w:bidi="ar-SA"/>
            </w:rPr>
          </w:pPr>
          <w:r w:rsidRPr="00CC140A">
            <w:rPr>
              <w:rFonts w:asciiTheme="minorHAnsi" w:hAnsiTheme="minorHAnsi" w:cstheme="minorBidi"/>
              <w:b/>
              <w:kern w:val="2"/>
              <w:szCs w:val="22"/>
              <w:lang w:val="zh-CN" w:eastAsia="zh-CN" w:bidi="ar-SA"/>
            </w:rPr>
            <w:t>目</w:t>
          </w:r>
          <w:r w:rsidRPr="00CC140A">
            <w:rPr>
              <w:rFonts w:asciiTheme="minorHAnsi" w:hAnsiTheme="minorHAnsi" w:cstheme="minorBidi" w:hint="eastAsia"/>
              <w:b/>
              <w:kern w:val="2"/>
              <w:szCs w:val="22"/>
              <w:lang w:val="zh-CN" w:eastAsia="zh-CN" w:bidi="ar-SA"/>
            </w:rPr>
            <w:t xml:space="preserve">  </w:t>
          </w:r>
          <w:r w:rsidRPr="00CC140A">
            <w:rPr>
              <w:rFonts w:asciiTheme="minorHAnsi" w:hAnsiTheme="minorHAnsi" w:cstheme="minorBidi"/>
              <w:b/>
              <w:kern w:val="2"/>
              <w:szCs w:val="22"/>
              <w:lang w:val="zh-CN" w:eastAsia="zh-CN" w:bidi="ar-SA"/>
            </w:rPr>
            <w:t>录</w:t>
          </w:r>
        </w:p>
        <w:p w:rsidR="00180E5D" w:rsidP="00360D77">
          <w:pPr>
            <w:pStyle w:val="TOC1"/>
            <w:tabs>
              <w:tab w:val="right" w:leader="dot" w:pos="8296"/>
            </w:tabs>
            <w:spacing w:before="156" w:after="156"/>
            <w:ind w:firstLine="480"/>
            <w:rPr>
              <w:rFonts w:asciiTheme="minorHAnsi" w:eastAsiaTheme="minorEastAsia" w:hAnsiTheme="minorHAnsi" w:cstheme="minorBidi"/>
              <w:noProof/>
              <w:kern w:val="2"/>
              <w:sz w:val="21"/>
              <w:szCs w:val="22"/>
              <w:lang w:val="en-US" w:eastAsia="zh-CN" w:bidi="ar-SA"/>
            </w:rPr>
          </w:pPr>
          <w:r>
            <w:rPr>
              <w:rFonts w:asciiTheme="minorHAnsi" w:hAnsiTheme="minorHAnsi" w:cstheme="minorBidi"/>
              <w:kern w:val="2"/>
              <w:szCs w:val="22"/>
              <w:lang w:val="en-US" w:eastAsia="zh-CN" w:bidi="ar-SA"/>
            </w:rPr>
            <w:fldChar w:fldCharType="begin"/>
          </w:r>
          <w:r>
            <w:rPr>
              <w:rFonts w:asciiTheme="minorHAnsi" w:hAnsiTheme="minorHAnsi" w:cstheme="minorBidi"/>
              <w:kern w:val="2"/>
              <w:szCs w:val="22"/>
              <w:lang w:val="en-US" w:eastAsia="zh-CN" w:bidi="ar-SA"/>
            </w:rPr>
            <w:instrText xml:space="preserve"> TOC \o "1-2" \h \z \u </w:instrText>
          </w:r>
          <w:r>
            <w:rPr>
              <w:rFonts w:asciiTheme="minorHAnsi" w:hAnsiTheme="minorHAnsi" w:cstheme="minorBidi"/>
              <w:kern w:val="2"/>
              <w:szCs w:val="22"/>
              <w:lang w:val="en-US" w:eastAsia="zh-CN" w:bidi="ar-SA"/>
            </w:rPr>
            <w:fldChar w:fldCharType="separate"/>
          </w:r>
          <w:hyperlink w:anchor="_Toc385498387" w:history="1">
            <w:r w:rsidRPr="00360D77">
              <w:rPr>
                <w:rStyle w:val="Hyperlink"/>
                <w:rFonts w:asciiTheme="minorHAnsi" w:hAnsiTheme="minorHAnsi" w:cstheme="minorBidi" w:hint="eastAsia"/>
                <w:noProof/>
                <w:kern w:val="2"/>
                <w:szCs w:val="22"/>
                <w:lang w:val="en-US" w:eastAsia="zh-CN" w:bidi="ar-SA"/>
              </w:rPr>
              <w:t>第二部分会计核算管理</w:t>
            </w:r>
            <w:r>
              <w:rPr>
                <w:rFonts w:asciiTheme="minorHAnsi" w:hAnsiTheme="minorHAnsi" w:cstheme="minorBidi"/>
                <w:noProof/>
                <w:webHidden/>
                <w:kern w:val="2"/>
                <w:szCs w:val="22"/>
                <w:lang w:val="en-US" w:eastAsia="zh-CN" w:bidi="ar-SA"/>
              </w:rPr>
              <w:tab/>
            </w:r>
            <w:r>
              <w:rPr>
                <w:rFonts w:asciiTheme="minorHAnsi" w:hAnsiTheme="minorHAnsi" w:cstheme="minorBidi"/>
                <w:noProof/>
                <w:webHidden/>
                <w:kern w:val="2"/>
                <w:szCs w:val="22"/>
                <w:lang w:val="en-US" w:eastAsia="zh-CN" w:bidi="ar-SA"/>
              </w:rPr>
              <w:fldChar w:fldCharType="begin"/>
            </w:r>
            <w:r>
              <w:rPr>
                <w:rFonts w:asciiTheme="minorHAnsi" w:hAnsiTheme="minorHAnsi" w:cstheme="minorBidi"/>
                <w:noProof/>
                <w:webHidden/>
                <w:kern w:val="2"/>
                <w:szCs w:val="22"/>
                <w:lang w:val="en-US" w:eastAsia="zh-CN" w:bidi="ar-SA"/>
              </w:rPr>
              <w:instrText xml:space="preserve"> PAGEREF _Toc385498387 \h </w:instrText>
            </w:r>
            <w:r>
              <w:rPr>
                <w:rFonts w:asciiTheme="minorHAnsi" w:hAnsiTheme="minorHAnsi" w:cstheme="minorBidi"/>
                <w:noProof/>
                <w:webHidden/>
                <w:kern w:val="2"/>
                <w:szCs w:val="22"/>
                <w:lang w:val="en-US" w:eastAsia="zh-CN" w:bidi="ar-SA"/>
              </w:rPr>
              <w:fldChar w:fldCharType="separate"/>
            </w:r>
            <w:r>
              <w:rPr>
                <w:rFonts w:asciiTheme="minorHAnsi" w:hAnsiTheme="minorHAnsi" w:cstheme="minorBidi"/>
                <w:noProof/>
                <w:webHidden/>
                <w:kern w:val="2"/>
                <w:szCs w:val="22"/>
                <w:lang w:val="en-US" w:eastAsia="zh-CN" w:bidi="ar-SA"/>
              </w:rPr>
              <w:t>3</w:t>
            </w:r>
            <w:r>
              <w:rPr>
                <w:rFonts w:asciiTheme="minorHAnsi" w:hAnsiTheme="minorHAnsi" w:cstheme="minorBidi"/>
                <w:noProof/>
                <w:webHidden/>
                <w:kern w:val="2"/>
                <w:szCs w:val="22"/>
                <w:lang w:val="en-US" w:eastAsia="zh-CN" w:bidi="ar-SA"/>
              </w:rPr>
              <w:fldChar w:fldCharType="end"/>
            </w:r>
          </w:hyperlink>
        </w:p>
        <w:p w:rsidR="00180E5D" w:rsidP="00360D77">
          <w:pPr>
            <w:pStyle w:val="TOC1"/>
            <w:tabs>
              <w:tab w:val="left" w:pos="1050"/>
              <w:tab w:val="right" w:leader="dot" w:pos="8296"/>
            </w:tabs>
            <w:spacing w:before="156" w:after="156"/>
            <w:ind w:firstLine="480"/>
            <w:rPr>
              <w:rFonts w:asciiTheme="minorHAnsi" w:eastAsiaTheme="minorEastAsia" w:hAnsiTheme="minorHAnsi" w:cstheme="minorBidi"/>
              <w:noProof/>
              <w:kern w:val="2"/>
              <w:sz w:val="21"/>
              <w:szCs w:val="22"/>
              <w:lang w:val="en-US" w:eastAsia="zh-CN" w:bidi="ar-SA"/>
            </w:rPr>
          </w:pPr>
          <w:hyperlink w:anchor="_Toc385498388" w:history="1">
            <w:r w:rsidRPr="00360D77">
              <w:rPr>
                <w:rStyle w:val="Hyperlink"/>
                <w:rFonts w:asciiTheme="minorHAnsi" w:hAnsiTheme="minorHAnsi" w:cstheme="minorBidi"/>
                <w:noProof/>
                <w:kern w:val="2"/>
                <w:szCs w:val="22"/>
                <w:lang w:val="en-US" w:eastAsia="zh-CN" w:bidi="ar-SA"/>
              </w:rPr>
              <w:t>1</w:t>
            </w:r>
            <w:r>
              <w:rPr>
                <w:rFonts w:asciiTheme="minorHAnsi" w:eastAsiaTheme="minorEastAsia" w:hAnsiTheme="minorHAnsi" w:cstheme="minorBidi"/>
                <w:noProof/>
                <w:kern w:val="2"/>
                <w:sz w:val="21"/>
                <w:szCs w:val="22"/>
                <w:lang w:val="en-US" w:eastAsia="zh-CN" w:bidi="ar-SA"/>
              </w:rPr>
              <w:tab/>
            </w:r>
            <w:r w:rsidRPr="00360D77">
              <w:rPr>
                <w:rStyle w:val="Hyperlink"/>
                <w:rFonts w:asciiTheme="minorHAnsi" w:hAnsiTheme="minorHAnsi" w:cstheme="minorBidi" w:hint="eastAsia"/>
                <w:noProof/>
                <w:kern w:val="2"/>
                <w:szCs w:val="22"/>
                <w:lang w:val="en-US" w:eastAsia="zh-CN" w:bidi="ar-SA"/>
              </w:rPr>
              <w:t>总则</w:t>
            </w:r>
            <w:r>
              <w:rPr>
                <w:rFonts w:asciiTheme="minorHAnsi" w:hAnsiTheme="minorHAnsi" w:cstheme="minorBidi"/>
                <w:noProof/>
                <w:webHidden/>
                <w:kern w:val="2"/>
                <w:szCs w:val="22"/>
                <w:lang w:val="en-US" w:eastAsia="zh-CN" w:bidi="ar-SA"/>
              </w:rPr>
              <w:tab/>
            </w:r>
            <w:r>
              <w:rPr>
                <w:rFonts w:asciiTheme="minorHAnsi" w:hAnsiTheme="minorHAnsi" w:cstheme="minorBidi"/>
                <w:noProof/>
                <w:webHidden/>
                <w:kern w:val="2"/>
                <w:szCs w:val="22"/>
                <w:lang w:val="en-US" w:eastAsia="zh-CN" w:bidi="ar-SA"/>
              </w:rPr>
              <w:fldChar w:fldCharType="begin"/>
            </w:r>
            <w:r>
              <w:rPr>
                <w:rFonts w:asciiTheme="minorHAnsi" w:hAnsiTheme="minorHAnsi" w:cstheme="minorBidi"/>
                <w:noProof/>
                <w:webHidden/>
                <w:kern w:val="2"/>
                <w:szCs w:val="22"/>
                <w:lang w:val="en-US" w:eastAsia="zh-CN" w:bidi="ar-SA"/>
              </w:rPr>
              <w:instrText xml:space="preserve"> PAGEREF _Toc385498388 \h </w:instrText>
            </w:r>
            <w:r>
              <w:rPr>
                <w:rFonts w:asciiTheme="minorHAnsi" w:hAnsiTheme="minorHAnsi" w:cstheme="minorBidi"/>
                <w:noProof/>
                <w:webHidden/>
                <w:kern w:val="2"/>
                <w:szCs w:val="22"/>
                <w:lang w:val="en-US" w:eastAsia="zh-CN" w:bidi="ar-SA"/>
              </w:rPr>
              <w:fldChar w:fldCharType="separate"/>
            </w:r>
            <w:r>
              <w:rPr>
                <w:rFonts w:asciiTheme="minorHAnsi" w:hAnsiTheme="minorHAnsi" w:cstheme="minorBidi"/>
                <w:noProof/>
                <w:webHidden/>
                <w:kern w:val="2"/>
                <w:szCs w:val="22"/>
                <w:lang w:val="en-US" w:eastAsia="zh-CN" w:bidi="ar-SA"/>
              </w:rPr>
              <w:t>3</w:t>
            </w:r>
            <w:r>
              <w:rPr>
                <w:rFonts w:asciiTheme="minorHAnsi" w:hAnsiTheme="minorHAnsi" w:cstheme="minorBidi"/>
                <w:noProof/>
                <w:webHidden/>
                <w:kern w:val="2"/>
                <w:szCs w:val="22"/>
                <w:lang w:val="en-US" w:eastAsia="zh-CN" w:bidi="ar-SA"/>
              </w:rPr>
              <w:fldChar w:fldCharType="end"/>
            </w:r>
          </w:hyperlink>
        </w:p>
        <w:p w:rsidR="00180E5D" w:rsidP="00360D77">
          <w:pPr>
            <w:pStyle w:val="TOC1"/>
            <w:tabs>
              <w:tab w:val="left" w:pos="1050"/>
              <w:tab w:val="right" w:leader="dot" w:pos="8296"/>
            </w:tabs>
            <w:spacing w:before="156" w:after="156"/>
            <w:ind w:firstLine="480"/>
            <w:rPr>
              <w:rFonts w:asciiTheme="minorHAnsi" w:eastAsiaTheme="minorEastAsia" w:hAnsiTheme="minorHAnsi" w:cstheme="minorBidi"/>
              <w:noProof/>
              <w:kern w:val="2"/>
              <w:sz w:val="21"/>
              <w:szCs w:val="22"/>
              <w:lang w:val="en-US" w:eastAsia="zh-CN" w:bidi="ar-SA"/>
            </w:rPr>
          </w:pPr>
          <w:hyperlink w:anchor="_Toc385498389" w:history="1">
            <w:r w:rsidRPr="00360D77">
              <w:rPr>
                <w:rStyle w:val="Hyperlink"/>
                <w:rFonts w:asciiTheme="minorHAnsi" w:hAnsiTheme="minorHAnsi" w:cstheme="minorBidi"/>
                <w:noProof/>
                <w:kern w:val="2"/>
                <w:szCs w:val="22"/>
                <w:lang w:val="en-US" w:eastAsia="zh-CN" w:bidi="ar-SA"/>
              </w:rPr>
              <w:t>2</w:t>
            </w:r>
            <w:r>
              <w:rPr>
                <w:rFonts w:asciiTheme="minorHAnsi" w:eastAsiaTheme="minorEastAsia" w:hAnsiTheme="minorHAnsi" w:cstheme="minorBidi"/>
                <w:noProof/>
                <w:kern w:val="2"/>
                <w:sz w:val="21"/>
                <w:szCs w:val="22"/>
                <w:lang w:val="en-US" w:eastAsia="zh-CN" w:bidi="ar-SA"/>
              </w:rPr>
              <w:tab/>
            </w:r>
            <w:r w:rsidRPr="00360D77">
              <w:rPr>
                <w:rStyle w:val="Hyperlink"/>
                <w:rFonts w:asciiTheme="minorHAnsi" w:hAnsiTheme="minorHAnsi" w:cstheme="minorBidi" w:hint="eastAsia"/>
                <w:noProof/>
                <w:kern w:val="2"/>
                <w:szCs w:val="22"/>
                <w:lang w:val="en-US" w:eastAsia="zh-CN" w:bidi="ar-SA"/>
              </w:rPr>
              <w:t>中国会计准则下的会计处理</w:t>
            </w:r>
            <w:r>
              <w:rPr>
                <w:rFonts w:asciiTheme="minorHAnsi" w:hAnsiTheme="minorHAnsi" w:cstheme="minorBidi"/>
                <w:noProof/>
                <w:webHidden/>
                <w:kern w:val="2"/>
                <w:szCs w:val="22"/>
                <w:lang w:val="en-US" w:eastAsia="zh-CN" w:bidi="ar-SA"/>
              </w:rPr>
              <w:tab/>
            </w:r>
            <w:r>
              <w:rPr>
                <w:rFonts w:asciiTheme="minorHAnsi" w:hAnsiTheme="minorHAnsi" w:cstheme="minorBidi"/>
                <w:noProof/>
                <w:webHidden/>
                <w:kern w:val="2"/>
                <w:szCs w:val="22"/>
                <w:lang w:val="en-US" w:eastAsia="zh-CN" w:bidi="ar-SA"/>
              </w:rPr>
              <w:fldChar w:fldCharType="begin"/>
            </w:r>
            <w:r>
              <w:rPr>
                <w:rFonts w:asciiTheme="minorHAnsi" w:hAnsiTheme="minorHAnsi" w:cstheme="minorBidi"/>
                <w:noProof/>
                <w:webHidden/>
                <w:kern w:val="2"/>
                <w:szCs w:val="22"/>
                <w:lang w:val="en-US" w:eastAsia="zh-CN" w:bidi="ar-SA"/>
              </w:rPr>
              <w:instrText xml:space="preserve"> PAGEREF _Toc385498389 \h </w:instrText>
            </w:r>
            <w:r>
              <w:rPr>
                <w:rFonts w:asciiTheme="minorHAnsi" w:hAnsiTheme="minorHAnsi" w:cstheme="minorBidi"/>
                <w:noProof/>
                <w:webHidden/>
                <w:kern w:val="2"/>
                <w:szCs w:val="22"/>
                <w:lang w:val="en-US" w:eastAsia="zh-CN" w:bidi="ar-SA"/>
              </w:rPr>
              <w:fldChar w:fldCharType="separate"/>
            </w:r>
            <w:r>
              <w:rPr>
                <w:rFonts w:asciiTheme="minorHAnsi" w:hAnsiTheme="minorHAnsi" w:cstheme="minorBidi"/>
                <w:noProof/>
                <w:webHidden/>
                <w:kern w:val="2"/>
                <w:szCs w:val="22"/>
                <w:lang w:val="en-US" w:eastAsia="zh-CN" w:bidi="ar-SA"/>
              </w:rPr>
              <w:t>3</w:t>
            </w:r>
            <w:r>
              <w:rPr>
                <w:rFonts w:asciiTheme="minorHAnsi" w:hAnsiTheme="minorHAnsi" w:cstheme="minorBidi"/>
                <w:noProof/>
                <w:webHidden/>
                <w:kern w:val="2"/>
                <w:szCs w:val="22"/>
                <w:lang w:val="en-US" w:eastAsia="zh-CN" w:bidi="ar-SA"/>
              </w:rPr>
              <w:fldChar w:fldCharType="end"/>
            </w:r>
          </w:hyperlink>
        </w:p>
        <w:p w:rsidR="00180E5D" w:rsidP="00360D77">
          <w:pPr>
            <w:pStyle w:val="TOC1"/>
            <w:tabs>
              <w:tab w:val="left" w:pos="1050"/>
              <w:tab w:val="right" w:leader="dot" w:pos="8296"/>
            </w:tabs>
            <w:spacing w:before="156" w:after="156"/>
            <w:ind w:firstLine="480"/>
            <w:rPr>
              <w:rFonts w:asciiTheme="minorHAnsi" w:eastAsiaTheme="minorEastAsia" w:hAnsiTheme="minorHAnsi" w:cstheme="minorBidi"/>
              <w:noProof/>
              <w:kern w:val="2"/>
              <w:sz w:val="21"/>
              <w:szCs w:val="22"/>
              <w:lang w:val="en-US" w:eastAsia="zh-CN" w:bidi="ar-SA"/>
            </w:rPr>
          </w:pPr>
          <w:hyperlink w:anchor="_Toc385498390" w:history="1">
            <w:r w:rsidRPr="00360D77">
              <w:rPr>
                <w:rStyle w:val="Hyperlink"/>
                <w:rFonts w:asciiTheme="minorHAnsi" w:hAnsiTheme="minorHAnsi" w:cstheme="minorBidi"/>
                <w:noProof/>
                <w:kern w:val="2"/>
                <w:szCs w:val="22"/>
                <w:lang w:val="en-US" w:eastAsia="zh-CN" w:bidi="ar-SA"/>
              </w:rPr>
              <w:t>3</w:t>
            </w:r>
            <w:r>
              <w:rPr>
                <w:rFonts w:asciiTheme="minorHAnsi" w:eastAsiaTheme="minorEastAsia" w:hAnsiTheme="minorHAnsi" w:cstheme="minorBidi"/>
                <w:noProof/>
                <w:kern w:val="2"/>
                <w:sz w:val="21"/>
                <w:szCs w:val="22"/>
                <w:lang w:val="en-US" w:eastAsia="zh-CN" w:bidi="ar-SA"/>
              </w:rPr>
              <w:tab/>
            </w:r>
            <w:r w:rsidRPr="00360D77">
              <w:rPr>
                <w:rStyle w:val="Hyperlink"/>
                <w:rFonts w:asciiTheme="minorHAnsi" w:hAnsiTheme="minorHAnsi" w:cstheme="minorBidi" w:hint="eastAsia"/>
                <w:noProof/>
                <w:kern w:val="2"/>
                <w:szCs w:val="22"/>
                <w:lang w:val="en-US" w:eastAsia="zh-CN" w:bidi="ar-SA"/>
              </w:rPr>
              <w:t>美国公认会计准则下的会计处理</w:t>
            </w:r>
            <w:r>
              <w:rPr>
                <w:rFonts w:asciiTheme="minorHAnsi" w:hAnsiTheme="minorHAnsi" w:cstheme="minorBidi"/>
                <w:noProof/>
                <w:webHidden/>
                <w:kern w:val="2"/>
                <w:szCs w:val="22"/>
                <w:lang w:val="en-US" w:eastAsia="zh-CN" w:bidi="ar-SA"/>
              </w:rPr>
              <w:tab/>
            </w:r>
            <w:r>
              <w:rPr>
                <w:rFonts w:asciiTheme="minorHAnsi" w:hAnsiTheme="minorHAnsi" w:cstheme="minorBidi"/>
                <w:noProof/>
                <w:webHidden/>
                <w:kern w:val="2"/>
                <w:szCs w:val="22"/>
                <w:lang w:val="en-US" w:eastAsia="zh-CN" w:bidi="ar-SA"/>
              </w:rPr>
              <w:fldChar w:fldCharType="begin"/>
            </w:r>
            <w:r>
              <w:rPr>
                <w:rFonts w:asciiTheme="minorHAnsi" w:hAnsiTheme="minorHAnsi" w:cstheme="minorBidi"/>
                <w:noProof/>
                <w:webHidden/>
                <w:kern w:val="2"/>
                <w:szCs w:val="22"/>
                <w:lang w:val="en-US" w:eastAsia="zh-CN" w:bidi="ar-SA"/>
              </w:rPr>
              <w:instrText xml:space="preserve"> PAGEREF _Toc385498390 \h </w:instrText>
            </w:r>
            <w:r>
              <w:rPr>
                <w:rFonts w:asciiTheme="minorHAnsi" w:hAnsiTheme="minorHAnsi" w:cstheme="minorBidi"/>
                <w:noProof/>
                <w:webHidden/>
                <w:kern w:val="2"/>
                <w:szCs w:val="22"/>
                <w:lang w:val="en-US" w:eastAsia="zh-CN" w:bidi="ar-SA"/>
              </w:rPr>
              <w:fldChar w:fldCharType="separate"/>
            </w:r>
            <w:r>
              <w:rPr>
                <w:rFonts w:asciiTheme="minorHAnsi" w:hAnsiTheme="minorHAnsi" w:cstheme="minorBidi"/>
                <w:noProof/>
                <w:webHidden/>
                <w:kern w:val="2"/>
                <w:szCs w:val="22"/>
                <w:lang w:val="en-US" w:eastAsia="zh-CN" w:bidi="ar-SA"/>
              </w:rPr>
              <w:t>28</w:t>
            </w:r>
            <w:r>
              <w:rPr>
                <w:rFonts w:asciiTheme="minorHAnsi" w:hAnsiTheme="minorHAnsi" w:cstheme="minorBidi"/>
                <w:noProof/>
                <w:webHidden/>
                <w:kern w:val="2"/>
                <w:szCs w:val="22"/>
                <w:lang w:val="en-US" w:eastAsia="zh-CN" w:bidi="ar-SA"/>
              </w:rPr>
              <w:fldChar w:fldCharType="end"/>
            </w:r>
          </w:hyperlink>
        </w:p>
        <w:p w:rsidR="00180E5D" w:rsidP="00360D77">
          <w:pPr>
            <w:pStyle w:val="TOC1"/>
            <w:tabs>
              <w:tab w:val="left" w:pos="1050"/>
              <w:tab w:val="right" w:leader="dot" w:pos="8296"/>
            </w:tabs>
            <w:spacing w:before="156" w:after="156"/>
            <w:ind w:firstLine="480"/>
            <w:rPr>
              <w:rFonts w:asciiTheme="minorHAnsi" w:eastAsiaTheme="minorEastAsia" w:hAnsiTheme="minorHAnsi" w:cstheme="minorBidi"/>
              <w:noProof/>
              <w:kern w:val="2"/>
              <w:sz w:val="21"/>
              <w:szCs w:val="22"/>
              <w:lang w:val="en-US" w:eastAsia="zh-CN" w:bidi="ar-SA"/>
            </w:rPr>
          </w:pPr>
          <w:hyperlink w:anchor="_Toc385498391" w:history="1">
            <w:r w:rsidRPr="00360D77">
              <w:rPr>
                <w:rStyle w:val="Hyperlink"/>
                <w:rFonts w:asciiTheme="minorHAnsi" w:hAnsiTheme="minorHAnsi" w:cstheme="minorBidi"/>
                <w:noProof/>
                <w:kern w:val="2"/>
                <w:szCs w:val="22"/>
                <w:lang w:val="en-US" w:eastAsia="zh-CN" w:bidi="ar-SA"/>
              </w:rPr>
              <w:t>4</w:t>
            </w:r>
            <w:r>
              <w:rPr>
                <w:rFonts w:asciiTheme="minorHAnsi" w:eastAsiaTheme="minorEastAsia" w:hAnsiTheme="minorHAnsi" w:cstheme="minorBidi"/>
                <w:noProof/>
                <w:kern w:val="2"/>
                <w:sz w:val="21"/>
                <w:szCs w:val="22"/>
                <w:lang w:val="en-US" w:eastAsia="zh-CN" w:bidi="ar-SA"/>
              </w:rPr>
              <w:tab/>
            </w:r>
            <w:r w:rsidRPr="00360D77">
              <w:rPr>
                <w:rStyle w:val="Hyperlink"/>
                <w:rFonts w:asciiTheme="minorHAnsi" w:hAnsiTheme="minorHAnsi" w:cstheme="minorBidi" w:hint="eastAsia"/>
                <w:noProof/>
                <w:kern w:val="2"/>
                <w:szCs w:val="22"/>
                <w:lang w:val="en-US" w:eastAsia="zh-CN" w:bidi="ar-SA"/>
              </w:rPr>
              <w:t>附则：开发成本管理办法</w:t>
            </w:r>
            <w:r>
              <w:rPr>
                <w:rFonts w:asciiTheme="minorHAnsi" w:hAnsiTheme="minorHAnsi" w:cstheme="minorBidi"/>
                <w:noProof/>
                <w:webHidden/>
                <w:kern w:val="2"/>
                <w:szCs w:val="22"/>
                <w:lang w:val="en-US" w:eastAsia="zh-CN" w:bidi="ar-SA"/>
              </w:rPr>
              <w:tab/>
            </w:r>
            <w:r>
              <w:rPr>
                <w:rFonts w:asciiTheme="minorHAnsi" w:hAnsiTheme="minorHAnsi" w:cstheme="minorBidi"/>
                <w:noProof/>
                <w:webHidden/>
                <w:kern w:val="2"/>
                <w:szCs w:val="22"/>
                <w:lang w:val="en-US" w:eastAsia="zh-CN" w:bidi="ar-SA"/>
              </w:rPr>
              <w:fldChar w:fldCharType="begin"/>
            </w:r>
            <w:r>
              <w:rPr>
                <w:rFonts w:asciiTheme="minorHAnsi" w:hAnsiTheme="minorHAnsi" w:cstheme="minorBidi"/>
                <w:noProof/>
                <w:webHidden/>
                <w:kern w:val="2"/>
                <w:szCs w:val="22"/>
                <w:lang w:val="en-US" w:eastAsia="zh-CN" w:bidi="ar-SA"/>
              </w:rPr>
              <w:instrText xml:space="preserve"> PAGEREF _Toc385498391 \h </w:instrText>
            </w:r>
            <w:r>
              <w:rPr>
                <w:rFonts w:asciiTheme="minorHAnsi" w:hAnsiTheme="minorHAnsi" w:cstheme="minorBidi"/>
                <w:noProof/>
                <w:webHidden/>
                <w:kern w:val="2"/>
                <w:szCs w:val="22"/>
                <w:lang w:val="en-US" w:eastAsia="zh-CN" w:bidi="ar-SA"/>
              </w:rPr>
              <w:fldChar w:fldCharType="separate"/>
            </w:r>
            <w:r>
              <w:rPr>
                <w:rFonts w:asciiTheme="minorHAnsi" w:hAnsiTheme="minorHAnsi" w:cstheme="minorBidi"/>
                <w:noProof/>
                <w:webHidden/>
                <w:kern w:val="2"/>
                <w:szCs w:val="22"/>
                <w:lang w:val="en-US" w:eastAsia="zh-CN" w:bidi="ar-SA"/>
              </w:rPr>
              <w:t>37</w:t>
            </w:r>
            <w:r>
              <w:rPr>
                <w:rFonts w:asciiTheme="minorHAnsi" w:hAnsiTheme="minorHAnsi" w:cstheme="minorBidi"/>
                <w:noProof/>
                <w:webHidden/>
                <w:kern w:val="2"/>
                <w:szCs w:val="22"/>
                <w:lang w:val="en-US" w:eastAsia="zh-CN" w:bidi="ar-SA"/>
              </w:rPr>
              <w:fldChar w:fldCharType="end"/>
            </w:r>
          </w:hyperlink>
        </w:p>
        <w:p w:rsidR="00180E5D" w:rsidP="00180E5D">
          <w:pPr>
            <w:pStyle w:val="TOC2"/>
            <w:tabs>
              <w:tab w:val="left" w:pos="1680"/>
              <w:tab w:val="right" w:leader="dot" w:pos="8296"/>
            </w:tabs>
            <w:spacing w:before="156" w:after="156"/>
            <w:ind w:left="480" w:firstLine="480"/>
            <w:rPr>
              <w:rFonts w:asciiTheme="minorHAnsi" w:eastAsiaTheme="minorEastAsia" w:hAnsiTheme="minorHAnsi" w:cstheme="minorBidi"/>
              <w:noProof/>
              <w:kern w:val="2"/>
              <w:sz w:val="21"/>
              <w:szCs w:val="22"/>
              <w:lang w:val="en-US" w:eastAsia="zh-CN" w:bidi="ar-SA"/>
            </w:rPr>
          </w:pPr>
          <w:hyperlink w:anchor="_Toc385498392" w:history="1">
            <w:r w:rsidRPr="00360D77">
              <w:rPr>
                <w:rStyle w:val="Hyperlink"/>
                <w:rFonts w:asciiTheme="minorHAnsi" w:hAnsiTheme="minorHAnsi" w:cstheme="minorBidi"/>
                <w:noProof/>
                <w:kern w:val="2"/>
                <w:szCs w:val="22"/>
                <w:lang w:val="en-US" w:eastAsia="zh-CN" w:bidi="ar-SA"/>
              </w:rPr>
              <w:t>4.1</w:t>
            </w:r>
            <w:r>
              <w:rPr>
                <w:rFonts w:asciiTheme="minorHAnsi" w:eastAsiaTheme="minorEastAsia" w:hAnsiTheme="minorHAnsi" w:cstheme="minorBidi"/>
                <w:noProof/>
                <w:kern w:val="2"/>
                <w:sz w:val="21"/>
                <w:szCs w:val="22"/>
                <w:lang w:val="en-US" w:eastAsia="zh-CN" w:bidi="ar-SA"/>
              </w:rPr>
              <w:tab/>
            </w:r>
            <w:r w:rsidRPr="00360D77">
              <w:rPr>
                <w:rStyle w:val="Hyperlink"/>
                <w:rFonts w:asciiTheme="minorHAnsi" w:hAnsiTheme="minorHAnsi" w:cstheme="minorBidi" w:hint="eastAsia"/>
                <w:noProof/>
                <w:kern w:val="2"/>
                <w:szCs w:val="22"/>
                <w:lang w:val="en-US" w:eastAsia="zh-CN" w:bidi="ar-SA"/>
              </w:rPr>
              <w:t>开发成本核算原则</w:t>
            </w:r>
            <w:r>
              <w:rPr>
                <w:rFonts w:asciiTheme="minorHAnsi" w:hAnsiTheme="minorHAnsi" w:cstheme="minorBidi"/>
                <w:noProof/>
                <w:webHidden/>
                <w:kern w:val="2"/>
                <w:szCs w:val="22"/>
                <w:lang w:val="en-US" w:eastAsia="zh-CN" w:bidi="ar-SA"/>
              </w:rPr>
              <w:tab/>
            </w:r>
            <w:r>
              <w:rPr>
                <w:rFonts w:asciiTheme="minorHAnsi" w:hAnsiTheme="minorHAnsi" w:cstheme="minorBidi"/>
                <w:noProof/>
                <w:webHidden/>
                <w:kern w:val="2"/>
                <w:szCs w:val="22"/>
                <w:lang w:val="en-US" w:eastAsia="zh-CN" w:bidi="ar-SA"/>
              </w:rPr>
              <w:fldChar w:fldCharType="begin"/>
            </w:r>
            <w:r>
              <w:rPr>
                <w:rFonts w:asciiTheme="minorHAnsi" w:hAnsiTheme="minorHAnsi" w:cstheme="minorBidi"/>
                <w:noProof/>
                <w:webHidden/>
                <w:kern w:val="2"/>
                <w:szCs w:val="22"/>
                <w:lang w:val="en-US" w:eastAsia="zh-CN" w:bidi="ar-SA"/>
              </w:rPr>
              <w:instrText xml:space="preserve"> PAGEREF _Toc385498392 \h </w:instrText>
            </w:r>
            <w:r>
              <w:rPr>
                <w:rFonts w:asciiTheme="minorHAnsi" w:hAnsiTheme="minorHAnsi" w:cstheme="minorBidi"/>
                <w:noProof/>
                <w:webHidden/>
                <w:kern w:val="2"/>
                <w:szCs w:val="22"/>
                <w:lang w:val="en-US" w:eastAsia="zh-CN" w:bidi="ar-SA"/>
              </w:rPr>
              <w:fldChar w:fldCharType="separate"/>
            </w:r>
            <w:r>
              <w:rPr>
                <w:rFonts w:asciiTheme="minorHAnsi" w:hAnsiTheme="minorHAnsi" w:cstheme="minorBidi"/>
                <w:noProof/>
                <w:webHidden/>
                <w:kern w:val="2"/>
                <w:szCs w:val="22"/>
                <w:lang w:val="en-US" w:eastAsia="zh-CN" w:bidi="ar-SA"/>
              </w:rPr>
              <w:t>37</w:t>
            </w:r>
            <w:r>
              <w:rPr>
                <w:rFonts w:asciiTheme="minorHAnsi" w:hAnsiTheme="minorHAnsi" w:cstheme="minorBidi"/>
                <w:noProof/>
                <w:webHidden/>
                <w:kern w:val="2"/>
                <w:szCs w:val="22"/>
                <w:lang w:val="en-US" w:eastAsia="zh-CN" w:bidi="ar-SA"/>
              </w:rPr>
              <w:fldChar w:fldCharType="end"/>
            </w:r>
          </w:hyperlink>
        </w:p>
        <w:p w:rsidR="00180E5D" w:rsidP="00180E5D">
          <w:pPr>
            <w:pStyle w:val="TOC2"/>
            <w:tabs>
              <w:tab w:val="left" w:pos="1680"/>
              <w:tab w:val="right" w:leader="dot" w:pos="8296"/>
            </w:tabs>
            <w:spacing w:before="156" w:after="156"/>
            <w:ind w:left="480" w:firstLine="480"/>
            <w:rPr>
              <w:rFonts w:asciiTheme="minorHAnsi" w:eastAsiaTheme="minorEastAsia" w:hAnsiTheme="minorHAnsi" w:cstheme="minorBidi"/>
              <w:noProof/>
              <w:kern w:val="2"/>
              <w:sz w:val="21"/>
              <w:szCs w:val="22"/>
              <w:lang w:val="en-US" w:eastAsia="zh-CN" w:bidi="ar-SA"/>
            </w:rPr>
          </w:pPr>
          <w:hyperlink w:anchor="_Toc385498393" w:history="1">
            <w:r w:rsidRPr="00360D77">
              <w:rPr>
                <w:rStyle w:val="Hyperlink"/>
                <w:rFonts w:ascii="宋体" w:hAnsi="宋体" w:cstheme="minorBidi"/>
                <w:noProof/>
                <w:kern w:val="2"/>
                <w:szCs w:val="22"/>
                <w:lang w:val="en-US" w:eastAsia="zh-CN" w:bidi="ar-SA"/>
              </w:rPr>
              <w:t>4.2</w:t>
            </w:r>
            <w:r>
              <w:rPr>
                <w:rFonts w:asciiTheme="minorHAnsi" w:eastAsiaTheme="minorEastAsia" w:hAnsiTheme="minorHAnsi" w:cstheme="minorBidi"/>
                <w:noProof/>
                <w:kern w:val="2"/>
                <w:sz w:val="21"/>
                <w:szCs w:val="22"/>
                <w:lang w:val="en-US" w:eastAsia="zh-CN" w:bidi="ar-SA"/>
              </w:rPr>
              <w:tab/>
            </w:r>
            <w:r w:rsidRPr="00360D77">
              <w:rPr>
                <w:rStyle w:val="Hyperlink"/>
                <w:rFonts w:asciiTheme="minorHAnsi" w:hAnsiTheme="minorHAnsi" w:cstheme="minorBidi" w:hint="eastAsia"/>
                <w:noProof/>
                <w:kern w:val="2"/>
                <w:szCs w:val="22"/>
                <w:lang w:val="en-US" w:eastAsia="zh-CN" w:bidi="ar-SA"/>
              </w:rPr>
              <w:t>开发成本核算重点项目内容</w:t>
            </w:r>
            <w:r>
              <w:rPr>
                <w:rFonts w:asciiTheme="minorHAnsi" w:hAnsiTheme="minorHAnsi" w:cstheme="minorBidi"/>
                <w:noProof/>
                <w:webHidden/>
                <w:kern w:val="2"/>
                <w:szCs w:val="22"/>
                <w:lang w:val="en-US" w:eastAsia="zh-CN" w:bidi="ar-SA"/>
              </w:rPr>
              <w:tab/>
            </w:r>
            <w:r>
              <w:rPr>
                <w:rFonts w:asciiTheme="minorHAnsi" w:hAnsiTheme="minorHAnsi" w:cstheme="minorBidi"/>
                <w:noProof/>
                <w:webHidden/>
                <w:kern w:val="2"/>
                <w:szCs w:val="22"/>
                <w:lang w:val="en-US" w:eastAsia="zh-CN" w:bidi="ar-SA"/>
              </w:rPr>
              <w:fldChar w:fldCharType="begin"/>
            </w:r>
            <w:r>
              <w:rPr>
                <w:rFonts w:asciiTheme="minorHAnsi" w:hAnsiTheme="minorHAnsi" w:cstheme="minorBidi"/>
                <w:noProof/>
                <w:webHidden/>
                <w:kern w:val="2"/>
                <w:szCs w:val="22"/>
                <w:lang w:val="en-US" w:eastAsia="zh-CN" w:bidi="ar-SA"/>
              </w:rPr>
              <w:instrText xml:space="preserve"> PAGEREF _Toc385498393 \h </w:instrText>
            </w:r>
            <w:r>
              <w:rPr>
                <w:rFonts w:asciiTheme="minorHAnsi" w:hAnsiTheme="minorHAnsi" w:cstheme="minorBidi"/>
                <w:noProof/>
                <w:webHidden/>
                <w:kern w:val="2"/>
                <w:szCs w:val="22"/>
                <w:lang w:val="en-US" w:eastAsia="zh-CN" w:bidi="ar-SA"/>
              </w:rPr>
              <w:fldChar w:fldCharType="separate"/>
            </w:r>
            <w:r>
              <w:rPr>
                <w:rFonts w:asciiTheme="minorHAnsi" w:hAnsiTheme="minorHAnsi" w:cstheme="minorBidi"/>
                <w:noProof/>
                <w:webHidden/>
                <w:kern w:val="2"/>
                <w:szCs w:val="22"/>
                <w:lang w:val="en-US" w:eastAsia="zh-CN" w:bidi="ar-SA"/>
              </w:rPr>
              <w:t>37</w:t>
            </w:r>
            <w:r>
              <w:rPr>
                <w:rFonts w:asciiTheme="minorHAnsi" w:hAnsiTheme="minorHAnsi" w:cstheme="minorBidi"/>
                <w:noProof/>
                <w:webHidden/>
                <w:kern w:val="2"/>
                <w:szCs w:val="22"/>
                <w:lang w:val="en-US" w:eastAsia="zh-CN" w:bidi="ar-SA"/>
              </w:rPr>
              <w:fldChar w:fldCharType="end"/>
            </w:r>
          </w:hyperlink>
        </w:p>
        <w:p w:rsidR="00180E5D" w:rsidP="00360D77">
          <w:pPr>
            <w:pStyle w:val="TOC1"/>
            <w:tabs>
              <w:tab w:val="left" w:pos="1050"/>
              <w:tab w:val="right" w:leader="dot" w:pos="8296"/>
            </w:tabs>
            <w:spacing w:before="156" w:after="156"/>
            <w:ind w:firstLine="480"/>
            <w:rPr>
              <w:rFonts w:asciiTheme="minorHAnsi" w:eastAsiaTheme="minorEastAsia" w:hAnsiTheme="minorHAnsi" w:cstheme="minorBidi"/>
              <w:noProof/>
              <w:kern w:val="2"/>
              <w:sz w:val="21"/>
              <w:szCs w:val="22"/>
              <w:lang w:val="en-US" w:eastAsia="zh-CN" w:bidi="ar-SA"/>
            </w:rPr>
          </w:pPr>
          <w:hyperlink w:anchor="_Toc385498394" w:history="1">
            <w:r w:rsidRPr="00360D77">
              <w:rPr>
                <w:rStyle w:val="Hyperlink"/>
                <w:rFonts w:asciiTheme="minorHAnsi" w:hAnsiTheme="minorHAnsi" w:cstheme="minorBidi"/>
                <w:noProof/>
                <w:kern w:val="2"/>
                <w:szCs w:val="22"/>
                <w:lang w:val="en-US" w:eastAsia="zh-CN" w:bidi="ar-SA"/>
              </w:rPr>
              <w:t>5</w:t>
            </w:r>
            <w:r>
              <w:rPr>
                <w:rFonts w:asciiTheme="minorHAnsi" w:eastAsiaTheme="minorEastAsia" w:hAnsiTheme="minorHAnsi" w:cstheme="minorBidi"/>
                <w:noProof/>
                <w:kern w:val="2"/>
                <w:sz w:val="21"/>
                <w:szCs w:val="22"/>
                <w:lang w:val="en-US" w:eastAsia="zh-CN" w:bidi="ar-SA"/>
              </w:rPr>
              <w:tab/>
            </w:r>
            <w:r w:rsidRPr="00360D77">
              <w:rPr>
                <w:rStyle w:val="Hyperlink"/>
                <w:rFonts w:asciiTheme="minorHAnsi" w:hAnsiTheme="minorHAnsi" w:cstheme="minorBidi" w:hint="eastAsia"/>
                <w:noProof/>
                <w:kern w:val="2"/>
                <w:szCs w:val="22"/>
                <w:lang w:val="en-US" w:eastAsia="zh-CN" w:bidi="ar-SA"/>
              </w:rPr>
              <w:t>财务报告制度</w:t>
            </w:r>
            <w:r>
              <w:rPr>
                <w:rFonts w:asciiTheme="minorHAnsi" w:hAnsiTheme="minorHAnsi" w:cstheme="minorBidi"/>
                <w:noProof/>
                <w:webHidden/>
                <w:kern w:val="2"/>
                <w:szCs w:val="22"/>
                <w:lang w:val="en-US" w:eastAsia="zh-CN" w:bidi="ar-SA"/>
              </w:rPr>
              <w:tab/>
            </w:r>
            <w:r>
              <w:rPr>
                <w:rFonts w:asciiTheme="minorHAnsi" w:hAnsiTheme="minorHAnsi" w:cstheme="minorBidi"/>
                <w:noProof/>
                <w:webHidden/>
                <w:kern w:val="2"/>
                <w:szCs w:val="22"/>
                <w:lang w:val="en-US" w:eastAsia="zh-CN" w:bidi="ar-SA"/>
              </w:rPr>
              <w:fldChar w:fldCharType="begin"/>
            </w:r>
            <w:r>
              <w:rPr>
                <w:rFonts w:asciiTheme="minorHAnsi" w:hAnsiTheme="minorHAnsi" w:cstheme="minorBidi"/>
                <w:noProof/>
                <w:webHidden/>
                <w:kern w:val="2"/>
                <w:szCs w:val="22"/>
                <w:lang w:val="en-US" w:eastAsia="zh-CN" w:bidi="ar-SA"/>
              </w:rPr>
              <w:instrText xml:space="preserve"> PAGEREF _Toc385498394 \h </w:instrText>
            </w:r>
            <w:r>
              <w:rPr>
                <w:rFonts w:asciiTheme="minorHAnsi" w:hAnsiTheme="minorHAnsi" w:cstheme="minorBidi"/>
                <w:noProof/>
                <w:webHidden/>
                <w:kern w:val="2"/>
                <w:szCs w:val="22"/>
                <w:lang w:val="en-US" w:eastAsia="zh-CN" w:bidi="ar-SA"/>
              </w:rPr>
              <w:fldChar w:fldCharType="separate"/>
            </w:r>
            <w:r>
              <w:rPr>
                <w:rFonts w:asciiTheme="minorHAnsi" w:hAnsiTheme="minorHAnsi" w:cstheme="minorBidi"/>
                <w:noProof/>
                <w:webHidden/>
                <w:kern w:val="2"/>
                <w:szCs w:val="22"/>
                <w:lang w:val="en-US" w:eastAsia="zh-CN" w:bidi="ar-SA"/>
              </w:rPr>
              <w:t>54</w:t>
            </w:r>
            <w:r>
              <w:rPr>
                <w:rFonts w:asciiTheme="minorHAnsi" w:hAnsiTheme="minorHAnsi" w:cstheme="minorBidi"/>
                <w:noProof/>
                <w:webHidden/>
                <w:kern w:val="2"/>
                <w:szCs w:val="22"/>
                <w:lang w:val="en-US" w:eastAsia="zh-CN" w:bidi="ar-SA"/>
              </w:rPr>
              <w:fldChar w:fldCharType="end"/>
            </w:r>
          </w:hyperlink>
        </w:p>
        <w:p w:rsidR="00180E5D" w:rsidP="00180E5D">
          <w:pPr>
            <w:pStyle w:val="TOC2"/>
            <w:tabs>
              <w:tab w:val="left" w:pos="1680"/>
              <w:tab w:val="right" w:leader="dot" w:pos="8296"/>
            </w:tabs>
            <w:spacing w:before="156" w:after="156"/>
            <w:ind w:left="480" w:firstLine="480"/>
            <w:rPr>
              <w:rFonts w:asciiTheme="minorHAnsi" w:eastAsiaTheme="minorEastAsia" w:hAnsiTheme="minorHAnsi" w:cstheme="minorBidi"/>
              <w:noProof/>
              <w:kern w:val="2"/>
              <w:sz w:val="21"/>
              <w:szCs w:val="22"/>
              <w:lang w:val="en-US" w:eastAsia="zh-CN" w:bidi="ar-SA"/>
            </w:rPr>
          </w:pPr>
          <w:hyperlink w:anchor="_Toc385498395" w:history="1">
            <w:r w:rsidRPr="00360D77">
              <w:rPr>
                <w:rStyle w:val="Hyperlink"/>
                <w:rFonts w:asciiTheme="minorHAnsi" w:hAnsiTheme="minorHAnsi" w:cstheme="minorBidi"/>
                <w:noProof/>
                <w:kern w:val="2"/>
                <w:szCs w:val="22"/>
                <w:lang w:val="en-US" w:eastAsia="zh-CN" w:bidi="ar-SA"/>
              </w:rPr>
              <w:t>5.1</w:t>
            </w:r>
            <w:r>
              <w:rPr>
                <w:rFonts w:asciiTheme="minorHAnsi" w:eastAsiaTheme="minorEastAsia" w:hAnsiTheme="minorHAnsi" w:cstheme="minorBidi"/>
                <w:noProof/>
                <w:kern w:val="2"/>
                <w:sz w:val="21"/>
                <w:szCs w:val="22"/>
                <w:lang w:val="en-US" w:eastAsia="zh-CN" w:bidi="ar-SA"/>
              </w:rPr>
              <w:tab/>
            </w:r>
            <w:r w:rsidRPr="00360D77">
              <w:rPr>
                <w:rStyle w:val="Hyperlink"/>
                <w:rFonts w:asciiTheme="minorHAnsi" w:hAnsiTheme="minorHAnsi" w:cstheme="minorBidi" w:hint="eastAsia"/>
                <w:noProof/>
                <w:kern w:val="2"/>
                <w:szCs w:val="22"/>
                <w:lang w:val="en-US" w:eastAsia="zh-CN" w:bidi="ar-SA"/>
              </w:rPr>
              <w:t>适用范围</w:t>
            </w:r>
            <w:r>
              <w:rPr>
                <w:rFonts w:asciiTheme="minorHAnsi" w:hAnsiTheme="minorHAnsi" w:cstheme="minorBidi"/>
                <w:noProof/>
                <w:webHidden/>
                <w:kern w:val="2"/>
                <w:szCs w:val="22"/>
                <w:lang w:val="en-US" w:eastAsia="zh-CN" w:bidi="ar-SA"/>
              </w:rPr>
              <w:tab/>
            </w:r>
            <w:r>
              <w:rPr>
                <w:rFonts w:asciiTheme="minorHAnsi" w:hAnsiTheme="minorHAnsi" w:cstheme="minorBidi"/>
                <w:noProof/>
                <w:webHidden/>
                <w:kern w:val="2"/>
                <w:szCs w:val="22"/>
                <w:lang w:val="en-US" w:eastAsia="zh-CN" w:bidi="ar-SA"/>
              </w:rPr>
              <w:fldChar w:fldCharType="begin"/>
            </w:r>
            <w:r>
              <w:rPr>
                <w:rFonts w:asciiTheme="minorHAnsi" w:hAnsiTheme="minorHAnsi" w:cstheme="minorBidi"/>
                <w:noProof/>
                <w:webHidden/>
                <w:kern w:val="2"/>
                <w:szCs w:val="22"/>
                <w:lang w:val="en-US" w:eastAsia="zh-CN" w:bidi="ar-SA"/>
              </w:rPr>
              <w:instrText xml:space="preserve"> PAGEREF _Toc385498395 \h </w:instrText>
            </w:r>
            <w:r>
              <w:rPr>
                <w:rFonts w:asciiTheme="minorHAnsi" w:hAnsiTheme="minorHAnsi" w:cstheme="minorBidi"/>
                <w:noProof/>
                <w:webHidden/>
                <w:kern w:val="2"/>
                <w:szCs w:val="22"/>
                <w:lang w:val="en-US" w:eastAsia="zh-CN" w:bidi="ar-SA"/>
              </w:rPr>
              <w:fldChar w:fldCharType="separate"/>
            </w:r>
            <w:r>
              <w:rPr>
                <w:rFonts w:asciiTheme="minorHAnsi" w:hAnsiTheme="minorHAnsi" w:cstheme="minorBidi"/>
                <w:noProof/>
                <w:webHidden/>
                <w:kern w:val="2"/>
                <w:szCs w:val="22"/>
                <w:lang w:val="en-US" w:eastAsia="zh-CN" w:bidi="ar-SA"/>
              </w:rPr>
              <w:t>54</w:t>
            </w:r>
            <w:r>
              <w:rPr>
                <w:rFonts w:asciiTheme="minorHAnsi" w:hAnsiTheme="minorHAnsi" w:cstheme="minorBidi"/>
                <w:noProof/>
                <w:webHidden/>
                <w:kern w:val="2"/>
                <w:szCs w:val="22"/>
                <w:lang w:val="en-US" w:eastAsia="zh-CN" w:bidi="ar-SA"/>
              </w:rPr>
              <w:fldChar w:fldCharType="end"/>
            </w:r>
          </w:hyperlink>
        </w:p>
        <w:p w:rsidR="00180E5D" w:rsidP="00180E5D">
          <w:pPr>
            <w:pStyle w:val="TOC2"/>
            <w:tabs>
              <w:tab w:val="left" w:pos="1680"/>
              <w:tab w:val="right" w:leader="dot" w:pos="8296"/>
            </w:tabs>
            <w:spacing w:before="156" w:after="156"/>
            <w:ind w:left="480" w:firstLine="480"/>
            <w:rPr>
              <w:rFonts w:asciiTheme="minorHAnsi" w:eastAsiaTheme="minorEastAsia" w:hAnsiTheme="minorHAnsi" w:cstheme="minorBidi"/>
              <w:noProof/>
              <w:kern w:val="2"/>
              <w:sz w:val="21"/>
              <w:szCs w:val="22"/>
              <w:lang w:val="en-US" w:eastAsia="zh-CN" w:bidi="ar-SA"/>
            </w:rPr>
          </w:pPr>
          <w:hyperlink w:anchor="_Toc385498396" w:history="1">
            <w:r w:rsidRPr="00360D77">
              <w:rPr>
                <w:rStyle w:val="Hyperlink"/>
                <w:rFonts w:asciiTheme="minorHAnsi" w:hAnsiTheme="minorHAnsi" w:cstheme="minorBidi"/>
                <w:noProof/>
                <w:kern w:val="2"/>
                <w:szCs w:val="22"/>
                <w:lang w:val="en-US" w:eastAsia="zh-CN" w:bidi="ar-SA"/>
              </w:rPr>
              <w:t>5.2</w:t>
            </w:r>
            <w:r>
              <w:rPr>
                <w:rFonts w:asciiTheme="minorHAnsi" w:eastAsiaTheme="minorEastAsia" w:hAnsiTheme="minorHAnsi" w:cstheme="minorBidi"/>
                <w:noProof/>
                <w:kern w:val="2"/>
                <w:sz w:val="21"/>
                <w:szCs w:val="22"/>
                <w:lang w:val="en-US" w:eastAsia="zh-CN" w:bidi="ar-SA"/>
              </w:rPr>
              <w:tab/>
            </w:r>
            <w:r w:rsidRPr="00360D77">
              <w:rPr>
                <w:rStyle w:val="Hyperlink"/>
                <w:rFonts w:asciiTheme="minorHAnsi" w:hAnsiTheme="minorHAnsi" w:cstheme="minorBidi" w:hint="eastAsia"/>
                <w:noProof/>
                <w:kern w:val="2"/>
                <w:szCs w:val="22"/>
                <w:lang w:val="en-US" w:eastAsia="zh-CN" w:bidi="ar-SA"/>
              </w:rPr>
              <w:t>财务分析报告的分类</w:t>
            </w:r>
            <w:r>
              <w:rPr>
                <w:rFonts w:asciiTheme="minorHAnsi" w:hAnsiTheme="minorHAnsi" w:cstheme="minorBidi"/>
                <w:noProof/>
                <w:webHidden/>
                <w:kern w:val="2"/>
                <w:szCs w:val="22"/>
                <w:lang w:val="en-US" w:eastAsia="zh-CN" w:bidi="ar-SA"/>
              </w:rPr>
              <w:tab/>
            </w:r>
            <w:r>
              <w:rPr>
                <w:rFonts w:asciiTheme="minorHAnsi" w:hAnsiTheme="minorHAnsi" w:cstheme="minorBidi"/>
                <w:noProof/>
                <w:webHidden/>
                <w:kern w:val="2"/>
                <w:szCs w:val="22"/>
                <w:lang w:val="en-US" w:eastAsia="zh-CN" w:bidi="ar-SA"/>
              </w:rPr>
              <w:fldChar w:fldCharType="begin"/>
            </w:r>
            <w:r>
              <w:rPr>
                <w:rFonts w:asciiTheme="minorHAnsi" w:hAnsiTheme="minorHAnsi" w:cstheme="minorBidi"/>
                <w:noProof/>
                <w:webHidden/>
                <w:kern w:val="2"/>
                <w:szCs w:val="22"/>
                <w:lang w:val="en-US" w:eastAsia="zh-CN" w:bidi="ar-SA"/>
              </w:rPr>
              <w:instrText xml:space="preserve"> PAGEREF _Toc385498396 \h </w:instrText>
            </w:r>
            <w:r>
              <w:rPr>
                <w:rFonts w:asciiTheme="minorHAnsi" w:hAnsiTheme="minorHAnsi" w:cstheme="minorBidi"/>
                <w:noProof/>
                <w:webHidden/>
                <w:kern w:val="2"/>
                <w:szCs w:val="22"/>
                <w:lang w:val="en-US" w:eastAsia="zh-CN" w:bidi="ar-SA"/>
              </w:rPr>
              <w:fldChar w:fldCharType="separate"/>
            </w:r>
            <w:r>
              <w:rPr>
                <w:rFonts w:asciiTheme="minorHAnsi" w:hAnsiTheme="minorHAnsi" w:cstheme="minorBidi"/>
                <w:noProof/>
                <w:webHidden/>
                <w:kern w:val="2"/>
                <w:szCs w:val="22"/>
                <w:lang w:val="en-US" w:eastAsia="zh-CN" w:bidi="ar-SA"/>
              </w:rPr>
              <w:t>54</w:t>
            </w:r>
            <w:r>
              <w:rPr>
                <w:rFonts w:asciiTheme="minorHAnsi" w:hAnsiTheme="minorHAnsi" w:cstheme="minorBidi"/>
                <w:noProof/>
                <w:webHidden/>
                <w:kern w:val="2"/>
                <w:szCs w:val="22"/>
                <w:lang w:val="en-US" w:eastAsia="zh-CN" w:bidi="ar-SA"/>
              </w:rPr>
              <w:fldChar w:fldCharType="end"/>
            </w:r>
          </w:hyperlink>
        </w:p>
        <w:p w:rsidR="00180E5D" w:rsidP="00180E5D">
          <w:pPr>
            <w:pStyle w:val="TOC2"/>
            <w:tabs>
              <w:tab w:val="left" w:pos="1680"/>
              <w:tab w:val="right" w:leader="dot" w:pos="8296"/>
            </w:tabs>
            <w:spacing w:before="156" w:after="156"/>
            <w:ind w:left="480" w:firstLine="480"/>
            <w:rPr>
              <w:rFonts w:asciiTheme="minorHAnsi" w:eastAsiaTheme="minorEastAsia" w:hAnsiTheme="minorHAnsi" w:cstheme="minorBidi"/>
              <w:noProof/>
              <w:kern w:val="2"/>
              <w:sz w:val="21"/>
              <w:szCs w:val="22"/>
              <w:lang w:val="en-US" w:eastAsia="zh-CN" w:bidi="ar-SA"/>
            </w:rPr>
          </w:pPr>
          <w:hyperlink w:anchor="_Toc385498397" w:history="1">
            <w:r w:rsidRPr="00360D77">
              <w:rPr>
                <w:rStyle w:val="Hyperlink"/>
                <w:rFonts w:asciiTheme="minorHAnsi" w:hAnsiTheme="minorHAnsi" w:cstheme="minorBidi"/>
                <w:noProof/>
                <w:kern w:val="2"/>
                <w:szCs w:val="22"/>
                <w:lang w:val="en-US" w:eastAsia="zh-CN" w:bidi="ar-SA"/>
              </w:rPr>
              <w:t>5.3</w:t>
            </w:r>
            <w:r>
              <w:rPr>
                <w:rFonts w:asciiTheme="minorHAnsi" w:eastAsiaTheme="minorEastAsia" w:hAnsiTheme="minorHAnsi" w:cstheme="minorBidi"/>
                <w:noProof/>
                <w:kern w:val="2"/>
                <w:sz w:val="21"/>
                <w:szCs w:val="22"/>
                <w:lang w:val="en-US" w:eastAsia="zh-CN" w:bidi="ar-SA"/>
              </w:rPr>
              <w:tab/>
            </w:r>
            <w:r w:rsidRPr="00360D77">
              <w:rPr>
                <w:rStyle w:val="Hyperlink"/>
                <w:rFonts w:asciiTheme="minorHAnsi" w:hAnsiTheme="minorHAnsi" w:cstheme="minorBidi" w:hint="eastAsia"/>
                <w:noProof/>
                <w:kern w:val="2"/>
                <w:szCs w:val="22"/>
                <w:lang w:val="en-US" w:eastAsia="zh-CN" w:bidi="ar-SA"/>
              </w:rPr>
              <w:t>财务分析的内容和方法</w:t>
            </w:r>
            <w:r>
              <w:rPr>
                <w:rFonts w:asciiTheme="minorHAnsi" w:hAnsiTheme="minorHAnsi" w:cstheme="minorBidi"/>
                <w:noProof/>
                <w:webHidden/>
                <w:kern w:val="2"/>
                <w:szCs w:val="22"/>
                <w:lang w:val="en-US" w:eastAsia="zh-CN" w:bidi="ar-SA"/>
              </w:rPr>
              <w:tab/>
            </w:r>
            <w:r>
              <w:rPr>
                <w:rFonts w:asciiTheme="minorHAnsi" w:hAnsiTheme="minorHAnsi" w:cstheme="minorBidi"/>
                <w:noProof/>
                <w:webHidden/>
                <w:kern w:val="2"/>
                <w:szCs w:val="22"/>
                <w:lang w:val="en-US" w:eastAsia="zh-CN" w:bidi="ar-SA"/>
              </w:rPr>
              <w:fldChar w:fldCharType="begin"/>
            </w:r>
            <w:r>
              <w:rPr>
                <w:rFonts w:asciiTheme="minorHAnsi" w:hAnsiTheme="minorHAnsi" w:cstheme="minorBidi"/>
                <w:noProof/>
                <w:webHidden/>
                <w:kern w:val="2"/>
                <w:szCs w:val="22"/>
                <w:lang w:val="en-US" w:eastAsia="zh-CN" w:bidi="ar-SA"/>
              </w:rPr>
              <w:instrText xml:space="preserve"> PAGEREF _Toc385498397 \h </w:instrText>
            </w:r>
            <w:r>
              <w:rPr>
                <w:rFonts w:asciiTheme="minorHAnsi" w:hAnsiTheme="minorHAnsi" w:cstheme="minorBidi"/>
                <w:noProof/>
                <w:webHidden/>
                <w:kern w:val="2"/>
                <w:szCs w:val="22"/>
                <w:lang w:val="en-US" w:eastAsia="zh-CN" w:bidi="ar-SA"/>
              </w:rPr>
              <w:fldChar w:fldCharType="separate"/>
            </w:r>
            <w:r>
              <w:rPr>
                <w:rFonts w:asciiTheme="minorHAnsi" w:hAnsiTheme="minorHAnsi" w:cstheme="minorBidi"/>
                <w:noProof/>
                <w:webHidden/>
                <w:kern w:val="2"/>
                <w:szCs w:val="22"/>
                <w:lang w:val="en-US" w:eastAsia="zh-CN" w:bidi="ar-SA"/>
              </w:rPr>
              <w:t>54</w:t>
            </w:r>
            <w:r>
              <w:rPr>
                <w:rFonts w:asciiTheme="minorHAnsi" w:hAnsiTheme="minorHAnsi" w:cstheme="minorBidi"/>
                <w:noProof/>
                <w:webHidden/>
                <w:kern w:val="2"/>
                <w:szCs w:val="22"/>
                <w:lang w:val="en-US" w:eastAsia="zh-CN" w:bidi="ar-SA"/>
              </w:rPr>
              <w:fldChar w:fldCharType="end"/>
            </w:r>
          </w:hyperlink>
        </w:p>
        <w:p w:rsidR="00180E5D" w:rsidP="00180E5D">
          <w:pPr>
            <w:pStyle w:val="TOC2"/>
            <w:tabs>
              <w:tab w:val="left" w:pos="1680"/>
              <w:tab w:val="right" w:leader="dot" w:pos="8296"/>
            </w:tabs>
            <w:spacing w:before="156" w:after="156"/>
            <w:ind w:left="480" w:firstLine="480"/>
            <w:rPr>
              <w:rFonts w:asciiTheme="minorHAnsi" w:eastAsiaTheme="minorEastAsia" w:hAnsiTheme="minorHAnsi" w:cstheme="minorBidi"/>
              <w:noProof/>
              <w:kern w:val="2"/>
              <w:sz w:val="21"/>
              <w:szCs w:val="22"/>
              <w:lang w:val="en-US" w:eastAsia="zh-CN" w:bidi="ar-SA"/>
            </w:rPr>
          </w:pPr>
          <w:hyperlink w:anchor="_Toc385498398" w:history="1">
            <w:r w:rsidRPr="00360D77">
              <w:rPr>
                <w:rStyle w:val="Hyperlink"/>
                <w:rFonts w:asciiTheme="minorHAnsi" w:hAnsiTheme="minorHAnsi" w:cstheme="minorBidi"/>
                <w:noProof/>
                <w:kern w:val="2"/>
                <w:szCs w:val="22"/>
                <w:lang w:val="en-US" w:eastAsia="zh-CN" w:bidi="ar-SA"/>
              </w:rPr>
              <w:t>5.4</w:t>
            </w:r>
            <w:r>
              <w:rPr>
                <w:rFonts w:asciiTheme="minorHAnsi" w:eastAsiaTheme="minorEastAsia" w:hAnsiTheme="minorHAnsi" w:cstheme="minorBidi"/>
                <w:noProof/>
                <w:kern w:val="2"/>
                <w:sz w:val="21"/>
                <w:szCs w:val="22"/>
                <w:lang w:val="en-US" w:eastAsia="zh-CN" w:bidi="ar-SA"/>
              </w:rPr>
              <w:tab/>
            </w:r>
            <w:r w:rsidRPr="00360D77">
              <w:rPr>
                <w:rStyle w:val="Hyperlink"/>
                <w:rFonts w:asciiTheme="minorHAnsi" w:hAnsiTheme="minorHAnsi" w:cstheme="minorBidi" w:hint="eastAsia"/>
                <w:noProof/>
                <w:kern w:val="2"/>
                <w:szCs w:val="22"/>
                <w:lang w:val="en-US" w:eastAsia="zh-CN" w:bidi="ar-SA"/>
              </w:rPr>
              <w:t>财务分析的上报</w:t>
            </w:r>
            <w:r>
              <w:rPr>
                <w:rFonts w:asciiTheme="minorHAnsi" w:hAnsiTheme="minorHAnsi" w:cstheme="minorBidi"/>
                <w:noProof/>
                <w:webHidden/>
                <w:kern w:val="2"/>
                <w:szCs w:val="22"/>
                <w:lang w:val="en-US" w:eastAsia="zh-CN" w:bidi="ar-SA"/>
              </w:rPr>
              <w:tab/>
            </w:r>
            <w:r>
              <w:rPr>
                <w:rFonts w:asciiTheme="minorHAnsi" w:hAnsiTheme="minorHAnsi" w:cstheme="minorBidi"/>
                <w:noProof/>
                <w:webHidden/>
                <w:kern w:val="2"/>
                <w:szCs w:val="22"/>
                <w:lang w:val="en-US" w:eastAsia="zh-CN" w:bidi="ar-SA"/>
              </w:rPr>
              <w:fldChar w:fldCharType="begin"/>
            </w:r>
            <w:r>
              <w:rPr>
                <w:rFonts w:asciiTheme="minorHAnsi" w:hAnsiTheme="minorHAnsi" w:cstheme="minorBidi"/>
                <w:noProof/>
                <w:webHidden/>
                <w:kern w:val="2"/>
                <w:szCs w:val="22"/>
                <w:lang w:val="en-US" w:eastAsia="zh-CN" w:bidi="ar-SA"/>
              </w:rPr>
              <w:instrText xml:space="preserve"> PAGEREF _Toc385498398 \h </w:instrText>
            </w:r>
            <w:r>
              <w:rPr>
                <w:rFonts w:asciiTheme="minorHAnsi" w:hAnsiTheme="minorHAnsi" w:cstheme="minorBidi"/>
                <w:noProof/>
                <w:webHidden/>
                <w:kern w:val="2"/>
                <w:szCs w:val="22"/>
                <w:lang w:val="en-US" w:eastAsia="zh-CN" w:bidi="ar-SA"/>
              </w:rPr>
              <w:fldChar w:fldCharType="separate"/>
            </w:r>
            <w:r>
              <w:rPr>
                <w:rFonts w:asciiTheme="minorHAnsi" w:hAnsiTheme="minorHAnsi" w:cstheme="minorBidi"/>
                <w:noProof/>
                <w:webHidden/>
                <w:kern w:val="2"/>
                <w:szCs w:val="22"/>
                <w:lang w:val="en-US" w:eastAsia="zh-CN" w:bidi="ar-SA"/>
              </w:rPr>
              <w:t>55</w:t>
            </w:r>
            <w:r>
              <w:rPr>
                <w:rFonts w:asciiTheme="minorHAnsi" w:hAnsiTheme="minorHAnsi" w:cstheme="minorBidi"/>
                <w:noProof/>
                <w:webHidden/>
                <w:kern w:val="2"/>
                <w:szCs w:val="22"/>
                <w:lang w:val="en-US" w:eastAsia="zh-CN" w:bidi="ar-SA"/>
              </w:rPr>
              <w:fldChar w:fldCharType="end"/>
            </w:r>
          </w:hyperlink>
        </w:p>
        <w:p w:rsidR="00180E5D" w:rsidP="00360D77">
          <w:pPr>
            <w:pStyle w:val="TOC1"/>
            <w:tabs>
              <w:tab w:val="left" w:pos="1050"/>
              <w:tab w:val="right" w:leader="dot" w:pos="8296"/>
            </w:tabs>
            <w:spacing w:before="156" w:after="156"/>
            <w:ind w:firstLine="480"/>
            <w:rPr>
              <w:rFonts w:asciiTheme="minorHAnsi" w:eastAsiaTheme="minorEastAsia" w:hAnsiTheme="minorHAnsi" w:cstheme="minorBidi"/>
              <w:noProof/>
              <w:kern w:val="2"/>
              <w:sz w:val="21"/>
              <w:szCs w:val="22"/>
              <w:lang w:val="en-US" w:eastAsia="zh-CN" w:bidi="ar-SA"/>
            </w:rPr>
          </w:pPr>
          <w:hyperlink w:anchor="_Toc385498399" w:history="1">
            <w:r w:rsidRPr="00360D77">
              <w:rPr>
                <w:rStyle w:val="Hyperlink"/>
                <w:rFonts w:asciiTheme="minorHAnsi" w:hAnsiTheme="minorHAnsi" w:cstheme="minorBidi"/>
                <w:noProof/>
                <w:kern w:val="2"/>
                <w:szCs w:val="22"/>
                <w:lang w:val="en-US" w:eastAsia="zh-CN" w:bidi="ar-SA"/>
              </w:rPr>
              <w:t>6</w:t>
            </w:r>
            <w:r>
              <w:rPr>
                <w:rFonts w:asciiTheme="minorHAnsi" w:eastAsiaTheme="minorEastAsia" w:hAnsiTheme="minorHAnsi" w:cstheme="minorBidi"/>
                <w:noProof/>
                <w:kern w:val="2"/>
                <w:sz w:val="21"/>
                <w:szCs w:val="22"/>
                <w:lang w:val="en-US" w:eastAsia="zh-CN" w:bidi="ar-SA"/>
              </w:rPr>
              <w:tab/>
            </w:r>
            <w:r w:rsidRPr="00360D77">
              <w:rPr>
                <w:rStyle w:val="Hyperlink"/>
                <w:rFonts w:asciiTheme="minorHAnsi" w:hAnsiTheme="minorHAnsi" w:cstheme="minorBidi" w:hint="eastAsia"/>
                <w:noProof/>
                <w:kern w:val="2"/>
                <w:szCs w:val="22"/>
                <w:lang w:val="en-US" w:eastAsia="zh-CN" w:bidi="ar-SA"/>
              </w:rPr>
              <w:t>会计档案管理制度</w:t>
            </w:r>
            <w:r>
              <w:rPr>
                <w:rFonts w:asciiTheme="minorHAnsi" w:hAnsiTheme="minorHAnsi" w:cstheme="minorBidi"/>
                <w:noProof/>
                <w:webHidden/>
                <w:kern w:val="2"/>
                <w:szCs w:val="22"/>
                <w:lang w:val="en-US" w:eastAsia="zh-CN" w:bidi="ar-SA"/>
              </w:rPr>
              <w:tab/>
            </w:r>
            <w:r>
              <w:rPr>
                <w:rFonts w:asciiTheme="minorHAnsi" w:hAnsiTheme="minorHAnsi" w:cstheme="minorBidi"/>
                <w:noProof/>
                <w:webHidden/>
                <w:kern w:val="2"/>
                <w:szCs w:val="22"/>
                <w:lang w:val="en-US" w:eastAsia="zh-CN" w:bidi="ar-SA"/>
              </w:rPr>
              <w:fldChar w:fldCharType="begin"/>
            </w:r>
            <w:r>
              <w:rPr>
                <w:rFonts w:asciiTheme="minorHAnsi" w:hAnsiTheme="minorHAnsi" w:cstheme="minorBidi"/>
                <w:noProof/>
                <w:webHidden/>
                <w:kern w:val="2"/>
                <w:szCs w:val="22"/>
                <w:lang w:val="en-US" w:eastAsia="zh-CN" w:bidi="ar-SA"/>
              </w:rPr>
              <w:instrText xml:space="preserve"> PAGEREF _Toc385498399 \h </w:instrText>
            </w:r>
            <w:r>
              <w:rPr>
                <w:rFonts w:asciiTheme="minorHAnsi" w:hAnsiTheme="minorHAnsi" w:cstheme="minorBidi"/>
                <w:noProof/>
                <w:webHidden/>
                <w:kern w:val="2"/>
                <w:szCs w:val="22"/>
                <w:lang w:val="en-US" w:eastAsia="zh-CN" w:bidi="ar-SA"/>
              </w:rPr>
              <w:fldChar w:fldCharType="separate"/>
            </w:r>
            <w:r>
              <w:rPr>
                <w:rFonts w:asciiTheme="minorHAnsi" w:hAnsiTheme="minorHAnsi" w:cstheme="minorBidi"/>
                <w:noProof/>
                <w:webHidden/>
                <w:kern w:val="2"/>
                <w:szCs w:val="22"/>
                <w:lang w:val="en-US" w:eastAsia="zh-CN" w:bidi="ar-SA"/>
              </w:rPr>
              <w:t>55</w:t>
            </w:r>
            <w:r>
              <w:rPr>
                <w:rFonts w:asciiTheme="minorHAnsi" w:hAnsiTheme="minorHAnsi" w:cstheme="minorBidi"/>
                <w:noProof/>
                <w:webHidden/>
                <w:kern w:val="2"/>
                <w:szCs w:val="22"/>
                <w:lang w:val="en-US" w:eastAsia="zh-CN" w:bidi="ar-SA"/>
              </w:rPr>
              <w:fldChar w:fldCharType="end"/>
            </w:r>
          </w:hyperlink>
        </w:p>
        <w:p w:rsidR="00180E5D" w:rsidP="00180E5D">
          <w:pPr>
            <w:pStyle w:val="TOC2"/>
            <w:tabs>
              <w:tab w:val="left" w:pos="1680"/>
              <w:tab w:val="right" w:leader="dot" w:pos="8296"/>
            </w:tabs>
            <w:spacing w:before="156" w:after="156"/>
            <w:ind w:left="480" w:firstLine="480"/>
            <w:rPr>
              <w:rFonts w:asciiTheme="minorHAnsi" w:eastAsiaTheme="minorEastAsia" w:hAnsiTheme="minorHAnsi" w:cstheme="minorBidi"/>
              <w:noProof/>
              <w:kern w:val="2"/>
              <w:sz w:val="21"/>
              <w:szCs w:val="22"/>
              <w:lang w:val="en-US" w:eastAsia="zh-CN" w:bidi="ar-SA"/>
            </w:rPr>
          </w:pPr>
          <w:hyperlink w:anchor="_Toc385498400" w:history="1">
            <w:r w:rsidRPr="00360D77">
              <w:rPr>
                <w:rStyle w:val="Hyperlink"/>
                <w:rFonts w:asciiTheme="minorHAnsi" w:hAnsiTheme="minorHAnsi" w:cstheme="minorBidi"/>
                <w:noProof/>
                <w:kern w:val="2"/>
                <w:szCs w:val="22"/>
                <w:lang w:val="en-US" w:eastAsia="zh-CN" w:bidi="ar-SA"/>
              </w:rPr>
              <w:t>6.1</w:t>
            </w:r>
            <w:r>
              <w:rPr>
                <w:rFonts w:asciiTheme="minorHAnsi" w:eastAsiaTheme="minorEastAsia" w:hAnsiTheme="minorHAnsi" w:cstheme="minorBidi"/>
                <w:noProof/>
                <w:kern w:val="2"/>
                <w:sz w:val="21"/>
                <w:szCs w:val="22"/>
                <w:lang w:val="en-US" w:eastAsia="zh-CN" w:bidi="ar-SA"/>
              </w:rPr>
              <w:tab/>
            </w:r>
            <w:r w:rsidRPr="00360D77">
              <w:rPr>
                <w:rStyle w:val="Hyperlink"/>
                <w:rFonts w:asciiTheme="minorHAnsi" w:hAnsiTheme="minorHAnsi" w:cstheme="minorBidi" w:hint="eastAsia"/>
                <w:noProof/>
                <w:kern w:val="2"/>
                <w:szCs w:val="22"/>
                <w:lang w:val="en-US" w:eastAsia="zh-CN" w:bidi="ar-SA"/>
              </w:rPr>
              <w:t>公司的会计档案包括：</w:t>
            </w:r>
            <w:r>
              <w:rPr>
                <w:rFonts w:asciiTheme="minorHAnsi" w:hAnsiTheme="minorHAnsi" w:cstheme="minorBidi"/>
                <w:noProof/>
                <w:webHidden/>
                <w:kern w:val="2"/>
                <w:szCs w:val="22"/>
                <w:lang w:val="en-US" w:eastAsia="zh-CN" w:bidi="ar-SA"/>
              </w:rPr>
              <w:tab/>
            </w:r>
            <w:r>
              <w:rPr>
                <w:rFonts w:asciiTheme="minorHAnsi" w:hAnsiTheme="minorHAnsi" w:cstheme="minorBidi"/>
                <w:noProof/>
                <w:webHidden/>
                <w:kern w:val="2"/>
                <w:szCs w:val="22"/>
                <w:lang w:val="en-US" w:eastAsia="zh-CN" w:bidi="ar-SA"/>
              </w:rPr>
              <w:fldChar w:fldCharType="begin"/>
            </w:r>
            <w:r>
              <w:rPr>
                <w:rFonts w:asciiTheme="minorHAnsi" w:hAnsiTheme="minorHAnsi" w:cstheme="minorBidi"/>
                <w:noProof/>
                <w:webHidden/>
                <w:kern w:val="2"/>
                <w:szCs w:val="22"/>
                <w:lang w:val="en-US" w:eastAsia="zh-CN" w:bidi="ar-SA"/>
              </w:rPr>
              <w:instrText xml:space="preserve"> PAGEREF _Toc385498400 \h </w:instrText>
            </w:r>
            <w:r>
              <w:rPr>
                <w:rFonts w:asciiTheme="minorHAnsi" w:hAnsiTheme="minorHAnsi" w:cstheme="minorBidi"/>
                <w:noProof/>
                <w:webHidden/>
                <w:kern w:val="2"/>
                <w:szCs w:val="22"/>
                <w:lang w:val="en-US" w:eastAsia="zh-CN" w:bidi="ar-SA"/>
              </w:rPr>
              <w:fldChar w:fldCharType="separate"/>
            </w:r>
            <w:r>
              <w:rPr>
                <w:rFonts w:asciiTheme="minorHAnsi" w:hAnsiTheme="minorHAnsi" w:cstheme="minorBidi"/>
                <w:noProof/>
                <w:webHidden/>
                <w:kern w:val="2"/>
                <w:szCs w:val="22"/>
                <w:lang w:val="en-US" w:eastAsia="zh-CN" w:bidi="ar-SA"/>
              </w:rPr>
              <w:t>55</w:t>
            </w:r>
            <w:r>
              <w:rPr>
                <w:rFonts w:asciiTheme="minorHAnsi" w:hAnsiTheme="minorHAnsi" w:cstheme="minorBidi"/>
                <w:noProof/>
                <w:webHidden/>
                <w:kern w:val="2"/>
                <w:szCs w:val="22"/>
                <w:lang w:val="en-US" w:eastAsia="zh-CN" w:bidi="ar-SA"/>
              </w:rPr>
              <w:fldChar w:fldCharType="end"/>
            </w:r>
          </w:hyperlink>
        </w:p>
        <w:p w:rsidR="00180E5D" w:rsidP="00180E5D">
          <w:pPr>
            <w:pStyle w:val="TOC2"/>
            <w:tabs>
              <w:tab w:val="left" w:pos="1680"/>
              <w:tab w:val="right" w:leader="dot" w:pos="8296"/>
            </w:tabs>
            <w:spacing w:before="156" w:after="156"/>
            <w:ind w:left="480" w:firstLine="480"/>
            <w:rPr>
              <w:rFonts w:asciiTheme="minorHAnsi" w:eastAsiaTheme="minorEastAsia" w:hAnsiTheme="minorHAnsi" w:cstheme="minorBidi"/>
              <w:noProof/>
              <w:kern w:val="2"/>
              <w:sz w:val="21"/>
              <w:szCs w:val="22"/>
              <w:lang w:val="en-US" w:eastAsia="zh-CN" w:bidi="ar-SA"/>
            </w:rPr>
          </w:pPr>
          <w:hyperlink w:anchor="_Toc385498401" w:history="1">
            <w:r w:rsidRPr="00360D77">
              <w:rPr>
                <w:rStyle w:val="Hyperlink"/>
                <w:rFonts w:asciiTheme="minorHAnsi" w:hAnsiTheme="minorHAnsi" w:cstheme="minorBidi"/>
                <w:noProof/>
                <w:kern w:val="2"/>
                <w:szCs w:val="22"/>
                <w:lang w:val="en-US" w:eastAsia="zh-CN" w:bidi="ar-SA"/>
              </w:rPr>
              <w:t>6.2</w:t>
            </w:r>
            <w:r>
              <w:rPr>
                <w:rFonts w:asciiTheme="minorHAnsi" w:eastAsiaTheme="minorEastAsia" w:hAnsiTheme="minorHAnsi" w:cstheme="minorBidi"/>
                <w:noProof/>
                <w:kern w:val="2"/>
                <w:sz w:val="21"/>
                <w:szCs w:val="22"/>
                <w:lang w:val="en-US" w:eastAsia="zh-CN" w:bidi="ar-SA"/>
              </w:rPr>
              <w:tab/>
            </w:r>
            <w:r w:rsidRPr="00360D77">
              <w:rPr>
                <w:rStyle w:val="Hyperlink"/>
                <w:rFonts w:asciiTheme="minorHAnsi" w:hAnsiTheme="minorHAnsi" w:cstheme="minorBidi" w:hint="eastAsia"/>
                <w:noProof/>
                <w:kern w:val="2"/>
                <w:szCs w:val="22"/>
                <w:lang w:val="en-US" w:eastAsia="zh-CN" w:bidi="ar-SA"/>
              </w:rPr>
              <w:t>会计档案的保存</w:t>
            </w:r>
            <w:r>
              <w:rPr>
                <w:rFonts w:asciiTheme="minorHAnsi" w:hAnsiTheme="minorHAnsi" w:cstheme="minorBidi"/>
                <w:noProof/>
                <w:webHidden/>
                <w:kern w:val="2"/>
                <w:szCs w:val="22"/>
                <w:lang w:val="en-US" w:eastAsia="zh-CN" w:bidi="ar-SA"/>
              </w:rPr>
              <w:tab/>
            </w:r>
            <w:r>
              <w:rPr>
                <w:rFonts w:asciiTheme="minorHAnsi" w:hAnsiTheme="minorHAnsi" w:cstheme="minorBidi"/>
                <w:noProof/>
                <w:webHidden/>
                <w:kern w:val="2"/>
                <w:szCs w:val="22"/>
                <w:lang w:val="en-US" w:eastAsia="zh-CN" w:bidi="ar-SA"/>
              </w:rPr>
              <w:fldChar w:fldCharType="begin"/>
            </w:r>
            <w:r>
              <w:rPr>
                <w:rFonts w:asciiTheme="minorHAnsi" w:hAnsiTheme="minorHAnsi" w:cstheme="minorBidi"/>
                <w:noProof/>
                <w:webHidden/>
                <w:kern w:val="2"/>
                <w:szCs w:val="22"/>
                <w:lang w:val="en-US" w:eastAsia="zh-CN" w:bidi="ar-SA"/>
              </w:rPr>
              <w:instrText xml:space="preserve"> PAGEREF _Toc385498401 \h </w:instrText>
            </w:r>
            <w:r>
              <w:rPr>
                <w:rFonts w:asciiTheme="minorHAnsi" w:hAnsiTheme="minorHAnsi" w:cstheme="minorBidi"/>
                <w:noProof/>
                <w:webHidden/>
                <w:kern w:val="2"/>
                <w:szCs w:val="22"/>
                <w:lang w:val="en-US" w:eastAsia="zh-CN" w:bidi="ar-SA"/>
              </w:rPr>
              <w:fldChar w:fldCharType="separate"/>
            </w:r>
            <w:r>
              <w:rPr>
                <w:rFonts w:asciiTheme="minorHAnsi" w:hAnsiTheme="minorHAnsi" w:cstheme="minorBidi"/>
                <w:noProof/>
                <w:webHidden/>
                <w:kern w:val="2"/>
                <w:szCs w:val="22"/>
                <w:lang w:val="en-US" w:eastAsia="zh-CN" w:bidi="ar-SA"/>
              </w:rPr>
              <w:t>56</w:t>
            </w:r>
            <w:r>
              <w:rPr>
                <w:rFonts w:asciiTheme="minorHAnsi" w:hAnsiTheme="minorHAnsi" w:cstheme="minorBidi"/>
                <w:noProof/>
                <w:webHidden/>
                <w:kern w:val="2"/>
                <w:szCs w:val="22"/>
                <w:lang w:val="en-US" w:eastAsia="zh-CN" w:bidi="ar-SA"/>
              </w:rPr>
              <w:fldChar w:fldCharType="end"/>
            </w:r>
          </w:hyperlink>
        </w:p>
        <w:p w:rsidR="00180E5D" w:rsidP="00180E5D">
          <w:pPr>
            <w:pStyle w:val="TOC2"/>
            <w:tabs>
              <w:tab w:val="left" w:pos="1680"/>
              <w:tab w:val="right" w:leader="dot" w:pos="8296"/>
            </w:tabs>
            <w:spacing w:before="156" w:after="156"/>
            <w:ind w:left="480" w:firstLine="480"/>
            <w:rPr>
              <w:rFonts w:asciiTheme="minorHAnsi" w:eastAsiaTheme="minorEastAsia" w:hAnsiTheme="minorHAnsi" w:cstheme="minorBidi"/>
              <w:noProof/>
              <w:kern w:val="2"/>
              <w:sz w:val="21"/>
              <w:szCs w:val="22"/>
              <w:lang w:val="en-US" w:eastAsia="zh-CN" w:bidi="ar-SA"/>
            </w:rPr>
            <w:sectPr w:rsidSect="00A65E41">
              <w:pgSz w:w="11906" w:h="16838"/>
              <w:pgMar w:top="1440" w:right="1800" w:bottom="1440" w:left="1800" w:header="851" w:footer="992" w:gutter="0"/>
              <w:cols w:space="425"/>
              <w:docGrid w:type="lines" w:linePitch="312"/>
            </w:sectPr>
          </w:pPr>
          <w:hyperlink w:anchor="_Toc385498402" w:history="1">
            <w:r w:rsidRPr="00360D77">
              <w:rPr>
                <w:rStyle w:val="Hyperlink"/>
                <w:rFonts w:asciiTheme="minorHAnsi" w:hAnsiTheme="minorHAnsi" w:cstheme="minorBidi"/>
                <w:noProof/>
                <w:kern w:val="2"/>
                <w:szCs w:val="22"/>
                <w:lang w:val="en-US" w:eastAsia="zh-CN" w:bidi="ar-SA"/>
              </w:rPr>
              <w:t>6.3</w:t>
            </w:r>
            <w:r>
              <w:rPr>
                <w:rFonts w:asciiTheme="minorHAnsi" w:eastAsiaTheme="minorEastAsia" w:hAnsiTheme="minorHAnsi" w:cstheme="minorBidi"/>
                <w:noProof/>
                <w:kern w:val="2"/>
                <w:sz w:val="21"/>
                <w:szCs w:val="22"/>
                <w:lang w:val="en-US" w:eastAsia="zh-CN" w:bidi="ar-SA"/>
              </w:rPr>
              <w:tab/>
            </w:r>
            <w:r w:rsidRPr="00360D77">
              <w:rPr>
                <w:rStyle w:val="Hyperlink"/>
                <w:rFonts w:asciiTheme="minorHAnsi" w:hAnsiTheme="minorHAnsi" w:cstheme="minorBidi" w:hint="eastAsia"/>
                <w:noProof/>
                <w:kern w:val="2"/>
                <w:szCs w:val="22"/>
                <w:lang w:val="en-US" w:eastAsia="zh-CN" w:bidi="ar-SA"/>
              </w:rPr>
              <w:t>会计档案的借用。</w:t>
            </w:r>
            <w:r>
              <w:rPr>
                <w:rFonts w:asciiTheme="minorHAnsi" w:hAnsiTheme="minorHAnsi" w:cstheme="minorBidi"/>
                <w:noProof/>
                <w:webHidden/>
                <w:kern w:val="2"/>
                <w:szCs w:val="22"/>
                <w:lang w:val="en-US" w:eastAsia="zh-CN" w:bidi="ar-SA"/>
              </w:rPr>
              <w:tab/>
            </w:r>
            <w:r>
              <w:rPr>
                <w:rFonts w:asciiTheme="minorHAnsi" w:hAnsiTheme="minorHAnsi" w:cstheme="minorBidi"/>
                <w:noProof/>
                <w:webHidden/>
                <w:kern w:val="2"/>
                <w:szCs w:val="22"/>
                <w:lang w:val="en-US" w:eastAsia="zh-CN" w:bidi="ar-SA"/>
              </w:rPr>
              <w:fldChar w:fldCharType="begin"/>
            </w:r>
            <w:r>
              <w:rPr>
                <w:rFonts w:asciiTheme="minorHAnsi" w:hAnsiTheme="minorHAnsi" w:cstheme="minorBidi"/>
                <w:noProof/>
                <w:webHidden/>
                <w:kern w:val="2"/>
                <w:szCs w:val="22"/>
                <w:lang w:val="en-US" w:eastAsia="zh-CN" w:bidi="ar-SA"/>
              </w:rPr>
              <w:instrText xml:space="preserve"> PAGEREF _Toc385498402 \h </w:instrText>
            </w:r>
            <w:r>
              <w:rPr>
                <w:rFonts w:asciiTheme="minorHAnsi" w:hAnsiTheme="minorHAnsi" w:cstheme="minorBidi"/>
                <w:noProof/>
                <w:webHidden/>
                <w:kern w:val="2"/>
                <w:szCs w:val="22"/>
                <w:lang w:val="en-US" w:eastAsia="zh-CN" w:bidi="ar-SA"/>
              </w:rPr>
              <w:fldChar w:fldCharType="separate"/>
            </w:r>
            <w:r>
              <w:rPr>
                <w:rFonts w:asciiTheme="minorHAnsi" w:hAnsiTheme="minorHAnsi" w:cstheme="minorBidi"/>
                <w:noProof/>
                <w:webHidden/>
                <w:kern w:val="2"/>
                <w:szCs w:val="22"/>
                <w:lang w:val="en-US" w:eastAsia="zh-CN" w:bidi="ar-SA"/>
              </w:rPr>
              <w:t>56</w:t>
            </w:r>
            <w:r>
              <w:rPr>
                <w:rFonts w:asciiTheme="minorHAnsi" w:hAnsiTheme="minorHAnsi" w:cstheme="minorBidi"/>
                <w:noProof/>
                <w:webHidden/>
                <w:kern w:val="2"/>
                <w:szCs w:val="22"/>
                <w:lang w:val="en-US" w:eastAsia="zh-CN" w:bidi="ar-SA"/>
              </w:rPr>
              <w:fldChar w:fldCharType="end"/>
            </w:r>
          </w:hyperlink>
        </w:p>
      </w:sdtContent>
    </w:sdt>
    <w:sdt>
      <w:sdtPr>
        <w:rPr>
          <w:rFonts w:asciiTheme="minorHAnsi" w:eastAsiaTheme="minorEastAsia" w:hAnsiTheme="minorHAnsi" w:cstheme="minorBidi"/>
          <w:kern w:val="2"/>
          <w:sz w:val="21"/>
          <w:szCs w:val="22"/>
          <w:lang w:val="zh-CN" w:eastAsia="zh-CN" w:bidi="ar-SA"/>
        </w:rPr>
        <w:id w:val="1883947652"/>
        <w:docPartObj>
          <w:docPartGallery w:val="Table of Contents"/>
          <w:docPartUnique/>
        </w:docPartObj>
      </w:sdtPr>
      <w:sdtEndPr>
        <w:rPr>
          <w:rFonts w:asciiTheme="minorHAnsi" w:eastAsiaTheme="minorEastAsia" w:hAnsiTheme="minorHAnsi" w:cstheme="minorBidi"/>
          <w:kern w:val="2"/>
          <w:sz w:val="21"/>
          <w:szCs w:val="22"/>
          <w:lang w:val="en-US" w:eastAsia="zh-CN" w:bidi="ar-SA"/>
        </w:rPr>
      </w:sdtEndPr>
      <w:sdtContent>
        <w:p w:rsidR="00180E5D" w:rsidP="00180E5D">
          <w:pPr>
            <w:pStyle w:val="TOC2"/>
            <w:tabs>
              <w:tab w:val="left" w:pos="1680"/>
              <w:tab w:val="right" w:leader="dot" w:pos="8296"/>
            </w:tabs>
            <w:spacing w:before="156" w:after="156"/>
            <w:ind w:left="480" w:firstLine="480"/>
            <w:rPr>
              <w:rFonts w:asciiTheme="minorHAnsi" w:eastAsiaTheme="minorEastAsia" w:hAnsiTheme="minorHAnsi" w:cstheme="minorBidi"/>
              <w:noProof/>
              <w:kern w:val="2"/>
              <w:sz w:val="21"/>
              <w:szCs w:val="22"/>
              <w:lang w:val="en-US" w:eastAsia="zh-CN" w:bidi="ar-SA"/>
            </w:rPr>
          </w:pPr>
          <w:hyperlink w:anchor="_Toc385498403" w:history="1">
            <w:r w:rsidRPr="00360D77">
              <w:rPr>
                <w:rStyle w:val="Hyperlink"/>
                <w:rFonts w:asciiTheme="minorHAnsi" w:hAnsiTheme="minorHAnsi" w:cstheme="minorBidi"/>
                <w:noProof/>
                <w:kern w:val="2"/>
                <w:szCs w:val="22"/>
                <w:lang w:val="en-US" w:eastAsia="zh-CN" w:bidi="ar-SA"/>
              </w:rPr>
              <w:t>6.4</w:t>
            </w:r>
            <w:r>
              <w:rPr>
                <w:rFonts w:asciiTheme="minorHAnsi" w:eastAsiaTheme="minorEastAsia" w:hAnsiTheme="minorHAnsi" w:cstheme="minorBidi"/>
                <w:noProof/>
                <w:kern w:val="2"/>
                <w:sz w:val="21"/>
                <w:szCs w:val="22"/>
                <w:lang w:val="en-US" w:eastAsia="zh-CN" w:bidi="ar-SA"/>
              </w:rPr>
              <w:tab/>
            </w:r>
            <w:r w:rsidRPr="00360D77">
              <w:rPr>
                <w:rStyle w:val="Hyperlink"/>
                <w:rFonts w:asciiTheme="minorHAnsi" w:hAnsiTheme="minorHAnsi" w:cstheme="minorBidi" w:hint="eastAsia"/>
                <w:noProof/>
                <w:kern w:val="2"/>
                <w:szCs w:val="22"/>
                <w:lang w:val="en-US" w:eastAsia="zh-CN" w:bidi="ar-SA"/>
              </w:rPr>
              <w:t>会计档案的销毁</w:t>
            </w:r>
            <w:r>
              <w:rPr>
                <w:rFonts w:asciiTheme="minorHAnsi" w:hAnsiTheme="minorHAnsi" w:cstheme="minorBidi"/>
                <w:noProof/>
                <w:webHidden/>
                <w:kern w:val="2"/>
                <w:szCs w:val="22"/>
                <w:lang w:val="en-US" w:eastAsia="zh-CN" w:bidi="ar-SA"/>
              </w:rPr>
              <w:tab/>
            </w:r>
            <w:r>
              <w:rPr>
                <w:rFonts w:asciiTheme="minorHAnsi" w:hAnsiTheme="minorHAnsi" w:cstheme="minorBidi"/>
                <w:noProof/>
                <w:webHidden/>
                <w:kern w:val="2"/>
                <w:szCs w:val="22"/>
                <w:lang w:val="en-US" w:eastAsia="zh-CN" w:bidi="ar-SA"/>
              </w:rPr>
              <w:fldChar w:fldCharType="begin"/>
            </w:r>
            <w:r>
              <w:rPr>
                <w:rFonts w:asciiTheme="minorHAnsi" w:hAnsiTheme="minorHAnsi" w:cstheme="minorBidi"/>
                <w:noProof/>
                <w:webHidden/>
                <w:kern w:val="2"/>
                <w:szCs w:val="22"/>
                <w:lang w:val="en-US" w:eastAsia="zh-CN" w:bidi="ar-SA"/>
              </w:rPr>
              <w:instrText xml:space="preserve"> PAGEREF _Toc385498403 \h </w:instrText>
            </w:r>
            <w:r>
              <w:rPr>
                <w:rFonts w:asciiTheme="minorHAnsi" w:hAnsiTheme="minorHAnsi" w:cstheme="minorBidi"/>
                <w:noProof/>
                <w:webHidden/>
                <w:kern w:val="2"/>
                <w:szCs w:val="22"/>
                <w:lang w:val="en-US" w:eastAsia="zh-CN" w:bidi="ar-SA"/>
              </w:rPr>
              <w:fldChar w:fldCharType="separate"/>
            </w:r>
            <w:r>
              <w:rPr>
                <w:rFonts w:asciiTheme="minorHAnsi" w:hAnsiTheme="minorHAnsi" w:cstheme="minorBidi"/>
                <w:noProof/>
                <w:webHidden/>
                <w:kern w:val="2"/>
                <w:szCs w:val="22"/>
                <w:lang w:val="en-US" w:eastAsia="zh-CN" w:bidi="ar-SA"/>
              </w:rPr>
              <w:t>57</w:t>
            </w:r>
            <w:r>
              <w:rPr>
                <w:rFonts w:asciiTheme="minorHAnsi" w:hAnsiTheme="minorHAnsi" w:cstheme="minorBidi"/>
                <w:noProof/>
                <w:webHidden/>
                <w:kern w:val="2"/>
                <w:szCs w:val="22"/>
                <w:lang w:val="en-US" w:eastAsia="zh-CN" w:bidi="ar-SA"/>
              </w:rPr>
              <w:fldChar w:fldCharType="end"/>
            </w:r>
          </w:hyperlink>
        </w:p>
        <w:p w:rsidR="00CC140A" w:rsidP="00072073">
          <w:pPr>
            <w:pStyle w:val="Normal0"/>
            <w:spacing w:before="156" w:after="156"/>
            <w:ind w:firstLine="480"/>
            <w:rPr>
              <w:kern w:val="2"/>
              <w:szCs w:val="22"/>
              <w:lang w:val="en-US" w:eastAsia="zh-CN" w:bidi="ar-SA"/>
            </w:rPr>
            <w:sectPr w:rsidSect="00A65E41">
              <w:type w:val="nextPage"/>
              <w:pgSz w:w="11906" w:h="16838"/>
              <w:pgMar w:top="1440" w:right="1800" w:bottom="1440" w:left="1800" w:header="851" w:footer="992" w:gutter="0"/>
              <w:pgNumType w:start="2"/>
              <w:cols w:space="425"/>
              <w:titlePg w:val="0"/>
              <w:docGrid w:type="lines" w:linePitch="312"/>
            </w:sectPr>
          </w:pPr>
          <w:r>
            <w:rPr>
              <w:rFonts w:asciiTheme="minorHAnsi" w:hAnsiTheme="minorHAnsi" w:cstheme="minorBidi"/>
              <w:kern w:val="2"/>
              <w:szCs w:val="22"/>
              <w:lang w:val="en-US" w:eastAsia="zh-CN" w:bidi="ar-SA"/>
            </w:rPr>
            <w:fldChar w:fldCharType="end"/>
          </w:r>
        </w:p>
      </w:sdtContent>
    </w:sdt>
    <w:p w:rsidR="00CC140A" w:rsidRPr="001260BC" w:rsidP="001260BC">
      <w:pPr>
        <w:pStyle w:val="Title"/>
        <w:spacing w:line="600" w:lineRule="auto"/>
        <w:rPr>
          <w:rFonts w:cstheme="minorBidi"/>
          <w:kern w:val="2"/>
          <w:szCs w:val="22"/>
          <w:lang w:val="en-US" w:eastAsia="zh-CN" w:bidi="ar-SA"/>
        </w:rPr>
      </w:pPr>
      <w:bookmarkStart w:id="0" w:name="_Toc385498387"/>
      <w:r w:rsidRPr="001260BC">
        <w:rPr>
          <w:rFonts w:cstheme="minorBidi" w:hint="eastAsia"/>
          <w:kern w:val="2"/>
          <w:szCs w:val="22"/>
          <w:lang w:val="en-US" w:eastAsia="zh-CN" w:bidi="ar-SA"/>
        </w:rPr>
        <w:t>第二部分</w:t>
      </w:r>
      <w:r w:rsidRPr="001260BC">
        <w:rPr>
          <w:rFonts w:cstheme="minorBidi" w:hint="eastAsia"/>
          <w:kern w:val="2"/>
          <w:szCs w:val="22"/>
          <w:lang w:val="en-US" w:eastAsia="zh-CN" w:bidi="ar-SA"/>
        </w:rPr>
        <w:t>会计核算管理</w:t>
      </w:r>
      <w:bookmarkEnd w:id="0"/>
    </w:p>
    <w:p w:rsidR="00CC140A" w:rsidRPr="00CB5951" w:rsidP="0019740E">
      <w:pPr>
        <w:pStyle w:val="Heading1"/>
        <w:numPr>
          <w:ilvl w:val="0"/>
          <w:numId w:val="2"/>
        </w:numPr>
        <w:spacing w:line="600" w:lineRule="auto"/>
        <w:rPr>
          <w:lang w:val="en-US" w:eastAsia="zh-CN" w:bidi="ar-SA"/>
        </w:rPr>
      </w:pPr>
      <w:bookmarkStart w:id="1" w:name="_Toc385498388"/>
      <w:r w:rsidRPr="00CB5951">
        <w:rPr>
          <w:rFonts w:asciiTheme="minorHAnsi" w:hAnsiTheme="minorHAnsi" w:cstheme="minorBidi" w:hint="eastAsia"/>
          <w:lang w:val="en-US" w:eastAsia="zh-CN" w:bidi="ar-SA"/>
        </w:rPr>
        <w:t>总则</w:t>
      </w:r>
      <w:bookmarkEnd w:id="1"/>
    </w:p>
    <w:p w:rsidR="00CC140A" w:rsidRPr="006656DA" w:rsidP="006656D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6656DA">
        <w:rPr>
          <w:rFonts w:ascii="宋体" w:hAnsi="宋体" w:cstheme="minorBidi" w:hint="eastAsia"/>
          <w:kern w:val="2"/>
          <w:szCs w:val="24"/>
          <w:lang w:val="en-US" w:eastAsia="zh-CN" w:bidi="ar-SA"/>
        </w:rPr>
        <w:t>为了规范鑫苑（中国）置业有限公司（以下简称</w:t>
      </w:r>
      <w:r w:rsidRPr="006656DA">
        <w:rPr>
          <w:rFonts w:ascii="宋体" w:hAnsi="宋体" w:cstheme="minorBidi"/>
          <w:kern w:val="2"/>
          <w:szCs w:val="24"/>
          <w:lang w:val="en-US" w:eastAsia="zh-CN" w:bidi="ar-SA"/>
        </w:rPr>
        <w:t>“</w:t>
      </w:r>
      <w:r w:rsidRPr="006656DA">
        <w:rPr>
          <w:rFonts w:ascii="宋体" w:hAnsi="宋体" w:cstheme="minorBidi" w:hint="eastAsia"/>
          <w:kern w:val="2"/>
          <w:szCs w:val="24"/>
          <w:lang w:val="en-US" w:eastAsia="zh-CN" w:bidi="ar-SA"/>
        </w:rPr>
        <w:t>集团公司</w:t>
      </w:r>
      <w:r w:rsidRPr="006656DA">
        <w:rPr>
          <w:rFonts w:ascii="宋体" w:hAnsi="宋体" w:cstheme="minorBidi"/>
          <w:kern w:val="2"/>
          <w:szCs w:val="24"/>
          <w:lang w:val="en-US" w:eastAsia="zh-CN" w:bidi="ar-SA"/>
        </w:rPr>
        <w:t>”</w:t>
      </w:r>
      <w:r w:rsidRPr="006656DA">
        <w:rPr>
          <w:rFonts w:ascii="宋体" w:hAnsi="宋体" w:cstheme="minorBidi" w:hint="eastAsia"/>
          <w:kern w:val="2"/>
          <w:szCs w:val="24"/>
          <w:lang w:val="en-US" w:eastAsia="zh-CN" w:bidi="ar-SA"/>
        </w:rPr>
        <w:t>）会计确认、计量和报告行为，根据</w:t>
      </w:r>
      <w:r w:rsidRPr="006656DA">
        <w:rPr>
          <w:rFonts w:ascii="宋体" w:hAnsi="宋体" w:cstheme="minorBidi"/>
          <w:kern w:val="2"/>
          <w:szCs w:val="24"/>
          <w:lang w:val="en-US" w:eastAsia="zh-CN" w:bidi="ar-SA"/>
        </w:rPr>
        <w:t>《会计法》</w:t>
      </w:r>
      <w:r w:rsidRPr="006656DA">
        <w:rPr>
          <w:rFonts w:ascii="宋体" w:hAnsi="宋体" w:cstheme="minorBidi" w:hint="eastAsia"/>
          <w:kern w:val="2"/>
          <w:szCs w:val="24"/>
          <w:lang w:val="en-US" w:eastAsia="zh-CN" w:bidi="ar-SA"/>
        </w:rPr>
        <w:t>、</w:t>
      </w:r>
      <w:r w:rsidRPr="006656DA">
        <w:rPr>
          <w:rFonts w:ascii="宋体" w:hAnsi="宋体" w:cstheme="minorBidi"/>
          <w:kern w:val="2"/>
          <w:szCs w:val="24"/>
          <w:lang w:val="en-US" w:eastAsia="zh-CN" w:bidi="ar-SA"/>
        </w:rPr>
        <w:t>《</w:t>
      </w:r>
      <w:r w:rsidRPr="006656DA">
        <w:rPr>
          <w:rFonts w:ascii="宋体" w:hAnsi="宋体" w:cstheme="minorBidi" w:hint="eastAsia"/>
          <w:kern w:val="2"/>
          <w:szCs w:val="24"/>
          <w:lang w:val="en-US" w:eastAsia="zh-CN" w:bidi="ar-SA"/>
        </w:rPr>
        <w:t>公司会计准则</w:t>
      </w:r>
      <w:r w:rsidRPr="006656DA">
        <w:rPr>
          <w:rFonts w:ascii="宋体" w:hAnsi="宋体" w:cstheme="minorBidi"/>
          <w:kern w:val="2"/>
          <w:szCs w:val="24"/>
          <w:lang w:val="en-US" w:eastAsia="zh-CN" w:bidi="ar-SA"/>
        </w:rPr>
        <w:t>》</w:t>
      </w:r>
      <w:r w:rsidRPr="006656DA">
        <w:rPr>
          <w:rFonts w:ascii="宋体" w:hAnsi="宋体" w:cstheme="minorBidi" w:hint="eastAsia"/>
          <w:kern w:val="2"/>
          <w:szCs w:val="24"/>
          <w:lang w:val="en-US" w:eastAsia="zh-CN" w:bidi="ar-SA"/>
        </w:rPr>
        <w:t>及集团公司财务管理制度，</w:t>
      </w:r>
      <w:r w:rsidRPr="006656DA">
        <w:rPr>
          <w:rFonts w:ascii="宋体" w:hAnsi="宋体" w:cstheme="minorBidi"/>
          <w:kern w:val="2"/>
          <w:szCs w:val="24"/>
          <w:lang w:val="en-US" w:eastAsia="zh-CN" w:bidi="ar-SA"/>
        </w:rPr>
        <w:t>结合本</w:t>
      </w:r>
      <w:r w:rsidRPr="006656DA">
        <w:rPr>
          <w:rFonts w:ascii="宋体" w:hAnsi="宋体" w:cstheme="minorBidi" w:hint="eastAsia"/>
          <w:kern w:val="2"/>
          <w:szCs w:val="24"/>
          <w:lang w:val="en-US" w:eastAsia="zh-CN" w:bidi="ar-SA"/>
        </w:rPr>
        <w:t>公司</w:t>
      </w:r>
      <w:r w:rsidRPr="006656DA">
        <w:rPr>
          <w:rFonts w:ascii="宋体" w:hAnsi="宋体" w:cstheme="minorBidi"/>
          <w:kern w:val="2"/>
          <w:szCs w:val="24"/>
          <w:lang w:val="en-US" w:eastAsia="zh-CN" w:bidi="ar-SA"/>
        </w:rPr>
        <w:t>的具体情况，特制定本制度。</w:t>
      </w:r>
    </w:p>
    <w:p w:rsidR="00CC140A" w:rsidRPr="006656DA" w:rsidP="006656D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6656DA">
        <w:rPr>
          <w:rFonts w:ascii="宋体" w:hAnsi="宋体" w:cstheme="minorBidi" w:hint="eastAsia"/>
          <w:kern w:val="2"/>
          <w:szCs w:val="24"/>
          <w:lang w:val="en-US" w:eastAsia="zh-CN" w:bidi="ar-SA"/>
        </w:rPr>
        <w:t>集团公司</w:t>
      </w:r>
      <w:r w:rsidRPr="006656DA">
        <w:rPr>
          <w:rFonts w:ascii="宋体" w:hAnsi="宋体" w:cstheme="minorBidi"/>
          <w:kern w:val="2"/>
          <w:szCs w:val="24"/>
          <w:lang w:val="en-US" w:eastAsia="zh-CN" w:bidi="ar-SA"/>
        </w:rPr>
        <w:t>会计机构</w:t>
      </w:r>
      <w:r w:rsidRPr="006656DA">
        <w:rPr>
          <w:rFonts w:ascii="宋体" w:hAnsi="宋体" w:cstheme="minorBidi" w:hint="eastAsia"/>
          <w:kern w:val="2"/>
          <w:szCs w:val="24"/>
          <w:lang w:val="en-US" w:eastAsia="zh-CN" w:bidi="ar-SA"/>
        </w:rPr>
        <w:t>设财务管理部，在总经理</w:t>
      </w:r>
      <w:r w:rsidRPr="006656DA">
        <w:rPr>
          <w:rFonts w:ascii="宋体" w:hAnsi="宋体" w:cstheme="minorBidi"/>
          <w:kern w:val="2"/>
          <w:szCs w:val="24"/>
          <w:lang w:val="en-US" w:eastAsia="zh-CN" w:bidi="ar-SA"/>
        </w:rPr>
        <w:t>领导下，开展具体的财务会计工作，并对总经理负责。</w:t>
      </w:r>
      <w:r w:rsidRPr="006656DA">
        <w:rPr>
          <w:rFonts w:ascii="宋体" w:hAnsi="宋体" w:cstheme="minorBidi" w:hint="eastAsia"/>
          <w:kern w:val="2"/>
          <w:szCs w:val="24"/>
          <w:lang w:val="en-US" w:eastAsia="zh-CN" w:bidi="ar-SA"/>
        </w:rPr>
        <w:t>各</w:t>
      </w:r>
      <w:r w:rsidRPr="006656DA" w:rsidR="00027246">
        <w:rPr>
          <w:rFonts w:ascii="宋体" w:hAnsi="宋体" w:cstheme="minorBidi" w:hint="eastAsia"/>
          <w:kern w:val="2"/>
          <w:szCs w:val="24"/>
          <w:lang w:val="en-US" w:eastAsia="zh-CN" w:bidi="ar-SA"/>
        </w:rPr>
        <w:t>城市公司</w:t>
      </w:r>
      <w:r w:rsidRPr="006656DA">
        <w:rPr>
          <w:rFonts w:ascii="宋体" w:hAnsi="宋体" w:cstheme="minorBidi" w:hint="eastAsia"/>
          <w:kern w:val="2"/>
          <w:szCs w:val="24"/>
          <w:lang w:val="en-US" w:eastAsia="zh-CN" w:bidi="ar-SA"/>
        </w:rPr>
        <w:t>及关联公司设财务部，在财务总监（或经理）和总经理的领导下开展具体工作。</w:t>
      </w:r>
      <w:r w:rsidRPr="006656DA" w:rsidR="00027246">
        <w:rPr>
          <w:rFonts w:ascii="宋体" w:hAnsi="宋体" w:cstheme="minorBidi" w:hint="eastAsia"/>
          <w:kern w:val="2"/>
          <w:szCs w:val="24"/>
          <w:lang w:val="en-US" w:eastAsia="zh-CN" w:bidi="ar-SA"/>
        </w:rPr>
        <w:t>城市公司</w:t>
      </w:r>
      <w:r w:rsidRPr="006656DA">
        <w:rPr>
          <w:rFonts w:ascii="宋体" w:hAnsi="宋体" w:cstheme="minorBidi" w:hint="eastAsia"/>
          <w:kern w:val="2"/>
          <w:szCs w:val="24"/>
          <w:lang w:val="en-US" w:eastAsia="zh-CN" w:bidi="ar-SA"/>
        </w:rPr>
        <w:t>及关联公司财务部的业务受财务管理部指导。</w:t>
      </w:r>
    </w:p>
    <w:p w:rsidR="00CC140A" w:rsidRPr="006656DA" w:rsidP="006656D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6656DA">
        <w:rPr>
          <w:rFonts w:ascii="宋体" w:hAnsi="宋体" w:cstheme="minorBidi" w:hint="eastAsia"/>
          <w:kern w:val="2"/>
          <w:szCs w:val="24"/>
          <w:lang w:val="en-US" w:eastAsia="zh-CN" w:bidi="ar-SA"/>
        </w:rPr>
        <w:t>集团公司、</w:t>
      </w:r>
      <w:r w:rsidRPr="006656DA" w:rsidR="00027246">
        <w:rPr>
          <w:rFonts w:ascii="宋体" w:hAnsi="宋体" w:cstheme="minorBidi" w:hint="eastAsia"/>
          <w:kern w:val="2"/>
          <w:szCs w:val="24"/>
          <w:lang w:val="en-US" w:eastAsia="zh-CN" w:bidi="ar-SA"/>
        </w:rPr>
        <w:t>城市公司</w:t>
      </w:r>
      <w:r w:rsidRPr="006656DA">
        <w:rPr>
          <w:rFonts w:ascii="宋体" w:hAnsi="宋体" w:cstheme="minorBidi" w:hint="eastAsia"/>
          <w:kern w:val="2"/>
          <w:szCs w:val="24"/>
          <w:lang w:val="en-US" w:eastAsia="zh-CN" w:bidi="ar-SA"/>
        </w:rPr>
        <w:t>及关联公司须</w:t>
      </w:r>
      <w:r w:rsidRPr="006656DA">
        <w:rPr>
          <w:rFonts w:ascii="宋体" w:hAnsi="宋体" w:cstheme="minorBidi"/>
          <w:kern w:val="2"/>
          <w:szCs w:val="24"/>
          <w:lang w:val="en-US" w:eastAsia="zh-CN" w:bidi="ar-SA"/>
        </w:rPr>
        <w:t>配备合格的财务会计人员</w:t>
      </w:r>
      <w:r w:rsidRPr="006656DA">
        <w:rPr>
          <w:rFonts w:ascii="宋体" w:hAnsi="宋体" w:cstheme="minorBidi" w:hint="eastAsia"/>
          <w:kern w:val="2"/>
          <w:szCs w:val="24"/>
          <w:lang w:val="en-US" w:eastAsia="zh-CN" w:bidi="ar-SA"/>
        </w:rPr>
        <w:t>解决</w:t>
      </w:r>
      <w:r w:rsidRPr="006656DA">
        <w:rPr>
          <w:rFonts w:ascii="宋体" w:hAnsi="宋体" w:cstheme="minorBidi"/>
          <w:kern w:val="2"/>
          <w:szCs w:val="24"/>
          <w:lang w:val="en-US" w:eastAsia="zh-CN" w:bidi="ar-SA"/>
        </w:rPr>
        <w:t>财务会计工作。</w:t>
      </w:r>
    </w:p>
    <w:p w:rsidR="00CC140A" w:rsidRPr="006656DA" w:rsidP="006656D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sectPr w:rsidSect="00A65E41">
          <w:type w:val="nextPage"/>
          <w:pgSz w:w="11906" w:h="16838"/>
          <w:pgMar w:top="1440" w:right="1800" w:bottom="1440" w:left="1800" w:header="851" w:footer="992" w:gutter="0"/>
          <w:pgNumType w:start="3"/>
          <w:cols w:space="425"/>
          <w:titlePg w:val="0"/>
          <w:docGrid w:type="lines" w:linePitch="312"/>
        </w:sectPr>
      </w:pPr>
      <w:r w:rsidRPr="006656DA">
        <w:rPr>
          <w:rFonts w:ascii="宋体" w:hAnsi="宋体" w:cstheme="minorBidi" w:hint="eastAsia"/>
          <w:kern w:val="2"/>
          <w:szCs w:val="24"/>
          <w:lang w:val="en-US" w:eastAsia="zh-CN" w:bidi="ar-SA"/>
        </w:rPr>
        <w:t>财务会计人员须严格履行会计岗位职责</w:t>
      </w:r>
      <w:r w:rsidRPr="006656DA">
        <w:rPr>
          <w:rFonts w:ascii="宋体" w:hAnsi="宋体" w:cstheme="minorBidi" w:hint="eastAsia"/>
          <w:kern w:val="2"/>
          <w:szCs w:val="24"/>
          <w:lang w:val="en-US" w:eastAsia="zh-CN" w:bidi="ar-SA"/>
        </w:rPr>
        <w:t>,</w:t>
      </w:r>
      <w:r w:rsidRPr="006656DA">
        <w:rPr>
          <w:rFonts w:ascii="宋体" w:hAnsi="宋体" w:cstheme="minorBidi" w:hint="eastAsia"/>
          <w:kern w:val="2"/>
          <w:szCs w:val="24"/>
          <w:lang w:val="en-US" w:eastAsia="zh-CN" w:bidi="ar-SA"/>
        </w:rPr>
        <w:t>遵守集团公司的各项规章制度。</w:t>
      </w:r>
    </w:p>
    <w:p w:rsidR="00CC140A" w:rsidRPr="006656DA" w:rsidP="006656D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6656DA">
        <w:rPr>
          <w:rFonts w:ascii="宋体" w:hAnsi="宋体" w:cstheme="minorBidi" w:hint="eastAsia"/>
          <w:kern w:val="2"/>
          <w:szCs w:val="24"/>
          <w:lang w:val="en-US" w:eastAsia="zh-CN" w:bidi="ar-SA"/>
        </w:rPr>
        <w:t>本制度合用于集团公司、</w:t>
      </w:r>
      <w:r w:rsidRPr="006656DA" w:rsidR="00027246">
        <w:rPr>
          <w:rFonts w:ascii="宋体" w:hAnsi="宋体" w:cstheme="minorBidi" w:hint="eastAsia"/>
          <w:kern w:val="2"/>
          <w:szCs w:val="24"/>
          <w:lang w:val="en-US" w:eastAsia="zh-CN" w:bidi="ar-SA"/>
        </w:rPr>
        <w:t>城市公司</w:t>
      </w:r>
      <w:r w:rsidRPr="006656DA">
        <w:rPr>
          <w:rFonts w:ascii="宋体" w:hAnsi="宋体" w:cstheme="minorBidi" w:hint="eastAsia"/>
          <w:kern w:val="2"/>
          <w:szCs w:val="24"/>
          <w:lang w:val="en-US" w:eastAsia="zh-CN" w:bidi="ar-SA"/>
        </w:rPr>
        <w:t>及关联公司（以下统称</w:t>
      </w:r>
      <w:r w:rsidRPr="006656DA" w:rsidR="006E48D4">
        <w:rPr>
          <w:rFonts w:ascii="宋体" w:hAnsi="宋体" w:cstheme="minorBidi" w:hint="eastAsia"/>
          <w:kern w:val="2"/>
          <w:szCs w:val="24"/>
          <w:lang w:val="en-US" w:eastAsia="zh-CN" w:bidi="ar-SA"/>
        </w:rPr>
        <w:t>各城市公司</w:t>
      </w:r>
      <w:r w:rsidRPr="006656DA">
        <w:rPr>
          <w:rFonts w:ascii="宋体" w:hAnsi="宋体" w:cstheme="minorBidi" w:hint="eastAsia"/>
          <w:kern w:val="2"/>
          <w:szCs w:val="24"/>
          <w:lang w:val="en-US" w:eastAsia="zh-CN" w:bidi="ar-SA"/>
        </w:rPr>
        <w:t>）。</w:t>
      </w:r>
    </w:p>
    <w:p w:rsidR="00CC140A" w:rsidRPr="00CC140A" w:rsidP="00786308">
      <w:pPr>
        <w:pStyle w:val="Heading1"/>
        <w:spacing w:line="600" w:lineRule="auto"/>
        <w:rPr>
          <w:lang w:val="en-US" w:eastAsia="zh-CN" w:bidi="ar-SA"/>
        </w:rPr>
      </w:pPr>
      <w:bookmarkStart w:id="2" w:name="_Toc385498389"/>
      <w:r>
        <w:rPr>
          <w:rFonts w:asciiTheme="minorHAnsi" w:hAnsiTheme="minorHAnsi" w:cstheme="minorBidi" w:hint="eastAsia"/>
          <w:lang w:val="en-US" w:eastAsia="zh-CN" w:bidi="ar-SA"/>
        </w:rPr>
        <w:t>中国会计准则下的会计解决</w:t>
      </w:r>
      <w:bookmarkEnd w:id="2"/>
    </w:p>
    <w:p w:rsidR="0073097A" w:rsidRPr="00D55B24" w:rsidP="006656D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本公司执行的会计及财务制度为《会计法》、《公司会计准则》等相关的规定。</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会计</w:t>
      </w:r>
      <w:r w:rsidRPr="00D55B24">
        <w:rPr>
          <w:rFonts w:ascii="宋体" w:hAnsi="宋体" w:cstheme="minorBidi"/>
          <w:kern w:val="2"/>
          <w:szCs w:val="24"/>
          <w:lang w:val="en-US" w:eastAsia="zh-CN" w:bidi="ar-SA"/>
        </w:rPr>
        <w:t>年度自公历１月１日起至１２月３１日止。</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公司以权责发生制为基础进行会计确认、计量和报告，实行借贷记账法。</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公司</w:t>
      </w:r>
      <w:r w:rsidRPr="00D55B24">
        <w:rPr>
          <w:rFonts w:ascii="宋体" w:hAnsi="宋体" w:cstheme="minorBidi"/>
          <w:kern w:val="2"/>
          <w:szCs w:val="24"/>
          <w:lang w:val="en-US" w:eastAsia="zh-CN" w:bidi="ar-SA"/>
        </w:rPr>
        <w:t>的会计核算以人民币为记账本位币。</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会计反映的信息应以真实的业务为基础，保证会计信息的完整、清楚、有效，保证财务报告使用者的对的理解和使用。</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sectPr w:rsidSect="00A65E41">
          <w:type w:val="nextPage"/>
          <w:pgSz w:w="11906" w:h="16838"/>
          <w:pgMar w:top="1440" w:right="1800" w:bottom="1440" w:left="1800" w:header="851" w:footer="992" w:gutter="0"/>
          <w:pgNumType w:start="4"/>
          <w:cols w:space="425"/>
          <w:titlePg w:val="0"/>
          <w:docGrid w:type="lines" w:linePitch="312"/>
        </w:sectPr>
      </w:pPr>
      <w:r w:rsidRPr="00D55B24">
        <w:rPr>
          <w:rFonts w:ascii="宋体" w:hAnsi="宋体" w:cstheme="minorBidi" w:hint="eastAsia"/>
          <w:kern w:val="2"/>
          <w:szCs w:val="24"/>
          <w:lang w:val="en-US" w:eastAsia="zh-CN" w:bidi="ar-SA"/>
        </w:rPr>
        <w:t>公司重要的会计政策应保持前后的一致性。不同时期发生的相同或</w:t>
      </w:r>
      <w:r w:rsidRPr="00D55B24">
        <w:rPr>
          <w:rFonts w:ascii="宋体" w:hAnsi="宋体" w:cstheme="minorBidi" w:hint="eastAsia"/>
          <w:kern w:val="2"/>
          <w:szCs w:val="24"/>
          <w:lang w:val="en-US" w:eastAsia="zh-CN" w:bidi="ar-SA"/>
        </w:rPr>
        <w:t>者相似的经济业务，应当采用一致的会计政策，不得随意变更。确需变更的，应当在附注中说明。</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对经济业务会计的确认、计量和报告应当保持谨慎性原则，不能高估资产或者收入、低估负债或者费用。</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当经济业务发生时要及时进行会计确认、计量和报告，不得提前或者延后。</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公司合并会计报表按照《公司会计准则第</w:t>
      </w:r>
      <w:r w:rsidRPr="00D55B24">
        <w:rPr>
          <w:rFonts w:ascii="宋体" w:hAnsi="宋体" w:cstheme="minorBidi" w:hint="eastAsia"/>
          <w:kern w:val="2"/>
          <w:szCs w:val="24"/>
          <w:lang w:val="en-US" w:eastAsia="zh-CN" w:bidi="ar-SA"/>
        </w:rPr>
        <w:t>33</w:t>
      </w:r>
      <w:r w:rsidRPr="00D55B24">
        <w:rPr>
          <w:rFonts w:ascii="宋体" w:hAnsi="宋体" w:cstheme="minorBidi" w:hint="eastAsia"/>
          <w:kern w:val="2"/>
          <w:szCs w:val="24"/>
          <w:lang w:val="en-US" w:eastAsia="zh-CN" w:bidi="ar-SA"/>
        </w:rPr>
        <w:t>号</w:t>
      </w:r>
      <w:r w:rsidRPr="00D55B24">
        <w:rPr>
          <w:rFonts w:ascii="宋体" w:hAnsi="宋体" w:cstheme="minorBidi"/>
          <w:kern w:val="2"/>
          <w:szCs w:val="24"/>
          <w:lang w:val="en-US" w:eastAsia="zh-CN" w:bidi="ar-SA"/>
        </w:rPr>
        <w:t>—</w:t>
      </w:r>
      <w:r w:rsidRPr="00D55B24">
        <w:rPr>
          <w:rFonts w:ascii="宋体" w:hAnsi="宋体" w:cstheme="minorBidi" w:hint="eastAsia"/>
          <w:kern w:val="2"/>
          <w:szCs w:val="24"/>
          <w:lang w:val="en-US" w:eastAsia="zh-CN" w:bidi="ar-SA"/>
        </w:rPr>
        <w:t>合并财务报表》编制。</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预计负债等或有事项：需遵守</w:t>
      </w:r>
      <w:hyperlink w:history="1">
        <w:r w:rsidRPr="00D55B24">
          <w:rPr>
            <w:rFonts w:ascii="宋体" w:hAnsi="宋体" w:cstheme="minorBidi" w:hint="eastAsia"/>
            <w:kern w:val="2"/>
            <w:szCs w:val="24"/>
            <w:lang w:val="en-US" w:eastAsia="zh-CN" w:bidi="ar-SA"/>
          </w:rPr>
          <w:t>《公司会计准则第</w:t>
        </w:r>
        <w:r w:rsidRPr="00D55B24">
          <w:rPr>
            <w:rFonts w:ascii="宋体" w:hAnsi="宋体" w:cstheme="minorBidi" w:hint="eastAsia"/>
            <w:kern w:val="2"/>
            <w:szCs w:val="24"/>
            <w:lang w:val="en-US" w:eastAsia="zh-CN" w:bidi="ar-SA"/>
          </w:rPr>
          <w:t>13</w:t>
        </w:r>
        <w:r w:rsidRPr="00D55B24">
          <w:rPr>
            <w:rFonts w:ascii="宋体" w:hAnsi="宋体" w:cstheme="minorBidi" w:hint="eastAsia"/>
            <w:kern w:val="2"/>
            <w:szCs w:val="24"/>
            <w:lang w:val="en-US" w:eastAsia="zh-CN" w:bidi="ar-SA"/>
          </w:rPr>
          <w:t>号―或有事项》</w:t>
        </w:r>
      </w:hyperlink>
      <w:r w:rsidRPr="00D55B24">
        <w:rPr>
          <w:rFonts w:ascii="宋体" w:hAnsi="宋体" w:cstheme="minorBidi" w:hint="eastAsia"/>
          <w:kern w:val="2"/>
          <w:szCs w:val="24"/>
          <w:lang w:val="en-US" w:eastAsia="zh-CN" w:bidi="ar-SA"/>
        </w:rPr>
        <w:t>及相关指南。</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资产减值：需遵守</w:t>
      </w:r>
      <w:hyperlink w:history="1">
        <w:r w:rsidRPr="00D55B24">
          <w:rPr>
            <w:rFonts w:ascii="宋体" w:hAnsi="宋体" w:cstheme="minorBidi" w:hint="eastAsia"/>
            <w:kern w:val="2"/>
            <w:szCs w:val="24"/>
            <w:lang w:val="en-US" w:eastAsia="zh-CN" w:bidi="ar-SA"/>
          </w:rPr>
          <w:t>《公司会计准则第</w:t>
        </w:r>
        <w:r w:rsidRPr="00D55B24">
          <w:rPr>
            <w:rFonts w:ascii="宋体" w:hAnsi="宋体" w:cstheme="minorBidi" w:hint="eastAsia"/>
            <w:kern w:val="2"/>
            <w:szCs w:val="24"/>
            <w:lang w:val="en-US" w:eastAsia="zh-CN" w:bidi="ar-SA"/>
          </w:rPr>
          <w:t>8</w:t>
        </w:r>
        <w:r w:rsidRPr="00D55B24">
          <w:rPr>
            <w:rFonts w:ascii="宋体" w:hAnsi="宋体" w:cstheme="minorBidi" w:hint="eastAsia"/>
            <w:kern w:val="2"/>
            <w:szCs w:val="24"/>
            <w:lang w:val="en-US" w:eastAsia="zh-CN" w:bidi="ar-SA"/>
          </w:rPr>
          <w:t>号―资产减值》</w:t>
        </w:r>
      </w:hyperlink>
      <w:r w:rsidRPr="00D55B24">
        <w:rPr>
          <w:rFonts w:ascii="宋体" w:hAnsi="宋体" w:cstheme="minorBidi" w:hint="eastAsia"/>
          <w:kern w:val="2"/>
          <w:szCs w:val="24"/>
          <w:lang w:val="en-US" w:eastAsia="zh-CN" w:bidi="ar-SA"/>
        </w:rPr>
        <w:t>及相关指南。</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会计政策、会计估计变更及会计差错更正：需遵守</w:t>
      </w:r>
      <w:hyperlink w:history="1">
        <w:r w:rsidRPr="00D55B24">
          <w:rPr>
            <w:rFonts w:ascii="宋体" w:hAnsi="宋体" w:cstheme="minorBidi" w:hint="eastAsia"/>
            <w:kern w:val="2"/>
            <w:szCs w:val="24"/>
            <w:lang w:val="en-US" w:eastAsia="zh-CN" w:bidi="ar-SA"/>
          </w:rPr>
          <w:t>《公司会计准则第</w:t>
        </w:r>
        <w:r w:rsidRPr="00D55B24">
          <w:rPr>
            <w:rFonts w:ascii="宋体" w:hAnsi="宋体" w:cstheme="minorBidi" w:hint="eastAsia"/>
            <w:kern w:val="2"/>
            <w:szCs w:val="24"/>
            <w:lang w:val="en-US" w:eastAsia="zh-CN" w:bidi="ar-SA"/>
          </w:rPr>
          <w:t>28</w:t>
        </w:r>
        <w:r w:rsidRPr="00D55B24">
          <w:rPr>
            <w:rFonts w:ascii="宋体" w:hAnsi="宋体" w:cstheme="minorBidi" w:hint="eastAsia"/>
            <w:kern w:val="2"/>
            <w:szCs w:val="24"/>
            <w:lang w:val="en-US" w:eastAsia="zh-CN" w:bidi="ar-SA"/>
          </w:rPr>
          <w:t>号―会计政策、会计估计变更和差错更正》</w:t>
        </w:r>
      </w:hyperlink>
      <w:r w:rsidRPr="00D55B24">
        <w:rPr>
          <w:rFonts w:ascii="宋体" w:hAnsi="宋体" w:cstheme="minorBidi" w:hint="eastAsia"/>
          <w:kern w:val="2"/>
          <w:szCs w:val="24"/>
          <w:lang w:val="en-US" w:eastAsia="zh-CN" w:bidi="ar-SA"/>
        </w:rPr>
        <w:t>及相关指南。</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sectPr w:rsidSect="00A65E41">
          <w:type w:val="nextPage"/>
          <w:pgSz w:w="11906" w:h="16838"/>
          <w:pgMar w:top="1440" w:right="1800" w:bottom="1440" w:left="1800" w:header="851" w:footer="992" w:gutter="0"/>
          <w:pgNumType w:start="5"/>
          <w:cols w:space="425"/>
          <w:titlePg w:val="0"/>
          <w:docGrid w:type="lines" w:linePitch="312"/>
        </w:sectPr>
      </w:pPr>
      <w:r w:rsidRPr="00D55B24">
        <w:rPr>
          <w:rFonts w:ascii="宋体" w:hAnsi="宋体" w:cstheme="minorBidi" w:hint="eastAsia"/>
          <w:kern w:val="2"/>
          <w:szCs w:val="24"/>
          <w:lang w:val="en-US" w:eastAsia="zh-CN" w:bidi="ar-SA"/>
        </w:rPr>
        <w:t>资产负债表日后事项：需遵守</w:t>
      </w:r>
      <w:hyperlink w:history="1">
        <w:r w:rsidRPr="00D55B24">
          <w:rPr>
            <w:rFonts w:ascii="宋体" w:hAnsi="宋体" w:cstheme="minorBidi" w:hint="eastAsia"/>
            <w:kern w:val="2"/>
            <w:szCs w:val="24"/>
            <w:lang w:val="en-US" w:eastAsia="zh-CN" w:bidi="ar-SA"/>
          </w:rPr>
          <w:t>《公司会计准则第</w:t>
        </w:r>
        <w:r w:rsidRPr="00D55B24">
          <w:rPr>
            <w:rFonts w:ascii="宋体" w:hAnsi="宋体" w:cstheme="minorBidi" w:hint="eastAsia"/>
            <w:kern w:val="2"/>
            <w:szCs w:val="24"/>
            <w:lang w:val="en-US" w:eastAsia="zh-CN" w:bidi="ar-SA"/>
          </w:rPr>
          <w:t>29</w:t>
        </w:r>
        <w:r w:rsidRPr="00D55B24">
          <w:rPr>
            <w:rFonts w:ascii="宋体" w:hAnsi="宋体" w:cstheme="minorBidi" w:hint="eastAsia"/>
            <w:kern w:val="2"/>
            <w:szCs w:val="24"/>
            <w:lang w:val="en-US" w:eastAsia="zh-CN" w:bidi="ar-SA"/>
          </w:rPr>
          <w:t>号―资产负债表日后事项》</w:t>
        </w:r>
      </w:hyperlink>
      <w:r w:rsidRPr="00D55B24">
        <w:rPr>
          <w:rFonts w:ascii="宋体" w:hAnsi="宋体" w:cstheme="minorBidi" w:hint="eastAsia"/>
          <w:kern w:val="2"/>
          <w:szCs w:val="24"/>
          <w:lang w:val="en-US" w:eastAsia="zh-CN" w:bidi="ar-SA"/>
        </w:rPr>
        <w:t>及相关指南。</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关联方会计解决：需遵守</w:t>
      </w:r>
      <w:hyperlink w:history="1">
        <w:r w:rsidRPr="00D55B24">
          <w:rPr>
            <w:rFonts w:ascii="宋体" w:hAnsi="宋体" w:cstheme="minorBidi" w:hint="eastAsia"/>
            <w:kern w:val="2"/>
            <w:szCs w:val="24"/>
            <w:lang w:val="en-US" w:eastAsia="zh-CN" w:bidi="ar-SA"/>
          </w:rPr>
          <w:t>《公司会计准则第</w:t>
        </w:r>
        <w:r w:rsidRPr="00D55B24">
          <w:rPr>
            <w:rFonts w:ascii="宋体" w:hAnsi="宋体" w:cstheme="minorBidi" w:hint="eastAsia"/>
            <w:kern w:val="2"/>
            <w:szCs w:val="24"/>
            <w:lang w:val="en-US" w:eastAsia="zh-CN" w:bidi="ar-SA"/>
          </w:rPr>
          <w:t>36</w:t>
        </w:r>
        <w:r w:rsidRPr="00D55B24">
          <w:rPr>
            <w:rFonts w:ascii="宋体" w:hAnsi="宋体" w:cstheme="minorBidi" w:hint="eastAsia"/>
            <w:kern w:val="2"/>
            <w:szCs w:val="24"/>
            <w:lang w:val="en-US" w:eastAsia="zh-CN" w:bidi="ar-SA"/>
          </w:rPr>
          <w:t>号—关联方披露》</w:t>
        </w:r>
      </w:hyperlink>
      <w:r w:rsidRPr="00D55B24">
        <w:rPr>
          <w:rFonts w:ascii="宋体" w:hAnsi="宋体" w:cstheme="minorBidi" w:hint="eastAsia"/>
          <w:kern w:val="2"/>
          <w:szCs w:val="24"/>
          <w:lang w:val="en-US" w:eastAsia="zh-CN" w:bidi="ar-SA"/>
        </w:rPr>
        <w:t>及相关指南。</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所得税会计解决：需遵守</w:t>
      </w:r>
      <w:hyperlink w:history="1">
        <w:r w:rsidRPr="00D55B24">
          <w:rPr>
            <w:rFonts w:ascii="宋体" w:hAnsi="宋体" w:cstheme="minorBidi" w:hint="eastAsia"/>
            <w:kern w:val="2"/>
            <w:szCs w:val="24"/>
            <w:lang w:val="en-US" w:eastAsia="zh-CN" w:bidi="ar-SA"/>
          </w:rPr>
          <w:t>《公司会计准则第</w:t>
        </w:r>
        <w:r w:rsidRPr="00D55B24">
          <w:rPr>
            <w:rFonts w:ascii="宋体" w:hAnsi="宋体" w:cstheme="minorBidi" w:hint="eastAsia"/>
            <w:kern w:val="2"/>
            <w:szCs w:val="24"/>
            <w:lang w:val="en-US" w:eastAsia="zh-CN" w:bidi="ar-SA"/>
          </w:rPr>
          <w:t>18</w:t>
        </w:r>
        <w:r w:rsidRPr="00D55B24">
          <w:rPr>
            <w:rFonts w:ascii="宋体" w:hAnsi="宋体" w:cstheme="minorBidi" w:hint="eastAsia"/>
            <w:kern w:val="2"/>
            <w:szCs w:val="24"/>
            <w:lang w:val="en-US" w:eastAsia="zh-CN" w:bidi="ar-SA"/>
          </w:rPr>
          <w:t>号―所得税》</w:t>
        </w:r>
      </w:hyperlink>
      <w:r w:rsidRPr="00D55B24">
        <w:rPr>
          <w:rFonts w:ascii="宋体" w:hAnsi="宋体" w:cstheme="minorBidi" w:hint="eastAsia"/>
          <w:kern w:val="2"/>
          <w:szCs w:val="24"/>
          <w:lang w:val="en-US" w:eastAsia="zh-CN" w:bidi="ar-SA"/>
        </w:rPr>
        <w:t>及相关指南。</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集团公司依据《公司会计准则》、房地产行业的特点以及公司的具体情况统一制定会计科目编码和名称清单。</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各公司财务部在具体账务解决中必须对的使用会计科目，在实际工</w:t>
      </w:r>
      <w:r w:rsidRPr="00D55B24">
        <w:rPr>
          <w:rFonts w:ascii="宋体" w:hAnsi="宋体" w:cstheme="minorBidi" w:hint="eastAsia"/>
          <w:kern w:val="2"/>
          <w:szCs w:val="24"/>
          <w:lang w:val="en-US" w:eastAsia="zh-CN" w:bidi="ar-SA"/>
        </w:rPr>
        <w:t>作中可根据实际情况增设三级或四级科目，特殊情况经财务管理部批准后可增设二级科目。</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原始凭证是记录经济业务、济责任、具有法律效力的书面证明。原始凭证的取得必须真实、有效、对的、完整。原始凭证的使用应遵守以下条款：</w:t>
      </w:r>
    </w:p>
    <w:p w:rsidR="0073097A" w:rsidRPr="00D55B24" w:rsidP="0019740E">
      <w:pPr>
        <w:pStyle w:val="Normal0"/>
        <w:numPr>
          <w:ilvl w:val="0"/>
          <w:numId w:val="4"/>
        </w:numPr>
        <w:adjustRightInd w:val="0"/>
        <w:snapToGrid w:val="0"/>
        <w:spacing w:beforeLines="0" w:afterLines="0" w:line="600" w:lineRule="auto"/>
        <w:ind w:left="0" w:firstLine="0" w:firstLineChars="0"/>
        <w:rPr>
          <w:rFonts w:ascii="宋体" w:hAnsi="宋体"/>
          <w:bCs/>
          <w:kern w:val="2"/>
          <w:szCs w:val="24"/>
          <w:lang w:val="en-US" w:eastAsia="zh-CN" w:bidi="ar-SA"/>
        </w:rPr>
        <w:sectPr w:rsidSect="00A65E41">
          <w:type w:val="nextPage"/>
          <w:pgSz w:w="11906" w:h="16838"/>
          <w:pgMar w:top="1440" w:right="1800" w:bottom="1440" w:left="1800" w:header="851" w:footer="992" w:gutter="0"/>
          <w:pgNumType w:start="6"/>
          <w:cols w:space="425"/>
          <w:titlePg w:val="0"/>
          <w:docGrid w:type="lines" w:linePitch="312"/>
        </w:sectPr>
      </w:pPr>
    </w:p>
    <w:p w:rsidR="0073097A" w:rsidRPr="00D55B24" w:rsidP="0019740E">
      <w:pPr>
        <w:pStyle w:val="Normal0"/>
        <w:numPr>
          <w:ilvl w:val="0"/>
          <w:numId w:val="0"/>
        </w:numPr>
        <w:adjustRightInd w:val="0"/>
        <w:snapToGrid w:val="0"/>
        <w:spacing w:beforeLines="0" w:afterLines="0" w:line="600" w:lineRule="auto"/>
        <w:ind w:left="102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原始凭证的内容必须具有：凭证的名称；填制凭证的日期；填制凭证单位名称或者填制人姓名；经办人员的署名或者盖章；接受凭证单位名称；经济业务内容；数量、单价和金额</w:t>
      </w:r>
    </w:p>
    <w:p w:rsidR="0073097A" w:rsidRPr="00D55B24" w:rsidP="0019740E">
      <w:pPr>
        <w:pStyle w:val="Normal0"/>
        <w:numPr>
          <w:ilvl w:val="0"/>
          <w:numId w:val="4"/>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从外公司取得的原始凭证必须盖有填制公司印章，从个人取得的原始凭证，必须有其本人的署名或盖章，自制原始凭证必须有经办人和公司重要领导的署名或盖章，对外开出的原始凭证，必须加盖公司的印章；</w:t>
      </w:r>
    </w:p>
    <w:p w:rsidR="0073097A" w:rsidRPr="00D55B24" w:rsidP="0019740E">
      <w:pPr>
        <w:pStyle w:val="Normal0"/>
        <w:numPr>
          <w:ilvl w:val="0"/>
          <w:numId w:val="4"/>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凡填有大写和小写金额的原始凭证，大写和小写金额必须相符；</w:t>
      </w:r>
    </w:p>
    <w:p w:rsidR="0073097A" w:rsidRPr="00D55B24" w:rsidP="0019740E">
      <w:pPr>
        <w:pStyle w:val="Normal0"/>
        <w:numPr>
          <w:ilvl w:val="0"/>
          <w:numId w:val="4"/>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支付款项的原始凭证，必须有收款公司和收款人的收款证明；</w:t>
      </w:r>
    </w:p>
    <w:p w:rsidR="0073097A" w:rsidRPr="00D55B24" w:rsidP="0019740E">
      <w:pPr>
        <w:pStyle w:val="Normal0"/>
        <w:numPr>
          <w:ilvl w:val="0"/>
          <w:numId w:val="4"/>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一式几联的原始凭证，只能以一联作为报销凭证；一式几联的发票和收据，必须用双面复写纸（发票和收据自身具有复写纸功能的除外）套写，并连续编号。</w:t>
      </w:r>
    </w:p>
    <w:p w:rsidR="0073097A" w:rsidRPr="00D55B24" w:rsidP="0019740E">
      <w:pPr>
        <w:pStyle w:val="Normal0"/>
        <w:numPr>
          <w:ilvl w:val="0"/>
          <w:numId w:val="4"/>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原始凭证不得涂改、挖补。发现原始凭证有错误的，应当由开出单位重开或者更正，更正处应当加盖开出单位的公章。</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按规定应当使用电子发票、税控机打发票或定额发票的必须按其规定办理。</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sectPr w:rsidSect="00A65E41">
          <w:type w:val="nextPage"/>
          <w:pgSz w:w="11906" w:h="16838"/>
          <w:pgMar w:top="1440" w:right="1800" w:bottom="1440" w:left="1800" w:header="851" w:footer="992" w:gutter="0"/>
          <w:pgNumType w:start="7"/>
          <w:cols w:space="425"/>
          <w:titlePg w:val="0"/>
          <w:docGrid w:type="lines" w:linePitch="312"/>
        </w:sectPr>
      </w:pPr>
    </w:p>
    <w:p w:rsidR="0073097A" w:rsidRPr="00D55B24" w:rsidP="0073097A">
      <w:pPr>
        <w:pStyle w:val="Normal0"/>
        <w:numPr>
          <w:ilvl w:val="0"/>
          <w:numId w:val="0"/>
        </w:numPr>
        <w:adjustRightInd w:val="0"/>
        <w:snapToGrid w:val="0"/>
        <w:spacing w:beforeLines="0" w:afterLines="0" w:line="600" w:lineRule="auto"/>
        <w:ind w:left="846"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记账凭证是根据原始凭证的经济内容拟定会计科目填制的记账依据。记账凭证的使用应遵守以下条款：</w:t>
      </w:r>
    </w:p>
    <w:p w:rsidR="0073097A" w:rsidRPr="00D55B24" w:rsidP="0019740E">
      <w:pPr>
        <w:pStyle w:val="Normal0"/>
        <w:numPr>
          <w:ilvl w:val="0"/>
          <w:numId w:val="5"/>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会计人员应根据审核无误的原始凭证填制记账凭证；</w:t>
      </w:r>
    </w:p>
    <w:p w:rsidR="0073097A" w:rsidRPr="00D55B24" w:rsidP="0019740E">
      <w:pPr>
        <w:pStyle w:val="Normal0"/>
        <w:numPr>
          <w:ilvl w:val="0"/>
          <w:numId w:val="5"/>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填制记账凭证时，应当对记账凭证进行连续编号，一笔经济业务需要填制两张以上记账凭证的，可以采用分数编号法编号；</w:t>
      </w:r>
    </w:p>
    <w:p w:rsidR="0073097A" w:rsidRPr="00D55B24" w:rsidP="0019740E">
      <w:pPr>
        <w:pStyle w:val="Normal0"/>
        <w:numPr>
          <w:ilvl w:val="0"/>
          <w:numId w:val="5"/>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填制记账凭证应涉及日期、凭证编号、经济业务摘要、会计科目、金额、所附原始凭证张数以及填制人、稽核人、记账人、财务负责人等内容；</w:t>
      </w:r>
    </w:p>
    <w:p w:rsidR="0073097A" w:rsidRPr="00D55B24" w:rsidP="0019740E">
      <w:pPr>
        <w:pStyle w:val="Normal0"/>
        <w:numPr>
          <w:ilvl w:val="0"/>
          <w:numId w:val="5"/>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除结转损益的记账凭证可以不附原始凭证外，其他记账凭证必须附有原始凭证。假如一张原始凭证涉及几张记账凭证，可以把原始凭证附在一张重要的记账凭证后面，并在其他记账凭证注明附有该原始凭证的记账凭证的编号或者附原始凭证复印件；</w:t>
      </w:r>
    </w:p>
    <w:p w:rsidR="0073097A" w:rsidRPr="00D55B24" w:rsidP="0019740E">
      <w:pPr>
        <w:pStyle w:val="Normal0"/>
        <w:numPr>
          <w:ilvl w:val="0"/>
          <w:numId w:val="5"/>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一张原始凭证所列支出需要本公司以外的其他公司共同承担的，应将其他公司承担的部分开给对方内部往来告知单并进行结算；</w:t>
      </w:r>
    </w:p>
    <w:p w:rsidR="0073097A" w:rsidRPr="00D55B24" w:rsidP="0019740E">
      <w:pPr>
        <w:pStyle w:val="Normal0"/>
        <w:numPr>
          <w:ilvl w:val="0"/>
          <w:numId w:val="5"/>
        </w:numPr>
        <w:adjustRightInd w:val="0"/>
        <w:snapToGrid w:val="0"/>
        <w:spacing w:beforeLines="0" w:afterLines="0" w:line="600" w:lineRule="auto"/>
        <w:ind w:left="0" w:firstLine="0" w:firstLineChars="0"/>
        <w:rPr>
          <w:rFonts w:ascii="宋体" w:hAnsi="宋体"/>
          <w:bCs/>
          <w:kern w:val="2"/>
          <w:szCs w:val="24"/>
          <w:lang w:val="en-US" w:eastAsia="zh-CN" w:bidi="ar-SA"/>
        </w:rPr>
        <w:sectPr w:rsidSect="00A65E41">
          <w:type w:val="nextPage"/>
          <w:pgSz w:w="11906" w:h="16838"/>
          <w:pgMar w:top="1440" w:right="1800" w:bottom="1440" w:left="1800" w:header="851" w:footer="992" w:gutter="0"/>
          <w:pgNumType w:start="8"/>
          <w:cols w:space="425"/>
          <w:titlePg w:val="0"/>
          <w:docGrid w:type="lines" w:linePitch="312"/>
        </w:sectPr>
      </w:pPr>
      <w:r w:rsidRPr="00D55B24">
        <w:rPr>
          <w:rFonts w:ascii="宋体" w:hAnsi="宋体" w:cstheme="minorBidi" w:hint="eastAsia"/>
          <w:bCs/>
          <w:kern w:val="2"/>
          <w:szCs w:val="24"/>
          <w:lang w:val="en-US" w:eastAsia="zh-CN" w:bidi="ar-SA"/>
        </w:rPr>
        <w:t>内部往来告知单必须具有告知方和接受方的名称、告知方的记账凭证号、告知金额、业务内容、附件名称和附件复印件等基本内容；</w:t>
      </w:r>
    </w:p>
    <w:p w:rsidR="0073097A" w:rsidRPr="00D55B24" w:rsidP="0019740E">
      <w:pPr>
        <w:pStyle w:val="Normal0"/>
        <w:numPr>
          <w:ilvl w:val="0"/>
          <w:numId w:val="5"/>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当年内发现已登账的凭证填写错误时，应调整相关科目；发现以前年度记账凭证有错误的，损益类的应当通过“以前年度损益调整”科目用蓝字更正。</w:t>
      </w:r>
    </w:p>
    <w:p w:rsidR="0073097A" w:rsidRPr="00D55B24" w:rsidP="0019740E">
      <w:pPr>
        <w:pStyle w:val="Normal0"/>
        <w:numPr>
          <w:ilvl w:val="0"/>
          <w:numId w:val="5"/>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财务人员应妥善保管记账凭证，</w:t>
      </w:r>
      <w:r w:rsidRPr="00D55B24">
        <w:rPr>
          <w:rFonts w:ascii="宋体" w:hAnsi="宋体" w:cstheme="minorBidi"/>
          <w:bCs/>
          <w:kern w:val="2"/>
          <w:szCs w:val="24"/>
          <w:lang w:val="en-US" w:eastAsia="zh-CN" w:bidi="ar-SA"/>
        </w:rPr>
        <w:t>记帐凭证应当连同所附的原始凭证或者原始凭证汇总表，按照编号顺序，折叠整齐，按期装订成册，并加具封面，注明单位名称、年度、月份和起讫日期、凭证种类、起讫号码，由装订人在装订线封签外署名或者盖章。</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根据公司的具体经营情况，公司设立钞票日记账、银行存款日记账、总分类账、明细分类账、固定资产卡片或固定资产台账、出租开发产品台账等账册。</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年末结账完毕后，应及时打印各种会计账簿。</w:t>
      </w:r>
      <w:r w:rsidRPr="00D55B24">
        <w:rPr>
          <w:rFonts w:ascii="宋体" w:hAnsi="宋体" w:cstheme="minorBidi"/>
          <w:kern w:val="2"/>
          <w:szCs w:val="24"/>
          <w:lang w:val="en-US" w:eastAsia="zh-CN" w:bidi="ar-SA"/>
        </w:rPr>
        <w:t>打印的会计帐簿必须连续编号，经审核无误后装订成册，并由记帐人员和会计机构负责人、会计主管人员签字或者盖章。</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sectPr w:rsidSect="00A65E41">
          <w:type w:val="nextPage"/>
          <w:pgSz w:w="11906" w:h="16838"/>
          <w:pgMar w:top="1440" w:right="1800" w:bottom="1440" w:left="1800" w:header="851" w:footer="992" w:gutter="0"/>
          <w:pgNumType w:start="9"/>
          <w:cols w:space="425"/>
          <w:titlePg w:val="0"/>
          <w:docGrid w:type="lines" w:linePitch="312"/>
        </w:sectPr>
      </w:pPr>
      <w:r w:rsidRPr="00D55B24">
        <w:rPr>
          <w:rFonts w:ascii="宋体" w:hAnsi="宋体" w:cstheme="minorBidi" w:hint="eastAsia"/>
          <w:kern w:val="2"/>
          <w:szCs w:val="24"/>
          <w:lang w:val="en-US" w:eastAsia="zh-CN" w:bidi="ar-SA"/>
        </w:rPr>
        <w:t>资产</w:t>
      </w:r>
    </w:p>
    <w:p w:rsidR="0073097A" w:rsidRPr="00D55B24" w:rsidP="00D55B24">
      <w:pPr>
        <w:pStyle w:val="Normal0"/>
        <w:adjustRightInd w:val="0"/>
        <w:snapToGrid w:val="0"/>
        <w:spacing w:before="156" w:after="156" w:line="600" w:lineRule="auto"/>
        <w:ind w:firstLine="454" w:firstLineChars="189"/>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资产是指公司过去的交易或者事项形成的、由公司拥有或者控制的、预期会给公司带来经济利益的资源。</w:t>
      </w:r>
    </w:p>
    <w:p w:rsidR="0073097A" w:rsidRPr="00D55B24" w:rsidP="0019740E">
      <w:pPr>
        <w:pStyle w:val="Normal0"/>
        <w:numPr>
          <w:ilvl w:val="0"/>
          <w:numId w:val="6"/>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符合上述资产的定义并且同时满足以下条件时，确认为资产，并在资产负债表列示：</w:t>
      </w:r>
    </w:p>
    <w:p w:rsidR="0073097A" w:rsidRPr="00AA6768" w:rsidP="00AA6768">
      <w:pPr>
        <w:pStyle w:val="ListParagraph"/>
        <w:numPr>
          <w:ilvl w:val="3"/>
          <w:numId w:val="7"/>
        </w:numPr>
        <w:adjustRightInd w:val="0"/>
        <w:snapToGrid w:val="0"/>
        <w:spacing w:before="156" w:after="156" w:line="600" w:lineRule="auto"/>
        <w:ind w:firstLineChars="0"/>
        <w:rPr>
          <w:rFonts w:ascii="宋体" w:hAnsi="宋体" w:cstheme="minorBidi"/>
          <w:bCs/>
          <w:kern w:val="2"/>
          <w:szCs w:val="24"/>
          <w:lang w:val="en-US" w:eastAsia="zh-CN" w:bidi="ar-SA"/>
        </w:rPr>
      </w:pPr>
      <w:r w:rsidRPr="00AA6768">
        <w:rPr>
          <w:rFonts w:ascii="宋体" w:hAnsi="宋体" w:cstheme="minorBidi" w:hint="eastAsia"/>
          <w:bCs/>
          <w:kern w:val="2"/>
          <w:szCs w:val="24"/>
          <w:lang w:val="en-US" w:eastAsia="zh-CN" w:bidi="ar-SA"/>
        </w:rPr>
        <w:t>与该资源有关的经济利益很也许流入公司；</w:t>
      </w:r>
    </w:p>
    <w:p w:rsidR="0073097A" w:rsidRPr="00AA6768" w:rsidP="00AA6768">
      <w:pPr>
        <w:pStyle w:val="ListParagraph"/>
        <w:numPr>
          <w:ilvl w:val="3"/>
          <w:numId w:val="7"/>
        </w:numPr>
        <w:adjustRightInd w:val="0"/>
        <w:snapToGrid w:val="0"/>
        <w:spacing w:before="156" w:after="156" w:line="600" w:lineRule="auto"/>
        <w:ind w:firstLineChars="0"/>
        <w:rPr>
          <w:rFonts w:ascii="宋体" w:hAnsi="宋体" w:cstheme="minorBidi"/>
          <w:bCs/>
          <w:kern w:val="2"/>
          <w:szCs w:val="24"/>
          <w:lang w:val="en-US" w:eastAsia="zh-CN" w:bidi="ar-SA"/>
        </w:rPr>
      </w:pPr>
      <w:r w:rsidRPr="00AA6768">
        <w:rPr>
          <w:rFonts w:ascii="宋体" w:hAnsi="宋体" w:cstheme="minorBidi" w:hint="eastAsia"/>
          <w:bCs/>
          <w:kern w:val="2"/>
          <w:szCs w:val="24"/>
          <w:lang w:val="en-US" w:eastAsia="zh-CN" w:bidi="ar-SA"/>
        </w:rPr>
        <w:t>该资源的成本或者价值可以可靠地计量。</w:t>
      </w:r>
    </w:p>
    <w:p w:rsidR="0073097A" w:rsidRPr="00D55B24" w:rsidP="0019740E">
      <w:pPr>
        <w:pStyle w:val="Normal0"/>
        <w:numPr>
          <w:ilvl w:val="0"/>
          <w:numId w:val="6"/>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公司资产按流动性分为流动资产、长期投资、固定资产、无形资产和其他资产。</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流动</w:t>
      </w:r>
      <w:r w:rsidRPr="00D55B24">
        <w:rPr>
          <w:rFonts w:ascii="宋体" w:hAnsi="宋体" w:cstheme="minorBidi"/>
          <w:kern w:val="2"/>
          <w:szCs w:val="24"/>
          <w:lang w:val="en-US" w:eastAsia="zh-CN" w:bidi="ar-SA"/>
        </w:rPr>
        <w:t>资产</w:t>
      </w:r>
    </w:p>
    <w:p w:rsidR="0073097A" w:rsidRPr="00D55B24" w:rsidP="00D55B24">
      <w:pPr>
        <w:pStyle w:val="Normal0"/>
        <w:adjustRightInd w:val="0"/>
        <w:snapToGrid w:val="0"/>
        <w:spacing w:before="156" w:after="156" w:line="600" w:lineRule="auto"/>
        <w:ind w:firstLine="454" w:firstLineChars="189"/>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流动资产是指可在一年内或超过一年的一个营业周期内变现或耗用的资产，重要涉及：货币资金、交易型金融资产、应收及预付款项、待摊费用、存货等。</w:t>
      </w:r>
    </w:p>
    <w:p w:rsidR="0073097A" w:rsidRPr="00D55B24" w:rsidP="0019740E">
      <w:pPr>
        <w:pStyle w:val="Normal0"/>
        <w:numPr>
          <w:ilvl w:val="0"/>
          <w:numId w:val="8"/>
        </w:numPr>
        <w:adjustRightInd w:val="0"/>
        <w:snapToGrid w:val="0"/>
        <w:spacing w:beforeLines="0" w:afterLines="0" w:line="600" w:lineRule="auto"/>
        <w:ind w:left="0" w:firstLine="0" w:firstLineChars="0"/>
        <w:rPr>
          <w:rFonts w:ascii="宋体" w:hAnsi="宋体"/>
          <w:bCs/>
          <w:kern w:val="2"/>
          <w:szCs w:val="24"/>
          <w:lang w:val="en-US" w:eastAsia="zh-CN" w:bidi="ar-SA"/>
        </w:rPr>
        <w:sectPr w:rsidSect="00A65E41">
          <w:type w:val="nextPage"/>
          <w:pgSz w:w="11906" w:h="16838"/>
          <w:pgMar w:top="1440" w:right="1800" w:bottom="1440" w:left="1800" w:header="851" w:footer="992" w:gutter="0"/>
          <w:pgNumType w:start="10"/>
          <w:cols w:space="425"/>
          <w:titlePg w:val="0"/>
          <w:docGrid w:type="lines" w:linePitch="312"/>
        </w:sectPr>
      </w:pPr>
      <w:r w:rsidRPr="00D55B24">
        <w:rPr>
          <w:rFonts w:ascii="宋体" w:hAnsi="宋体" w:cstheme="minorBidi"/>
          <w:bCs/>
          <w:kern w:val="2"/>
          <w:szCs w:val="24"/>
          <w:lang w:val="en-US" w:eastAsia="zh-CN" w:bidi="ar-SA"/>
        </w:rPr>
        <w:t>应收及预付款项</w:t>
      </w:r>
      <w:r w:rsidRPr="00D55B24">
        <w:rPr>
          <w:rFonts w:ascii="宋体" w:hAnsi="宋体" w:cstheme="minorBidi" w:hint="eastAsia"/>
          <w:bCs/>
          <w:kern w:val="2"/>
          <w:szCs w:val="24"/>
          <w:lang w:val="en-US" w:eastAsia="zh-CN" w:bidi="ar-SA"/>
        </w:rPr>
        <w:t>是指</w:t>
      </w:r>
    </w:p>
    <w:p w:rsidR="0073097A" w:rsidRPr="00D55B24" w:rsidP="0019740E">
      <w:pPr>
        <w:pStyle w:val="Normal0"/>
        <w:numPr>
          <w:ilvl w:val="0"/>
          <w:numId w:val="0"/>
        </w:numPr>
        <w:adjustRightInd w:val="0"/>
        <w:snapToGrid w:val="0"/>
        <w:spacing w:beforeLines="0" w:afterLines="0" w:line="600" w:lineRule="auto"/>
        <w:ind w:left="102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公司在经营过程中发生的各项债权，涉及应收票据、应收账款、其它应收款和预付账款。</w:t>
      </w:r>
    </w:p>
    <w:p w:rsidR="0073097A" w:rsidRPr="00D55B24" w:rsidP="00D55B24">
      <w:pPr>
        <w:pStyle w:val="Normal0"/>
        <w:adjustRightInd w:val="0"/>
        <w:snapToGrid w:val="0"/>
        <w:spacing w:before="156" w:after="156" w:line="600" w:lineRule="auto"/>
        <w:ind w:firstLine="480"/>
        <w:rPr>
          <w:rFonts w:ascii="宋体" w:hAnsi="宋体"/>
          <w:bCs/>
          <w:kern w:val="2"/>
          <w:szCs w:val="24"/>
          <w:lang w:val="en-US" w:eastAsia="zh-CN" w:bidi="ar-SA"/>
        </w:rPr>
      </w:pPr>
      <w:r>
        <w:rPr>
          <w:rFonts w:ascii="宋体" w:hAnsi="宋体" w:cstheme="minorBidi" w:hint="eastAsia"/>
          <w:bCs/>
          <w:kern w:val="2"/>
          <w:szCs w:val="24"/>
          <w:lang w:val="en-US" w:eastAsia="zh-CN" w:bidi="ar-SA"/>
        </w:rPr>
        <w:t>a</w:t>
      </w:r>
      <w:r w:rsidRPr="00D55B24">
        <w:rPr>
          <w:rFonts w:ascii="宋体" w:hAnsi="宋体" w:cstheme="minorBidi" w:hint="eastAsia"/>
          <w:bCs/>
          <w:kern w:val="2"/>
          <w:szCs w:val="24"/>
          <w:lang w:val="en-US" w:eastAsia="zh-CN" w:bidi="ar-SA"/>
        </w:rPr>
        <w:t>.</w:t>
      </w:r>
      <w:r w:rsidRPr="00D55B24">
        <w:rPr>
          <w:rFonts w:ascii="宋体" w:hAnsi="宋体" w:cstheme="minorBidi"/>
          <w:bCs/>
          <w:kern w:val="2"/>
          <w:szCs w:val="24"/>
          <w:lang w:val="en-US" w:eastAsia="zh-CN" w:bidi="ar-SA"/>
        </w:rPr>
        <w:t>应收及预付款项按实际发生额记</w:t>
      </w:r>
      <w:r w:rsidRPr="00D55B24">
        <w:rPr>
          <w:rFonts w:ascii="宋体" w:hAnsi="宋体" w:cstheme="minorBidi" w:hint="eastAsia"/>
          <w:bCs/>
          <w:kern w:val="2"/>
          <w:szCs w:val="24"/>
          <w:lang w:val="en-US" w:eastAsia="zh-CN" w:bidi="ar-SA"/>
        </w:rPr>
        <w:t>账</w:t>
      </w:r>
      <w:r w:rsidRPr="00D55B24">
        <w:rPr>
          <w:rFonts w:ascii="宋体" w:hAnsi="宋体" w:cstheme="minorBidi"/>
          <w:bCs/>
          <w:kern w:val="2"/>
          <w:szCs w:val="24"/>
          <w:lang w:val="en-US" w:eastAsia="zh-CN" w:bidi="ar-SA"/>
        </w:rPr>
        <w:t>，</w:t>
      </w:r>
      <w:r w:rsidRPr="00D55B24">
        <w:rPr>
          <w:rFonts w:ascii="宋体" w:hAnsi="宋体" w:cstheme="minorBidi" w:hint="eastAsia"/>
          <w:bCs/>
          <w:kern w:val="2"/>
          <w:szCs w:val="24"/>
          <w:lang w:val="en-US" w:eastAsia="zh-CN" w:bidi="ar-SA"/>
        </w:rPr>
        <w:t>应收账款</w:t>
      </w:r>
      <w:r w:rsidRPr="00D55B24">
        <w:rPr>
          <w:rFonts w:ascii="宋体" w:hAnsi="宋体" w:cstheme="minorBidi"/>
          <w:bCs/>
          <w:kern w:val="2"/>
          <w:szCs w:val="24"/>
          <w:lang w:val="en-US" w:eastAsia="zh-CN" w:bidi="ar-SA"/>
        </w:rPr>
        <w:t>按照往来户名</w:t>
      </w:r>
      <w:r w:rsidRPr="00D55B24">
        <w:rPr>
          <w:rFonts w:ascii="宋体" w:hAnsi="宋体" w:cstheme="minorBidi" w:hint="eastAsia"/>
          <w:bCs/>
          <w:kern w:val="2"/>
          <w:szCs w:val="24"/>
          <w:lang w:val="en-US" w:eastAsia="zh-CN" w:bidi="ar-SA"/>
        </w:rPr>
        <w:t>和工程项目</w:t>
      </w:r>
      <w:r w:rsidRPr="00D55B24">
        <w:rPr>
          <w:rFonts w:ascii="宋体" w:hAnsi="宋体" w:cstheme="minorBidi"/>
          <w:bCs/>
          <w:kern w:val="2"/>
          <w:szCs w:val="24"/>
          <w:lang w:val="en-US" w:eastAsia="zh-CN" w:bidi="ar-SA"/>
        </w:rPr>
        <w:t>设立</w:t>
      </w:r>
      <w:r w:rsidRPr="00D55B24">
        <w:rPr>
          <w:rFonts w:ascii="宋体" w:hAnsi="宋体" w:cstheme="minorBidi" w:hint="eastAsia"/>
          <w:bCs/>
          <w:kern w:val="2"/>
          <w:szCs w:val="24"/>
          <w:lang w:val="en-US" w:eastAsia="zh-CN" w:bidi="ar-SA"/>
        </w:rPr>
        <w:t>辅助项目核算</w:t>
      </w:r>
      <w:r w:rsidRPr="00D55B24">
        <w:rPr>
          <w:rFonts w:ascii="宋体" w:hAnsi="宋体" w:cstheme="minorBidi"/>
          <w:bCs/>
          <w:kern w:val="2"/>
          <w:szCs w:val="24"/>
          <w:lang w:val="en-US" w:eastAsia="zh-CN" w:bidi="ar-SA"/>
        </w:rPr>
        <w:t>进行明细核算</w:t>
      </w:r>
      <w:r w:rsidRPr="00D55B24">
        <w:rPr>
          <w:rFonts w:ascii="宋体" w:hAnsi="宋体" w:cstheme="minorBidi" w:hint="eastAsia"/>
          <w:bCs/>
          <w:kern w:val="2"/>
          <w:szCs w:val="24"/>
          <w:lang w:val="en-US" w:eastAsia="zh-CN" w:bidi="ar-SA"/>
        </w:rPr>
        <w:t>，预付账款需要再增长协议辅助核算；</w:t>
      </w:r>
    </w:p>
    <w:p w:rsidR="0073097A" w:rsidRPr="00D55B24" w:rsidP="00D55B24">
      <w:pPr>
        <w:pStyle w:val="Normal0"/>
        <w:adjustRightInd w:val="0"/>
        <w:snapToGrid w:val="0"/>
        <w:spacing w:before="156" w:after="156" w:line="600" w:lineRule="auto"/>
        <w:ind w:firstLine="480"/>
        <w:rPr>
          <w:rFonts w:ascii="宋体" w:hAnsi="宋体"/>
          <w:bCs/>
          <w:kern w:val="2"/>
          <w:szCs w:val="24"/>
          <w:lang w:val="en-US" w:eastAsia="zh-CN" w:bidi="ar-SA"/>
        </w:rPr>
      </w:pPr>
      <w:r>
        <w:rPr>
          <w:rFonts w:ascii="宋体" w:hAnsi="宋体" w:cstheme="minorBidi" w:hint="eastAsia"/>
          <w:bCs/>
          <w:kern w:val="2"/>
          <w:szCs w:val="24"/>
          <w:lang w:val="en-US" w:eastAsia="zh-CN" w:bidi="ar-SA"/>
        </w:rPr>
        <w:t>b</w:t>
      </w:r>
      <w:r w:rsidRPr="00D55B24">
        <w:rPr>
          <w:rFonts w:ascii="宋体" w:hAnsi="宋体" w:cstheme="minorBidi" w:hint="eastAsia"/>
          <w:bCs/>
          <w:kern w:val="2"/>
          <w:szCs w:val="24"/>
          <w:lang w:val="en-US" w:eastAsia="zh-CN" w:bidi="ar-SA"/>
        </w:rPr>
        <w:t>.</w:t>
      </w:r>
      <w:r w:rsidRPr="00D55B24">
        <w:rPr>
          <w:rFonts w:ascii="宋体" w:hAnsi="宋体" w:cstheme="minorBidi"/>
          <w:bCs/>
          <w:kern w:val="2"/>
          <w:szCs w:val="24"/>
          <w:lang w:val="en-US" w:eastAsia="zh-CN" w:bidi="ar-SA"/>
        </w:rPr>
        <w:t>公司发生的债转股、以非</w:t>
      </w:r>
      <w:r w:rsidRPr="00D55B24">
        <w:rPr>
          <w:rFonts w:ascii="宋体" w:hAnsi="宋体" w:cstheme="minorBidi" w:hint="eastAsia"/>
          <w:bCs/>
          <w:kern w:val="2"/>
          <w:szCs w:val="24"/>
          <w:lang w:val="en-US" w:eastAsia="zh-CN" w:bidi="ar-SA"/>
        </w:rPr>
        <w:t>钞票</w:t>
      </w:r>
      <w:r w:rsidRPr="00D55B24">
        <w:rPr>
          <w:rFonts w:ascii="宋体" w:hAnsi="宋体" w:cstheme="minorBidi"/>
          <w:bCs/>
          <w:kern w:val="2"/>
          <w:szCs w:val="24"/>
          <w:lang w:val="en-US" w:eastAsia="zh-CN" w:bidi="ar-SA"/>
        </w:rPr>
        <w:t>资产清偿债务或收到低于应收债权账面价值</w:t>
      </w:r>
      <w:r w:rsidRPr="00D55B24">
        <w:rPr>
          <w:rFonts w:ascii="宋体" w:hAnsi="宋体" w:cstheme="minorBidi"/>
          <w:bCs/>
          <w:kern w:val="2"/>
          <w:szCs w:val="24"/>
          <w:lang w:val="en-US" w:eastAsia="zh-CN" w:bidi="ar-SA"/>
        </w:rPr>
        <w:t>等业务按《公司</w:t>
      </w:r>
      <w:r w:rsidRPr="00D55B24">
        <w:rPr>
          <w:rFonts w:ascii="宋体" w:hAnsi="宋体" w:cstheme="minorBidi" w:hint="eastAsia"/>
          <w:bCs/>
          <w:kern w:val="2"/>
          <w:szCs w:val="24"/>
          <w:lang w:val="en-US" w:eastAsia="zh-CN" w:bidi="ar-SA"/>
        </w:rPr>
        <w:t>会计准则第</w:t>
      </w:r>
      <w:r w:rsidRPr="00D55B24">
        <w:rPr>
          <w:rFonts w:ascii="宋体" w:hAnsi="宋体" w:cstheme="minorBidi" w:hint="eastAsia"/>
          <w:bCs/>
          <w:kern w:val="2"/>
          <w:szCs w:val="24"/>
          <w:lang w:val="en-US" w:eastAsia="zh-CN" w:bidi="ar-SA"/>
        </w:rPr>
        <w:t>12</w:t>
      </w:r>
      <w:r w:rsidRPr="00D55B24">
        <w:rPr>
          <w:rFonts w:ascii="宋体" w:hAnsi="宋体" w:cstheme="minorBidi" w:hint="eastAsia"/>
          <w:bCs/>
          <w:kern w:val="2"/>
          <w:szCs w:val="24"/>
          <w:lang w:val="en-US" w:eastAsia="zh-CN" w:bidi="ar-SA"/>
        </w:rPr>
        <w:t>号</w:t>
      </w:r>
      <w:r w:rsidRPr="00D55B24">
        <w:rPr>
          <w:rFonts w:ascii="宋体" w:hAnsi="宋体" w:cstheme="minorBidi" w:hint="eastAsia"/>
          <w:bCs/>
          <w:kern w:val="2"/>
          <w:szCs w:val="24"/>
          <w:lang w:val="en-US" w:eastAsia="zh-CN" w:bidi="ar-SA"/>
        </w:rPr>
        <w:t>---</w:t>
      </w:r>
      <w:r w:rsidRPr="00D55B24">
        <w:rPr>
          <w:rFonts w:ascii="宋体" w:hAnsi="宋体" w:cstheme="minorBidi" w:hint="eastAsia"/>
          <w:bCs/>
          <w:kern w:val="2"/>
          <w:szCs w:val="24"/>
          <w:lang w:val="en-US" w:eastAsia="zh-CN" w:bidi="ar-SA"/>
        </w:rPr>
        <w:t>债务重组》的规定进行</w:t>
      </w:r>
      <w:r w:rsidRPr="00D55B24">
        <w:rPr>
          <w:rFonts w:ascii="宋体" w:hAnsi="宋体" w:cstheme="minorBidi"/>
          <w:bCs/>
          <w:kern w:val="2"/>
          <w:szCs w:val="24"/>
          <w:lang w:val="en-US" w:eastAsia="zh-CN" w:bidi="ar-SA"/>
        </w:rPr>
        <w:t>业务解决</w:t>
      </w:r>
      <w:r w:rsidRPr="00D55B24">
        <w:rPr>
          <w:rFonts w:ascii="宋体" w:hAnsi="宋体" w:cstheme="minorBidi" w:hint="eastAsia"/>
          <w:bCs/>
          <w:kern w:val="2"/>
          <w:szCs w:val="24"/>
          <w:lang w:val="en-US" w:eastAsia="zh-CN" w:bidi="ar-SA"/>
        </w:rPr>
        <w:t>；</w:t>
      </w:r>
    </w:p>
    <w:p w:rsidR="0073097A" w:rsidRPr="00D55B24" w:rsidP="00D55B24">
      <w:pPr>
        <w:pStyle w:val="Normal0"/>
        <w:adjustRightInd w:val="0"/>
        <w:snapToGrid w:val="0"/>
        <w:spacing w:before="156" w:after="156" w:line="600" w:lineRule="auto"/>
        <w:ind w:firstLine="480"/>
        <w:rPr>
          <w:rFonts w:ascii="宋体" w:hAnsi="宋体"/>
          <w:bCs/>
          <w:kern w:val="2"/>
          <w:szCs w:val="24"/>
          <w:lang w:val="en-US" w:eastAsia="zh-CN" w:bidi="ar-SA"/>
        </w:rPr>
      </w:pPr>
      <w:r>
        <w:rPr>
          <w:rFonts w:ascii="宋体" w:hAnsi="宋体" w:cstheme="minorBidi" w:hint="eastAsia"/>
          <w:bCs/>
          <w:kern w:val="2"/>
          <w:szCs w:val="24"/>
          <w:lang w:val="en-US" w:eastAsia="zh-CN" w:bidi="ar-SA"/>
        </w:rPr>
        <w:t>c</w:t>
      </w:r>
      <w:r w:rsidRPr="00D55B24">
        <w:rPr>
          <w:rFonts w:ascii="宋体" w:hAnsi="宋体" w:cstheme="minorBidi" w:hint="eastAsia"/>
          <w:bCs/>
          <w:kern w:val="2"/>
          <w:szCs w:val="24"/>
          <w:lang w:val="en-US" w:eastAsia="zh-CN" w:bidi="ar-SA"/>
        </w:rPr>
        <w:t>.</w:t>
      </w:r>
      <w:r w:rsidRPr="00D55B24">
        <w:rPr>
          <w:rFonts w:ascii="宋体" w:hAnsi="宋体" w:cstheme="minorBidi" w:hint="eastAsia"/>
          <w:bCs/>
          <w:kern w:val="2"/>
          <w:szCs w:val="24"/>
          <w:lang w:val="en-US" w:eastAsia="zh-CN" w:bidi="ar-SA"/>
        </w:rPr>
        <w:t>坏账准备采用备抵法，估计坏账准备的方法采用</w:t>
      </w:r>
      <w:r w:rsidRPr="00D55B24">
        <w:rPr>
          <w:rFonts w:ascii="宋体" w:hAnsi="宋体" w:cstheme="minorBidi"/>
          <w:bCs/>
          <w:kern w:val="2"/>
          <w:szCs w:val="24"/>
          <w:lang w:val="en-US" w:eastAsia="zh-CN" w:bidi="ar-SA"/>
        </w:rPr>
        <w:t>个别认定法</w:t>
      </w:r>
      <w:r w:rsidRPr="00D55B24">
        <w:rPr>
          <w:rFonts w:ascii="宋体" w:hAnsi="宋体" w:cstheme="minorBidi" w:hint="eastAsia"/>
          <w:bCs/>
          <w:kern w:val="2"/>
          <w:szCs w:val="24"/>
          <w:lang w:val="en-US" w:eastAsia="zh-CN" w:bidi="ar-SA"/>
        </w:rPr>
        <w:t>：即</w:t>
      </w:r>
      <w:r w:rsidRPr="00D55B24">
        <w:rPr>
          <w:rFonts w:ascii="宋体" w:hAnsi="宋体" w:cstheme="minorBidi"/>
          <w:bCs/>
          <w:kern w:val="2"/>
          <w:szCs w:val="24"/>
          <w:lang w:val="en-US" w:eastAsia="zh-CN" w:bidi="ar-SA"/>
        </w:rPr>
        <w:t>计提坏账准备时，</w:t>
      </w:r>
      <w:r w:rsidRPr="00D55B24">
        <w:rPr>
          <w:rFonts w:ascii="宋体" w:hAnsi="宋体" w:cstheme="minorBidi" w:hint="eastAsia"/>
          <w:bCs/>
          <w:kern w:val="2"/>
          <w:szCs w:val="24"/>
          <w:lang w:val="en-US" w:eastAsia="zh-CN" w:bidi="ar-SA"/>
        </w:rPr>
        <w:t>结合每笔账项的实际、债务单位情况、账龄分析情况等，个别认定某个债务方或某一笔账是否有难以收回的风险，对风险大的加大坏账准备金的提取比例，而其实没有风险或风险不大的应收账款则可以不提坏账准备</w:t>
      </w:r>
      <w:r w:rsidRPr="00D55B24">
        <w:rPr>
          <w:rFonts w:ascii="宋体" w:hAnsi="宋体" w:cstheme="minorBidi"/>
          <w:bCs/>
          <w:kern w:val="2"/>
          <w:szCs w:val="24"/>
          <w:lang w:val="en-US" w:eastAsia="zh-CN" w:bidi="ar-SA"/>
        </w:rPr>
        <w:t>，进而拟定本期期末应计提的坏账准备金额。</w:t>
      </w:r>
      <w:r w:rsidRPr="00D55B24">
        <w:rPr>
          <w:rFonts w:ascii="宋体" w:hAnsi="宋体" w:cstheme="minorBidi" w:hint="eastAsia"/>
          <w:bCs/>
          <w:kern w:val="2"/>
          <w:szCs w:val="24"/>
          <w:lang w:val="en-US" w:eastAsia="zh-CN" w:bidi="ar-SA"/>
        </w:rPr>
        <w:t>系各</w:t>
      </w:r>
      <w:r w:rsidR="00027246">
        <w:rPr>
          <w:rFonts w:ascii="宋体" w:hAnsi="宋体" w:cstheme="minorBidi" w:hint="eastAsia"/>
          <w:bCs/>
          <w:kern w:val="2"/>
          <w:szCs w:val="24"/>
          <w:lang w:val="en-US" w:eastAsia="zh-CN" w:bidi="ar-SA"/>
        </w:rPr>
        <w:t>城市公司</w:t>
      </w:r>
      <w:r w:rsidRPr="00D55B24">
        <w:rPr>
          <w:rFonts w:ascii="宋体" w:hAnsi="宋体" w:cstheme="minorBidi" w:hint="eastAsia"/>
          <w:bCs/>
          <w:kern w:val="2"/>
          <w:szCs w:val="24"/>
          <w:lang w:val="en-US" w:eastAsia="zh-CN" w:bidi="ar-SA"/>
        </w:rPr>
        <w:t>应在季末对本公司应收款项余额逐个进行审阅（涉及预付账款、应收账款、其他应收款），对坏账也许性进行判断，并根据下表计提坏账准备：</w:t>
      </w:r>
    </w:p>
    <w:tbl>
      <w:tblPr>
        <w:tblStyle w:val="TableNormal"/>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410"/>
        <w:gridCol w:w="4111"/>
        <w:gridCol w:w="1984"/>
      </w:tblGrid>
      <w:tr w:rsidTr="00A30F71">
        <w:tblPrEx>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c>
          <w:tcPr>
            <w:tcW w:w="2410" w:type="dxa"/>
          </w:tcPr>
          <w:p w:rsidR="0073097A" w:rsidRPr="00D55B24" w:rsidP="00D55B24">
            <w:pPr>
              <w:pStyle w:val="Normal0"/>
              <w:adjustRightInd w:val="0"/>
              <w:snapToGrid w:val="0"/>
              <w:spacing w:before="156" w:after="156" w:line="360" w:lineRule="auto"/>
              <w:ind w:firstLine="420"/>
              <w:jc w:val="center"/>
              <w:rPr>
                <w:rFonts w:asciiTheme="majorEastAsia" w:eastAsiaTheme="majorEastAsia" w:hAnsiTheme="majorEastAsia"/>
                <w:bCs/>
                <w:kern w:val="2"/>
                <w:sz w:val="21"/>
                <w:szCs w:val="21"/>
                <w:lang w:val="en-US" w:eastAsia="zh-CN" w:bidi="ar-SA"/>
              </w:rPr>
            </w:pPr>
            <w:r w:rsidRPr="00D55B24">
              <w:rPr>
                <w:rFonts w:asciiTheme="majorEastAsia" w:eastAsiaTheme="majorEastAsia" w:hAnsiTheme="majorEastAsia" w:cstheme="minorBidi" w:hint="eastAsia"/>
                <w:bCs/>
                <w:kern w:val="2"/>
                <w:sz w:val="21"/>
                <w:szCs w:val="21"/>
                <w:lang w:val="en-US" w:eastAsia="zh-CN" w:bidi="ar-SA"/>
              </w:rPr>
              <w:t>坏账</w:t>
            </w:r>
            <w:r w:rsidRPr="00D55B24">
              <w:rPr>
                <w:rFonts w:asciiTheme="majorEastAsia" w:eastAsiaTheme="majorEastAsia" w:hAnsiTheme="majorEastAsia" w:cstheme="minorBidi"/>
                <w:bCs/>
                <w:kern w:val="2"/>
                <w:sz w:val="21"/>
                <w:szCs w:val="21"/>
                <w:lang w:val="en-US" w:eastAsia="zh-CN" w:bidi="ar-SA"/>
              </w:rPr>
              <w:t>的也许性</w:t>
            </w:r>
          </w:p>
        </w:tc>
        <w:tc>
          <w:tcPr>
            <w:tcW w:w="4111" w:type="dxa"/>
          </w:tcPr>
          <w:p w:rsidR="0073097A" w:rsidRPr="00D55B24" w:rsidP="00D55B24">
            <w:pPr>
              <w:pStyle w:val="Normal0"/>
              <w:adjustRightInd w:val="0"/>
              <w:snapToGrid w:val="0"/>
              <w:spacing w:before="156" w:after="156" w:line="360" w:lineRule="auto"/>
              <w:ind w:firstLine="23" w:firstLineChars="11"/>
              <w:jc w:val="center"/>
              <w:rPr>
                <w:rFonts w:asciiTheme="majorEastAsia" w:eastAsiaTheme="majorEastAsia" w:hAnsiTheme="majorEastAsia"/>
                <w:bCs/>
                <w:kern w:val="2"/>
                <w:sz w:val="21"/>
                <w:szCs w:val="21"/>
                <w:lang w:val="en-US" w:eastAsia="zh-CN" w:bidi="ar-SA"/>
              </w:rPr>
            </w:pPr>
            <w:r w:rsidRPr="00D55B24">
              <w:rPr>
                <w:rFonts w:asciiTheme="majorEastAsia" w:eastAsiaTheme="majorEastAsia" w:hAnsiTheme="majorEastAsia" w:cstheme="minorBidi"/>
                <w:bCs/>
                <w:kern w:val="2"/>
                <w:sz w:val="21"/>
                <w:szCs w:val="21"/>
                <w:lang w:val="en-US" w:eastAsia="zh-CN" w:bidi="ar-SA"/>
              </w:rPr>
              <w:t>相应的概率区间</w:t>
            </w:r>
          </w:p>
        </w:tc>
        <w:tc>
          <w:tcPr>
            <w:tcW w:w="1984" w:type="dxa"/>
          </w:tcPr>
          <w:p w:rsidR="0073097A" w:rsidRPr="00D55B24" w:rsidP="00D55B24">
            <w:pPr>
              <w:pStyle w:val="Normal0"/>
              <w:adjustRightInd w:val="0"/>
              <w:snapToGrid w:val="0"/>
              <w:spacing w:before="156" w:after="156" w:line="360" w:lineRule="auto"/>
              <w:ind w:left="-46" w:hanging="76" w:leftChars="-51" w:hangingChars="36"/>
              <w:jc w:val="center"/>
              <w:rPr>
                <w:rFonts w:asciiTheme="majorEastAsia" w:eastAsiaTheme="majorEastAsia" w:hAnsiTheme="majorEastAsia"/>
                <w:bCs/>
                <w:kern w:val="2"/>
                <w:sz w:val="21"/>
                <w:szCs w:val="21"/>
                <w:lang w:val="en-US" w:eastAsia="zh-CN" w:bidi="ar-SA"/>
              </w:rPr>
            </w:pPr>
            <w:r w:rsidRPr="00D55B24">
              <w:rPr>
                <w:rFonts w:asciiTheme="majorEastAsia" w:eastAsiaTheme="majorEastAsia" w:hAnsiTheme="majorEastAsia" w:cstheme="minorBidi" w:hint="eastAsia"/>
                <w:bCs/>
                <w:kern w:val="2"/>
                <w:sz w:val="21"/>
                <w:szCs w:val="21"/>
                <w:lang w:val="en-US" w:eastAsia="zh-CN" w:bidi="ar-SA"/>
              </w:rPr>
              <w:t>计提坏账比例</w:t>
            </w:r>
          </w:p>
        </w:tc>
      </w:tr>
    </w:tbl>
    <w:p>
      <w:pPr>
        <w:sectPr w:rsidSect="00A65E41">
          <w:type w:val="nextPage"/>
          <w:pgSz w:w="11906" w:h="16838"/>
          <w:pgMar w:top="1440" w:right="1800" w:bottom="1440" w:left="1800" w:header="851" w:footer="992" w:gutter="0"/>
          <w:pgNumType w:start="11"/>
          <w:cols w:space="425"/>
          <w:titlePg w:val="0"/>
          <w:docGrid w:type="lines" w:linePitch="312"/>
        </w:sectPr>
      </w:pPr>
    </w:p>
    <w:tbl>
      <w:tblPr>
        <w:tblStyle w:val="TableNormal"/>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410"/>
        <w:gridCol w:w="4111"/>
        <w:gridCol w:w="1984"/>
      </w:tblGrid>
      <w:tr w:rsidTr="00A30F71">
        <w:tblPrEx>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c>
          <w:tcPr>
            <w:tcW w:w="2410" w:type="dxa"/>
          </w:tcPr>
          <w:p w:rsidR="0073097A" w:rsidRPr="00D55B24" w:rsidP="00D55B24">
            <w:pPr>
              <w:pStyle w:val="Normal0"/>
              <w:adjustRightInd w:val="0"/>
              <w:snapToGrid w:val="0"/>
              <w:spacing w:before="156" w:after="156" w:line="360" w:lineRule="auto"/>
              <w:ind w:firstLine="420"/>
              <w:jc w:val="center"/>
              <w:rPr>
                <w:rFonts w:asciiTheme="majorEastAsia" w:eastAsiaTheme="majorEastAsia" w:hAnsiTheme="majorEastAsia"/>
                <w:bCs/>
                <w:kern w:val="2"/>
                <w:sz w:val="21"/>
                <w:szCs w:val="21"/>
                <w:lang w:val="en-US" w:eastAsia="zh-CN" w:bidi="ar-SA"/>
              </w:rPr>
            </w:pPr>
            <w:r w:rsidRPr="00D55B24">
              <w:rPr>
                <w:rFonts w:asciiTheme="majorEastAsia" w:eastAsiaTheme="majorEastAsia" w:hAnsiTheme="majorEastAsia" w:cstheme="minorBidi"/>
                <w:bCs/>
                <w:kern w:val="2"/>
                <w:sz w:val="21"/>
                <w:szCs w:val="21"/>
                <w:lang w:val="en-US" w:eastAsia="zh-CN" w:bidi="ar-SA"/>
              </w:rPr>
              <w:t>基本拟定</w:t>
            </w:r>
          </w:p>
        </w:tc>
        <w:tc>
          <w:tcPr>
            <w:tcW w:w="4111" w:type="dxa"/>
          </w:tcPr>
          <w:p w:rsidR="0073097A" w:rsidRPr="00D55B24" w:rsidP="00D55B24">
            <w:pPr>
              <w:pStyle w:val="Normal0"/>
              <w:adjustRightInd w:val="0"/>
              <w:snapToGrid w:val="0"/>
              <w:spacing w:before="156" w:after="156" w:line="360" w:lineRule="auto"/>
              <w:ind w:firstLine="420"/>
              <w:jc w:val="center"/>
              <w:rPr>
                <w:rFonts w:asciiTheme="majorEastAsia" w:eastAsiaTheme="majorEastAsia" w:hAnsiTheme="majorEastAsia"/>
                <w:bCs/>
                <w:kern w:val="2"/>
                <w:sz w:val="21"/>
                <w:szCs w:val="21"/>
                <w:lang w:val="en-US" w:eastAsia="zh-CN" w:bidi="ar-SA"/>
              </w:rPr>
            </w:pPr>
            <w:r w:rsidRPr="00D55B24">
              <w:rPr>
                <w:rFonts w:asciiTheme="majorEastAsia" w:eastAsiaTheme="majorEastAsia" w:hAnsiTheme="majorEastAsia" w:cstheme="minorBidi"/>
                <w:bCs/>
                <w:kern w:val="2"/>
                <w:sz w:val="21"/>
                <w:szCs w:val="21"/>
                <w:lang w:val="en-US" w:eastAsia="zh-CN" w:bidi="ar-SA"/>
              </w:rPr>
              <w:t>大于95%但小于100%</w:t>
            </w:r>
          </w:p>
        </w:tc>
        <w:tc>
          <w:tcPr>
            <w:tcW w:w="1984" w:type="dxa"/>
          </w:tcPr>
          <w:p w:rsidR="0073097A" w:rsidRPr="00D55B24" w:rsidP="00D55B24">
            <w:pPr>
              <w:pStyle w:val="Normal0"/>
              <w:adjustRightInd w:val="0"/>
              <w:snapToGrid w:val="0"/>
              <w:spacing w:before="156" w:after="156" w:line="360" w:lineRule="auto"/>
              <w:ind w:firstLine="420"/>
              <w:jc w:val="center"/>
              <w:rPr>
                <w:rFonts w:asciiTheme="majorEastAsia" w:eastAsiaTheme="majorEastAsia" w:hAnsiTheme="majorEastAsia"/>
                <w:bCs/>
                <w:kern w:val="2"/>
                <w:sz w:val="21"/>
                <w:szCs w:val="21"/>
                <w:lang w:val="en-US" w:eastAsia="zh-CN" w:bidi="ar-SA"/>
              </w:rPr>
            </w:pPr>
            <w:r w:rsidRPr="00D55B24">
              <w:rPr>
                <w:rFonts w:asciiTheme="majorEastAsia" w:eastAsiaTheme="majorEastAsia" w:hAnsiTheme="majorEastAsia" w:cstheme="minorBidi" w:hint="eastAsia"/>
                <w:bCs/>
                <w:kern w:val="2"/>
                <w:sz w:val="21"/>
                <w:szCs w:val="21"/>
                <w:lang w:val="en-US" w:eastAsia="zh-CN" w:bidi="ar-SA"/>
              </w:rPr>
              <w:t>100%</w:t>
            </w:r>
          </w:p>
        </w:tc>
      </w:tr>
      <w:tr w:rsidTr="00A30F71">
        <w:tblPrEx>
          <w:tblW w:w="0" w:type="auto"/>
          <w:tblInd w:w="108" w:type="dxa"/>
          <w:tblLayout w:type="fixed"/>
          <w:tblLook w:val="0000"/>
        </w:tblPrEx>
        <w:tc>
          <w:tcPr>
            <w:tcW w:w="2410" w:type="dxa"/>
          </w:tcPr>
          <w:p w:rsidR="0073097A" w:rsidRPr="00D55B24" w:rsidP="00D55B24">
            <w:pPr>
              <w:pStyle w:val="Normal0"/>
              <w:adjustRightInd w:val="0"/>
              <w:snapToGrid w:val="0"/>
              <w:spacing w:before="156" w:after="156" w:line="360" w:lineRule="auto"/>
              <w:ind w:firstLine="420"/>
              <w:jc w:val="center"/>
              <w:rPr>
                <w:rFonts w:asciiTheme="majorEastAsia" w:eastAsiaTheme="majorEastAsia" w:hAnsiTheme="majorEastAsia"/>
                <w:bCs/>
                <w:kern w:val="2"/>
                <w:sz w:val="21"/>
                <w:szCs w:val="21"/>
                <w:lang w:val="en-US" w:eastAsia="zh-CN" w:bidi="ar-SA"/>
              </w:rPr>
            </w:pPr>
            <w:r w:rsidRPr="00D55B24">
              <w:rPr>
                <w:rFonts w:asciiTheme="majorEastAsia" w:eastAsiaTheme="majorEastAsia" w:hAnsiTheme="majorEastAsia" w:cstheme="minorBidi"/>
                <w:bCs/>
                <w:kern w:val="2"/>
                <w:sz w:val="21"/>
                <w:szCs w:val="21"/>
                <w:lang w:val="en-US" w:eastAsia="zh-CN" w:bidi="ar-SA"/>
              </w:rPr>
              <w:t>很也许</w:t>
            </w:r>
          </w:p>
        </w:tc>
        <w:tc>
          <w:tcPr>
            <w:tcW w:w="4111" w:type="dxa"/>
          </w:tcPr>
          <w:p w:rsidR="0073097A" w:rsidRPr="00D55B24" w:rsidP="00D55B24">
            <w:pPr>
              <w:pStyle w:val="Normal0"/>
              <w:adjustRightInd w:val="0"/>
              <w:snapToGrid w:val="0"/>
              <w:spacing w:before="156" w:after="156" w:line="360" w:lineRule="auto"/>
              <w:ind w:firstLine="420"/>
              <w:jc w:val="center"/>
              <w:rPr>
                <w:rFonts w:asciiTheme="majorEastAsia" w:eastAsiaTheme="majorEastAsia" w:hAnsiTheme="majorEastAsia"/>
                <w:bCs/>
                <w:kern w:val="2"/>
                <w:sz w:val="21"/>
                <w:szCs w:val="21"/>
                <w:lang w:val="en-US" w:eastAsia="zh-CN" w:bidi="ar-SA"/>
              </w:rPr>
            </w:pPr>
            <w:r w:rsidRPr="00D55B24">
              <w:rPr>
                <w:rFonts w:asciiTheme="majorEastAsia" w:eastAsiaTheme="majorEastAsia" w:hAnsiTheme="majorEastAsia" w:cstheme="minorBidi"/>
                <w:bCs/>
                <w:kern w:val="2"/>
                <w:sz w:val="21"/>
                <w:szCs w:val="21"/>
                <w:lang w:val="en-US" w:eastAsia="zh-CN" w:bidi="ar-SA"/>
              </w:rPr>
              <w:t>大于50%但小于或等于95%</w:t>
            </w:r>
          </w:p>
        </w:tc>
        <w:tc>
          <w:tcPr>
            <w:tcW w:w="1984" w:type="dxa"/>
          </w:tcPr>
          <w:p w:rsidR="0073097A" w:rsidRPr="00D55B24" w:rsidP="00D55B24">
            <w:pPr>
              <w:pStyle w:val="Normal0"/>
              <w:adjustRightInd w:val="0"/>
              <w:snapToGrid w:val="0"/>
              <w:spacing w:before="156" w:after="156" w:line="360" w:lineRule="auto"/>
              <w:ind w:firstLine="420"/>
              <w:jc w:val="center"/>
              <w:rPr>
                <w:rFonts w:asciiTheme="majorEastAsia" w:eastAsiaTheme="majorEastAsia" w:hAnsiTheme="majorEastAsia"/>
                <w:bCs/>
                <w:kern w:val="2"/>
                <w:sz w:val="21"/>
                <w:szCs w:val="21"/>
                <w:lang w:val="en-US" w:eastAsia="zh-CN" w:bidi="ar-SA"/>
              </w:rPr>
            </w:pPr>
            <w:r w:rsidRPr="00D55B24">
              <w:rPr>
                <w:rFonts w:asciiTheme="majorEastAsia" w:eastAsiaTheme="majorEastAsia" w:hAnsiTheme="majorEastAsia" w:cstheme="minorBidi" w:hint="eastAsia"/>
                <w:bCs/>
                <w:kern w:val="2"/>
                <w:sz w:val="21"/>
                <w:szCs w:val="21"/>
                <w:lang w:val="en-US" w:eastAsia="zh-CN" w:bidi="ar-SA"/>
              </w:rPr>
              <w:t>80%</w:t>
            </w:r>
          </w:p>
        </w:tc>
      </w:tr>
      <w:tr w:rsidTr="00A30F71">
        <w:tblPrEx>
          <w:tblW w:w="0" w:type="auto"/>
          <w:tblInd w:w="108" w:type="dxa"/>
          <w:tblLayout w:type="fixed"/>
          <w:tblLook w:val="0000"/>
        </w:tblPrEx>
        <w:tc>
          <w:tcPr>
            <w:tcW w:w="2410" w:type="dxa"/>
          </w:tcPr>
          <w:p w:rsidR="0073097A" w:rsidRPr="00D55B24" w:rsidP="00D55B24">
            <w:pPr>
              <w:pStyle w:val="Normal0"/>
              <w:adjustRightInd w:val="0"/>
              <w:snapToGrid w:val="0"/>
              <w:spacing w:before="156" w:after="156" w:line="360" w:lineRule="auto"/>
              <w:ind w:firstLine="420"/>
              <w:jc w:val="center"/>
              <w:rPr>
                <w:rFonts w:asciiTheme="majorEastAsia" w:eastAsiaTheme="majorEastAsia" w:hAnsiTheme="majorEastAsia"/>
                <w:bCs/>
                <w:kern w:val="2"/>
                <w:sz w:val="21"/>
                <w:szCs w:val="21"/>
                <w:lang w:val="en-US" w:eastAsia="zh-CN" w:bidi="ar-SA"/>
              </w:rPr>
            </w:pPr>
            <w:r w:rsidRPr="00D55B24">
              <w:rPr>
                <w:rFonts w:asciiTheme="majorEastAsia" w:eastAsiaTheme="majorEastAsia" w:hAnsiTheme="majorEastAsia" w:cstheme="minorBidi"/>
                <w:bCs/>
                <w:kern w:val="2"/>
                <w:sz w:val="21"/>
                <w:szCs w:val="21"/>
                <w:lang w:val="en-US" w:eastAsia="zh-CN" w:bidi="ar-SA"/>
              </w:rPr>
              <w:t>也许</w:t>
            </w:r>
          </w:p>
        </w:tc>
        <w:tc>
          <w:tcPr>
            <w:tcW w:w="4111" w:type="dxa"/>
          </w:tcPr>
          <w:p w:rsidR="0073097A" w:rsidRPr="00D55B24" w:rsidP="00D55B24">
            <w:pPr>
              <w:pStyle w:val="Normal0"/>
              <w:adjustRightInd w:val="0"/>
              <w:snapToGrid w:val="0"/>
              <w:spacing w:before="156" w:after="156" w:line="360" w:lineRule="auto"/>
              <w:ind w:firstLine="420"/>
              <w:jc w:val="center"/>
              <w:rPr>
                <w:rFonts w:asciiTheme="majorEastAsia" w:eastAsiaTheme="majorEastAsia" w:hAnsiTheme="majorEastAsia"/>
                <w:bCs/>
                <w:kern w:val="2"/>
                <w:sz w:val="21"/>
                <w:szCs w:val="21"/>
                <w:lang w:val="en-US" w:eastAsia="zh-CN" w:bidi="ar-SA"/>
              </w:rPr>
            </w:pPr>
            <w:r w:rsidRPr="00D55B24">
              <w:rPr>
                <w:rFonts w:asciiTheme="majorEastAsia" w:eastAsiaTheme="majorEastAsia" w:hAnsiTheme="majorEastAsia" w:cstheme="minorBidi"/>
                <w:bCs/>
                <w:kern w:val="2"/>
                <w:sz w:val="21"/>
                <w:szCs w:val="21"/>
                <w:lang w:val="en-US" w:eastAsia="zh-CN" w:bidi="ar-SA"/>
              </w:rPr>
              <w:t>大于5%但小于或等于50%</w:t>
            </w:r>
          </w:p>
        </w:tc>
        <w:tc>
          <w:tcPr>
            <w:tcW w:w="1984" w:type="dxa"/>
          </w:tcPr>
          <w:p w:rsidR="0073097A" w:rsidRPr="00D55B24" w:rsidP="00D55B24">
            <w:pPr>
              <w:pStyle w:val="Normal0"/>
              <w:adjustRightInd w:val="0"/>
              <w:snapToGrid w:val="0"/>
              <w:spacing w:before="156" w:after="156" w:line="360" w:lineRule="auto"/>
              <w:ind w:firstLine="420"/>
              <w:jc w:val="center"/>
              <w:rPr>
                <w:rFonts w:asciiTheme="majorEastAsia" w:eastAsiaTheme="majorEastAsia" w:hAnsiTheme="majorEastAsia"/>
                <w:bCs/>
                <w:kern w:val="2"/>
                <w:sz w:val="21"/>
                <w:szCs w:val="21"/>
                <w:lang w:val="en-US" w:eastAsia="zh-CN" w:bidi="ar-SA"/>
              </w:rPr>
            </w:pPr>
            <w:r w:rsidRPr="00D55B24">
              <w:rPr>
                <w:rFonts w:asciiTheme="majorEastAsia" w:eastAsiaTheme="majorEastAsia" w:hAnsiTheme="majorEastAsia" w:cstheme="minorBidi" w:hint="eastAsia"/>
                <w:bCs/>
                <w:kern w:val="2"/>
                <w:sz w:val="21"/>
                <w:szCs w:val="21"/>
                <w:lang w:val="en-US" w:eastAsia="zh-CN" w:bidi="ar-SA"/>
              </w:rPr>
              <w:t>30%</w:t>
            </w:r>
          </w:p>
        </w:tc>
      </w:tr>
      <w:tr w:rsidTr="00A30F71">
        <w:tblPrEx>
          <w:tblW w:w="0" w:type="auto"/>
          <w:tblInd w:w="108" w:type="dxa"/>
          <w:tblLayout w:type="fixed"/>
          <w:tblLook w:val="0000"/>
        </w:tblPrEx>
        <w:tc>
          <w:tcPr>
            <w:tcW w:w="2410" w:type="dxa"/>
          </w:tcPr>
          <w:p w:rsidR="0073097A" w:rsidRPr="00D55B24" w:rsidP="00D55B24">
            <w:pPr>
              <w:pStyle w:val="Normal0"/>
              <w:adjustRightInd w:val="0"/>
              <w:snapToGrid w:val="0"/>
              <w:spacing w:before="156" w:after="156" w:line="360" w:lineRule="auto"/>
              <w:ind w:firstLine="420"/>
              <w:jc w:val="center"/>
              <w:rPr>
                <w:rFonts w:asciiTheme="majorEastAsia" w:eastAsiaTheme="majorEastAsia" w:hAnsiTheme="majorEastAsia"/>
                <w:bCs/>
                <w:kern w:val="2"/>
                <w:sz w:val="21"/>
                <w:szCs w:val="21"/>
                <w:lang w:val="en-US" w:eastAsia="zh-CN" w:bidi="ar-SA"/>
              </w:rPr>
            </w:pPr>
            <w:r w:rsidRPr="00D55B24">
              <w:rPr>
                <w:rFonts w:asciiTheme="majorEastAsia" w:eastAsiaTheme="majorEastAsia" w:hAnsiTheme="majorEastAsia" w:cstheme="minorBidi"/>
                <w:bCs/>
                <w:kern w:val="2"/>
                <w:sz w:val="21"/>
                <w:szCs w:val="21"/>
                <w:lang w:val="en-US" w:eastAsia="zh-CN" w:bidi="ar-SA"/>
              </w:rPr>
              <w:t>极小也许</w:t>
            </w:r>
          </w:p>
        </w:tc>
        <w:tc>
          <w:tcPr>
            <w:tcW w:w="4111" w:type="dxa"/>
          </w:tcPr>
          <w:p w:rsidR="0073097A" w:rsidRPr="00D55B24" w:rsidP="00D55B24">
            <w:pPr>
              <w:pStyle w:val="Normal0"/>
              <w:adjustRightInd w:val="0"/>
              <w:snapToGrid w:val="0"/>
              <w:spacing w:before="156" w:after="156" w:line="360" w:lineRule="auto"/>
              <w:ind w:firstLine="420"/>
              <w:jc w:val="center"/>
              <w:rPr>
                <w:rFonts w:asciiTheme="majorEastAsia" w:eastAsiaTheme="majorEastAsia" w:hAnsiTheme="majorEastAsia"/>
                <w:bCs/>
                <w:kern w:val="2"/>
                <w:sz w:val="21"/>
                <w:szCs w:val="21"/>
                <w:lang w:val="en-US" w:eastAsia="zh-CN" w:bidi="ar-SA"/>
              </w:rPr>
            </w:pPr>
            <w:r w:rsidRPr="00D55B24">
              <w:rPr>
                <w:rFonts w:asciiTheme="majorEastAsia" w:eastAsiaTheme="majorEastAsia" w:hAnsiTheme="majorEastAsia" w:cstheme="minorBidi"/>
                <w:bCs/>
                <w:kern w:val="2"/>
                <w:sz w:val="21"/>
                <w:szCs w:val="21"/>
                <w:lang w:val="en-US" w:eastAsia="zh-CN" w:bidi="ar-SA"/>
              </w:rPr>
              <w:t>大于0但小于或等于5%</w:t>
            </w:r>
          </w:p>
        </w:tc>
        <w:tc>
          <w:tcPr>
            <w:tcW w:w="1984" w:type="dxa"/>
          </w:tcPr>
          <w:p w:rsidR="0073097A" w:rsidRPr="00D55B24" w:rsidP="00D55B24">
            <w:pPr>
              <w:pStyle w:val="Normal0"/>
              <w:adjustRightInd w:val="0"/>
              <w:snapToGrid w:val="0"/>
              <w:spacing w:before="156" w:after="156" w:line="360" w:lineRule="auto"/>
              <w:ind w:firstLine="420"/>
              <w:jc w:val="center"/>
              <w:rPr>
                <w:rFonts w:asciiTheme="majorEastAsia" w:eastAsiaTheme="majorEastAsia" w:hAnsiTheme="majorEastAsia"/>
                <w:bCs/>
                <w:kern w:val="2"/>
                <w:sz w:val="21"/>
                <w:szCs w:val="21"/>
                <w:lang w:val="en-US" w:eastAsia="zh-CN" w:bidi="ar-SA"/>
              </w:rPr>
            </w:pPr>
            <w:r w:rsidRPr="00D55B24">
              <w:rPr>
                <w:rFonts w:asciiTheme="majorEastAsia" w:eastAsiaTheme="majorEastAsia" w:hAnsiTheme="majorEastAsia" w:cstheme="minorBidi" w:hint="eastAsia"/>
                <w:bCs/>
                <w:kern w:val="2"/>
                <w:sz w:val="21"/>
                <w:szCs w:val="21"/>
                <w:lang w:val="en-US" w:eastAsia="zh-CN" w:bidi="ar-SA"/>
              </w:rPr>
              <w:t>0%</w:t>
            </w:r>
          </w:p>
        </w:tc>
      </w:tr>
    </w:tbl>
    <w:p w:rsidR="0073097A" w:rsidRPr="00D55B24" w:rsidP="00D55B24">
      <w:pPr>
        <w:pStyle w:val="Normal0"/>
        <w:adjustRightInd w:val="0"/>
        <w:snapToGrid w:val="0"/>
        <w:spacing w:before="156" w:after="156" w:line="600" w:lineRule="auto"/>
        <w:ind w:firstLine="480"/>
        <w:rPr>
          <w:rFonts w:ascii="宋体" w:hAnsi="宋体"/>
          <w:bCs/>
          <w:kern w:val="2"/>
          <w:szCs w:val="24"/>
          <w:lang w:val="en-US" w:eastAsia="zh-CN" w:bidi="ar-SA"/>
        </w:rPr>
      </w:pPr>
      <w:r>
        <w:rPr>
          <w:rFonts w:ascii="宋体" w:hAnsi="宋体" w:cstheme="minorBidi" w:hint="eastAsia"/>
          <w:bCs/>
          <w:kern w:val="2"/>
          <w:szCs w:val="24"/>
          <w:lang w:val="en-US" w:eastAsia="zh-CN" w:bidi="ar-SA"/>
        </w:rPr>
        <w:t>d</w:t>
      </w:r>
      <w:r w:rsidRPr="00D55B24">
        <w:rPr>
          <w:rFonts w:ascii="宋体" w:hAnsi="宋体" w:cstheme="minorBidi" w:hint="eastAsia"/>
          <w:bCs/>
          <w:kern w:val="2"/>
          <w:szCs w:val="24"/>
          <w:lang w:val="en-US" w:eastAsia="zh-CN" w:bidi="ar-SA"/>
        </w:rPr>
        <w:t>.</w:t>
      </w:r>
      <w:r w:rsidRPr="00D55B24">
        <w:rPr>
          <w:rFonts w:ascii="宋体" w:hAnsi="宋体" w:cstheme="minorBidi" w:hint="eastAsia"/>
          <w:bCs/>
          <w:kern w:val="2"/>
          <w:szCs w:val="24"/>
          <w:lang w:val="en-US" w:eastAsia="zh-CN" w:bidi="ar-SA"/>
        </w:rPr>
        <w:t>集团各公司已支付的诉讼索赔、诉讼代理律师费等相关费用支出，如经各</w:t>
      </w:r>
      <w:r w:rsidR="00027246">
        <w:rPr>
          <w:rFonts w:ascii="宋体" w:hAnsi="宋体" w:cstheme="minorBidi" w:hint="eastAsia"/>
          <w:bCs/>
          <w:kern w:val="2"/>
          <w:szCs w:val="24"/>
          <w:lang w:val="en-US" w:eastAsia="zh-CN" w:bidi="ar-SA"/>
        </w:rPr>
        <w:t>城市公司</w:t>
      </w:r>
      <w:r w:rsidRPr="00D55B24">
        <w:rPr>
          <w:rFonts w:ascii="宋体" w:hAnsi="宋体" w:cstheme="minorBidi" w:hint="eastAsia"/>
          <w:bCs/>
          <w:kern w:val="2"/>
          <w:szCs w:val="24"/>
          <w:lang w:val="en-US" w:eastAsia="zh-CN" w:bidi="ar-SA"/>
        </w:rPr>
        <w:t>总经办认定或经集团相关主管部门认定需向施工单位追索的，则需列入其他应收款作为债权管理，但同时应根据上述规定考虑其坏账也许性，计提坏账准备。在对涉及诉讼的债权估计其坏账也许性时，可参考律师意见。</w:t>
      </w:r>
    </w:p>
    <w:p w:rsidR="0073097A" w:rsidRPr="00D55B24" w:rsidP="00D55B24">
      <w:pPr>
        <w:pStyle w:val="Normal0"/>
        <w:adjustRightInd w:val="0"/>
        <w:snapToGrid w:val="0"/>
        <w:spacing w:before="156" w:after="156" w:line="600" w:lineRule="auto"/>
        <w:ind w:firstLine="480"/>
        <w:rPr>
          <w:rFonts w:ascii="宋体" w:hAnsi="宋体"/>
          <w:bCs/>
          <w:kern w:val="2"/>
          <w:szCs w:val="24"/>
          <w:lang w:val="en-US" w:eastAsia="zh-CN" w:bidi="ar-SA"/>
        </w:rPr>
      </w:pPr>
      <w:r>
        <w:rPr>
          <w:rFonts w:ascii="宋体" w:hAnsi="宋体" w:cstheme="minorBidi" w:hint="eastAsia"/>
          <w:bCs/>
          <w:kern w:val="2"/>
          <w:szCs w:val="24"/>
          <w:lang w:val="en-US" w:eastAsia="zh-CN" w:bidi="ar-SA"/>
        </w:rPr>
        <w:t>e</w:t>
      </w:r>
      <w:r w:rsidRPr="00D55B24">
        <w:rPr>
          <w:rFonts w:ascii="宋体" w:hAnsi="宋体" w:cstheme="minorBidi" w:hint="eastAsia"/>
          <w:bCs/>
          <w:kern w:val="2"/>
          <w:szCs w:val="24"/>
          <w:lang w:val="en-US" w:eastAsia="zh-CN" w:bidi="ar-SA"/>
        </w:rPr>
        <w:t>.</w:t>
      </w:r>
      <w:r w:rsidRPr="00D55B24">
        <w:rPr>
          <w:rFonts w:ascii="宋体" w:hAnsi="宋体" w:cstheme="minorBidi" w:hint="eastAsia"/>
          <w:bCs/>
          <w:kern w:val="2"/>
          <w:szCs w:val="24"/>
          <w:lang w:val="en-US" w:eastAsia="zh-CN" w:bidi="ar-SA"/>
        </w:rPr>
        <w:t>坏账的确认标准：</w:t>
      </w:r>
    </w:p>
    <w:p w:rsidR="0073097A" w:rsidRPr="00D55B24" w:rsidP="0019740E">
      <w:pPr>
        <w:pStyle w:val="Normal0"/>
        <w:numPr>
          <w:ilvl w:val="1"/>
          <w:numId w:val="67"/>
        </w:numPr>
        <w:tabs>
          <w:tab w:val="left" w:pos="1276"/>
          <w:tab w:val="left" w:pos="1418"/>
        </w:tabs>
        <w:adjustRightInd w:val="0"/>
        <w:snapToGrid w:val="0"/>
        <w:spacing w:beforeLines="0" w:afterLines="0" w:line="600" w:lineRule="auto"/>
        <w:ind w:left="0" w:firstLine="567"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债务人依法宣告破产、撤消、其剩余财产的确局限性清偿的应收账款；</w:t>
      </w:r>
    </w:p>
    <w:p w:rsidR="0073097A" w:rsidRPr="00D55B24" w:rsidP="0019740E">
      <w:pPr>
        <w:pStyle w:val="Normal0"/>
        <w:numPr>
          <w:ilvl w:val="1"/>
          <w:numId w:val="67"/>
        </w:numPr>
        <w:tabs>
          <w:tab w:val="left" w:pos="1276"/>
          <w:tab w:val="left" w:pos="1418"/>
        </w:tabs>
        <w:adjustRightInd w:val="0"/>
        <w:snapToGrid w:val="0"/>
        <w:spacing w:beforeLines="0" w:afterLines="0" w:line="600" w:lineRule="auto"/>
        <w:ind w:left="0" w:firstLine="567"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债务人死亡或依法被宣告死亡、失踪，其财产或遗产的确局限性清偿</w:t>
      </w:r>
      <w:r w:rsidRPr="00D55B24">
        <w:rPr>
          <w:rFonts w:ascii="宋体" w:hAnsi="宋体" w:cstheme="minorBidi"/>
          <w:bCs/>
          <w:kern w:val="2"/>
          <w:szCs w:val="24"/>
          <w:lang w:val="en-US" w:eastAsia="zh-CN" w:bidi="ar-SA"/>
        </w:rPr>
        <w:t>的应收账款；</w:t>
      </w:r>
    </w:p>
    <w:p w:rsidR="0073097A" w:rsidRPr="00D55B24" w:rsidP="0019740E">
      <w:pPr>
        <w:pStyle w:val="Normal0"/>
        <w:numPr>
          <w:ilvl w:val="1"/>
          <w:numId w:val="67"/>
        </w:numPr>
        <w:tabs>
          <w:tab w:val="left" w:pos="1276"/>
          <w:tab w:val="left" w:pos="1418"/>
        </w:tabs>
        <w:adjustRightInd w:val="0"/>
        <w:snapToGrid w:val="0"/>
        <w:spacing w:beforeLines="0" w:afterLines="0" w:line="600" w:lineRule="auto"/>
        <w:ind w:left="0" w:firstLine="567" w:firstLineChars="0"/>
        <w:rPr>
          <w:rFonts w:ascii="宋体" w:hAnsi="宋体"/>
          <w:bCs/>
          <w:kern w:val="2"/>
          <w:szCs w:val="24"/>
          <w:lang w:val="en-US" w:eastAsia="zh-CN" w:bidi="ar-SA"/>
        </w:rPr>
        <w:sectPr w:rsidSect="00A65E41">
          <w:type w:val="nextPage"/>
          <w:pgSz w:w="11906" w:h="16838"/>
          <w:pgMar w:top="1440" w:right="1800" w:bottom="1440" w:left="1800" w:header="851" w:footer="992" w:gutter="0"/>
          <w:pgNumType w:start="12"/>
          <w:cols w:space="425"/>
          <w:titlePg w:val="0"/>
          <w:docGrid w:type="lines" w:linePitch="312"/>
        </w:sectPr>
      </w:pPr>
    </w:p>
    <w:p w:rsidR="0073097A" w:rsidRPr="00D55B24" w:rsidP="0019740E">
      <w:pPr>
        <w:pStyle w:val="Normal0"/>
        <w:numPr>
          <w:ilvl w:val="0"/>
          <w:numId w:val="0"/>
        </w:numPr>
        <w:tabs>
          <w:tab w:val="left" w:pos="1276"/>
          <w:tab w:val="left" w:pos="1418"/>
        </w:tabs>
        <w:adjustRightInd w:val="0"/>
        <w:snapToGrid w:val="0"/>
        <w:spacing w:beforeLines="0" w:afterLines="0" w:line="600" w:lineRule="auto"/>
        <w:ind w:left="1440" w:firstLine="567"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债务人遭受重大自然灾害或以外事故，损失巨大，以其财产（涉及：保险公司赔款等）的确无法清偿的应收账款；</w:t>
      </w:r>
    </w:p>
    <w:p w:rsidR="0073097A" w:rsidRPr="00D55B24" w:rsidP="0019740E">
      <w:pPr>
        <w:pStyle w:val="Normal0"/>
        <w:numPr>
          <w:ilvl w:val="1"/>
          <w:numId w:val="9"/>
        </w:numPr>
        <w:tabs>
          <w:tab w:val="left" w:pos="1276"/>
          <w:tab w:val="left" w:pos="1418"/>
        </w:tabs>
        <w:adjustRightInd w:val="0"/>
        <w:snapToGrid w:val="0"/>
        <w:spacing w:beforeLines="0" w:afterLines="0" w:line="600" w:lineRule="auto"/>
        <w:ind w:left="0" w:firstLine="567"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债务人与其为履行偿债义务，经法院裁决，的确无法清偿的应收账款；</w:t>
      </w:r>
    </w:p>
    <w:p w:rsidR="0073097A" w:rsidRPr="00D55B24" w:rsidP="0019740E">
      <w:pPr>
        <w:pStyle w:val="Normal0"/>
        <w:numPr>
          <w:ilvl w:val="1"/>
          <w:numId w:val="9"/>
        </w:numPr>
        <w:tabs>
          <w:tab w:val="left" w:pos="1276"/>
          <w:tab w:val="left" w:pos="1418"/>
        </w:tabs>
        <w:adjustRightInd w:val="0"/>
        <w:snapToGrid w:val="0"/>
        <w:spacing w:beforeLines="0" w:afterLines="0" w:line="600" w:lineRule="auto"/>
        <w:ind w:left="0" w:firstLine="567"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逾期</w:t>
      </w:r>
      <w:r w:rsidRPr="00D55B24">
        <w:rPr>
          <w:rFonts w:ascii="宋体" w:hAnsi="宋体" w:cstheme="minorBidi"/>
          <w:bCs/>
          <w:kern w:val="2"/>
          <w:szCs w:val="24"/>
          <w:lang w:val="en-US" w:eastAsia="zh-CN" w:bidi="ar-SA"/>
        </w:rPr>
        <w:t>3</w:t>
      </w:r>
      <w:r w:rsidRPr="00D55B24">
        <w:rPr>
          <w:rFonts w:ascii="宋体" w:hAnsi="宋体" w:cstheme="minorBidi"/>
          <w:bCs/>
          <w:kern w:val="2"/>
          <w:szCs w:val="24"/>
          <w:lang w:val="en-US" w:eastAsia="zh-CN" w:bidi="ar-SA"/>
        </w:rPr>
        <w:t>年以上仍未收回的应收账款；</w:t>
      </w:r>
    </w:p>
    <w:p w:rsidR="0073097A" w:rsidRPr="00D55B24" w:rsidP="0019740E">
      <w:pPr>
        <w:pStyle w:val="Normal0"/>
        <w:numPr>
          <w:ilvl w:val="1"/>
          <w:numId w:val="9"/>
        </w:numPr>
        <w:tabs>
          <w:tab w:val="left" w:pos="1276"/>
          <w:tab w:val="left" w:pos="1418"/>
        </w:tabs>
        <w:adjustRightInd w:val="0"/>
        <w:snapToGrid w:val="0"/>
        <w:spacing w:beforeLines="0" w:afterLines="0" w:line="600" w:lineRule="auto"/>
        <w:ind w:left="0" w:firstLine="567"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经国家税务总局批准核销的应收账款。</w:t>
      </w:r>
    </w:p>
    <w:p w:rsidR="0073097A" w:rsidRPr="00D55B24" w:rsidP="00D55B24">
      <w:pPr>
        <w:pStyle w:val="Normal0"/>
        <w:adjustRightInd w:val="0"/>
        <w:snapToGrid w:val="0"/>
        <w:spacing w:before="156" w:after="156" w:line="600" w:lineRule="auto"/>
        <w:ind w:firstLine="48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对符合上述条件之一的应收款项，由财务部提出核销申请，</w:t>
      </w:r>
      <w:r w:rsidRPr="00D55B24">
        <w:rPr>
          <w:rFonts w:ascii="宋体" w:hAnsi="宋体" w:cstheme="minorBidi" w:hint="eastAsia"/>
          <w:bCs/>
          <w:kern w:val="2"/>
          <w:szCs w:val="24"/>
          <w:lang w:val="en-US" w:eastAsia="zh-CN" w:bidi="ar-SA"/>
        </w:rPr>
        <w:t>10000</w:t>
      </w:r>
      <w:r w:rsidRPr="00D55B24">
        <w:rPr>
          <w:rFonts w:ascii="宋体" w:hAnsi="宋体" w:cstheme="minorBidi" w:hint="eastAsia"/>
          <w:bCs/>
          <w:kern w:val="2"/>
          <w:szCs w:val="24"/>
          <w:lang w:val="en-US" w:eastAsia="zh-CN" w:bidi="ar-SA"/>
        </w:rPr>
        <w:t>元以内的经本公司总经理签字后，确认为坏账，报财务管理部备案；</w:t>
      </w:r>
      <w:r w:rsidRPr="00D55B24">
        <w:rPr>
          <w:rFonts w:ascii="宋体" w:hAnsi="宋体" w:cstheme="minorBidi" w:hint="eastAsia"/>
          <w:bCs/>
          <w:kern w:val="2"/>
          <w:szCs w:val="24"/>
          <w:lang w:val="en-US" w:eastAsia="zh-CN" w:bidi="ar-SA"/>
        </w:rPr>
        <w:t>10000</w:t>
      </w:r>
      <w:r w:rsidRPr="00D55B24">
        <w:rPr>
          <w:rFonts w:ascii="宋体" w:hAnsi="宋体" w:cstheme="minorBidi" w:hint="eastAsia"/>
          <w:bCs/>
          <w:kern w:val="2"/>
          <w:szCs w:val="24"/>
          <w:lang w:val="en-US" w:eastAsia="zh-CN" w:bidi="ar-SA"/>
        </w:rPr>
        <w:t>元以上的还需经</w:t>
      </w:r>
      <w:r w:rsidR="00F92AEE">
        <w:rPr>
          <w:rFonts w:ascii="宋体" w:hAnsi="宋体" w:cstheme="minorBidi" w:hint="eastAsia"/>
          <w:bCs/>
          <w:kern w:val="2"/>
          <w:szCs w:val="24"/>
          <w:lang w:val="en-US" w:eastAsia="zh-CN" w:bidi="ar-SA"/>
        </w:rPr>
        <w:t>审计监察部</w:t>
      </w:r>
      <w:r w:rsidRPr="00D55B24">
        <w:rPr>
          <w:rFonts w:ascii="宋体" w:hAnsi="宋体" w:cstheme="minorBidi" w:hint="eastAsia"/>
          <w:bCs/>
          <w:kern w:val="2"/>
          <w:szCs w:val="24"/>
          <w:lang w:val="en-US" w:eastAsia="zh-CN" w:bidi="ar-SA"/>
        </w:rPr>
        <w:t>和财务管理部审批后，确认为坏账。</w:t>
      </w:r>
    </w:p>
    <w:p w:rsidR="0073097A" w:rsidRPr="00D55B24" w:rsidP="0019740E">
      <w:pPr>
        <w:pStyle w:val="Normal0"/>
        <w:numPr>
          <w:ilvl w:val="0"/>
          <w:numId w:val="8"/>
        </w:numPr>
        <w:adjustRightInd w:val="0"/>
        <w:snapToGrid w:val="0"/>
        <w:spacing w:beforeLines="0" w:afterLines="0" w:line="600" w:lineRule="auto"/>
        <w:ind w:left="0" w:firstLine="0" w:firstLineChars="0"/>
        <w:rPr>
          <w:rFonts w:ascii="宋体" w:hAnsi="宋体"/>
          <w:bCs/>
          <w:kern w:val="2"/>
          <w:szCs w:val="24"/>
          <w:lang w:val="en-US" w:eastAsia="zh-CN" w:bidi="ar-SA"/>
        </w:rPr>
        <w:sectPr w:rsidSect="00A65E41">
          <w:type w:val="nextPage"/>
          <w:pgSz w:w="11906" w:h="16838"/>
          <w:pgMar w:top="1440" w:right="1800" w:bottom="1440" w:left="1800" w:header="851" w:footer="992" w:gutter="0"/>
          <w:pgNumType w:start="13"/>
          <w:cols w:space="425"/>
          <w:titlePg w:val="0"/>
          <w:docGrid w:type="lines" w:linePitch="312"/>
        </w:sectPr>
      </w:pPr>
      <w:r w:rsidRPr="00D55B24">
        <w:rPr>
          <w:rFonts w:ascii="宋体" w:hAnsi="宋体" w:cstheme="minorBidi"/>
          <w:bCs/>
          <w:kern w:val="2"/>
          <w:szCs w:val="24"/>
          <w:lang w:val="en-US" w:eastAsia="zh-CN" w:bidi="ar-SA"/>
        </w:rPr>
        <w:t>待摊费用</w:t>
      </w:r>
      <w:r w:rsidRPr="00D55B24">
        <w:rPr>
          <w:rFonts w:ascii="宋体" w:hAnsi="宋体" w:cstheme="minorBidi" w:hint="eastAsia"/>
          <w:bCs/>
          <w:kern w:val="2"/>
          <w:szCs w:val="24"/>
          <w:lang w:val="en-US" w:eastAsia="zh-CN" w:bidi="ar-SA"/>
        </w:rPr>
        <w:t>按收益期分为待摊费用和长期待摊费用。待摊费用指</w:t>
      </w:r>
      <w:r w:rsidRPr="00D55B24">
        <w:rPr>
          <w:rFonts w:ascii="宋体" w:hAnsi="宋体" w:cstheme="minorBidi"/>
          <w:bCs/>
          <w:kern w:val="2"/>
          <w:szCs w:val="24"/>
          <w:lang w:val="en-US" w:eastAsia="zh-CN" w:bidi="ar-SA"/>
        </w:rPr>
        <w:t>已经支出但应由本期和以后各期分别承担</w:t>
      </w:r>
      <w:r w:rsidRPr="00D55B24">
        <w:rPr>
          <w:rFonts w:ascii="宋体" w:hAnsi="宋体" w:cstheme="minorBidi" w:hint="eastAsia"/>
          <w:bCs/>
          <w:kern w:val="2"/>
          <w:szCs w:val="24"/>
          <w:lang w:val="en-US" w:eastAsia="zh-CN" w:bidi="ar-SA"/>
        </w:rPr>
        <w:t>、</w:t>
      </w:r>
      <w:r w:rsidRPr="00D55B24">
        <w:rPr>
          <w:rFonts w:ascii="宋体" w:hAnsi="宋体" w:cstheme="minorBidi"/>
          <w:bCs/>
          <w:kern w:val="2"/>
          <w:szCs w:val="24"/>
          <w:lang w:val="en-US" w:eastAsia="zh-CN" w:bidi="ar-SA"/>
        </w:rPr>
        <w:t>分摊期在一年以内</w:t>
      </w:r>
      <w:r w:rsidRPr="00D55B24">
        <w:rPr>
          <w:rFonts w:ascii="宋体" w:hAnsi="宋体" w:cstheme="minorBidi"/>
          <w:bCs/>
          <w:kern w:val="2"/>
          <w:szCs w:val="24"/>
          <w:lang w:val="en-US" w:eastAsia="zh-CN" w:bidi="ar-SA"/>
        </w:rPr>
        <w:t>(</w:t>
      </w:r>
      <w:r w:rsidRPr="00D55B24">
        <w:rPr>
          <w:rFonts w:ascii="宋体" w:hAnsi="宋体" w:cstheme="minorBidi"/>
          <w:bCs/>
          <w:kern w:val="2"/>
          <w:szCs w:val="24"/>
          <w:lang w:val="en-US" w:eastAsia="zh-CN" w:bidi="ar-SA"/>
        </w:rPr>
        <w:t>含一年</w:t>
      </w:r>
      <w:r w:rsidRPr="00D55B24">
        <w:rPr>
          <w:rFonts w:ascii="宋体" w:hAnsi="宋体" w:cstheme="minorBidi"/>
          <w:bCs/>
          <w:kern w:val="2"/>
          <w:szCs w:val="24"/>
          <w:lang w:val="en-US" w:eastAsia="zh-CN" w:bidi="ar-SA"/>
        </w:rPr>
        <w:t>)</w:t>
      </w:r>
      <w:r w:rsidRPr="00D55B24">
        <w:rPr>
          <w:rFonts w:ascii="宋体" w:hAnsi="宋体" w:cstheme="minorBidi" w:hint="eastAsia"/>
          <w:bCs/>
          <w:kern w:val="2"/>
          <w:szCs w:val="24"/>
          <w:lang w:val="en-US" w:eastAsia="zh-CN" w:bidi="ar-SA"/>
        </w:rPr>
        <w:t>的费用</w:t>
      </w:r>
      <w:r w:rsidRPr="00D55B24">
        <w:rPr>
          <w:rFonts w:ascii="宋体" w:hAnsi="宋体" w:cstheme="minorBidi"/>
          <w:bCs/>
          <w:kern w:val="2"/>
          <w:szCs w:val="24"/>
          <w:lang w:val="en-US" w:eastAsia="zh-CN" w:bidi="ar-SA"/>
        </w:rPr>
        <w:t>，如</w:t>
      </w:r>
      <w:r w:rsidRPr="00D55B24">
        <w:rPr>
          <w:rFonts w:ascii="宋体" w:hAnsi="宋体" w:cstheme="minorBidi" w:hint="eastAsia"/>
          <w:bCs/>
          <w:kern w:val="2"/>
          <w:szCs w:val="24"/>
          <w:lang w:val="en-US" w:eastAsia="zh-CN" w:bidi="ar-SA"/>
        </w:rPr>
        <w:t>广告费、租赁费等；长期待摊费用指公司已经支出但应由本期和以后各期分别承担、分摊期在一年以上（不含一年）五年（含五年）以下的各项资本性费用，如装修费、固定资产改良支出等。</w:t>
      </w:r>
    </w:p>
    <w:p w:rsidR="0073097A" w:rsidRPr="00D55B24" w:rsidP="00D55B24">
      <w:pPr>
        <w:pStyle w:val="Normal0"/>
        <w:adjustRightInd w:val="0"/>
        <w:snapToGrid w:val="0"/>
        <w:spacing w:before="156" w:after="156" w:line="600" w:lineRule="auto"/>
        <w:ind w:firstLine="480"/>
        <w:rPr>
          <w:rFonts w:ascii="宋体" w:hAnsi="宋体"/>
          <w:bCs/>
          <w:kern w:val="2"/>
          <w:szCs w:val="24"/>
          <w:lang w:val="en-US" w:eastAsia="zh-CN" w:bidi="ar-SA"/>
        </w:rPr>
      </w:pPr>
      <w:r w:rsidRPr="00D55B24">
        <w:rPr>
          <w:rFonts w:ascii="宋体" w:hAnsi="宋体" w:cstheme="minorBidi"/>
          <w:bCs/>
          <w:kern w:val="2"/>
          <w:szCs w:val="24"/>
          <w:lang w:val="en-US" w:eastAsia="zh-CN" w:bidi="ar-SA"/>
        </w:rPr>
        <w:t>待摊费用应按其收益期</w:t>
      </w:r>
      <w:r w:rsidRPr="00D55B24">
        <w:rPr>
          <w:rFonts w:ascii="宋体" w:hAnsi="宋体" w:cstheme="minorBidi" w:hint="eastAsia"/>
          <w:bCs/>
          <w:kern w:val="2"/>
          <w:szCs w:val="24"/>
          <w:lang w:val="en-US" w:eastAsia="zh-CN" w:bidi="ar-SA"/>
        </w:rPr>
        <w:t>限</w:t>
      </w:r>
      <w:r w:rsidRPr="00D55B24">
        <w:rPr>
          <w:rFonts w:ascii="宋体" w:hAnsi="宋体" w:cstheme="minorBidi"/>
          <w:bCs/>
          <w:kern w:val="2"/>
          <w:szCs w:val="24"/>
          <w:lang w:val="en-US" w:eastAsia="zh-CN" w:bidi="ar-SA"/>
        </w:rPr>
        <w:t>分期平均摊销计入成本、费用</w:t>
      </w:r>
      <w:r w:rsidRPr="00D55B24">
        <w:rPr>
          <w:rFonts w:ascii="宋体" w:hAnsi="宋体" w:cstheme="minorBidi" w:hint="eastAsia"/>
          <w:bCs/>
          <w:kern w:val="2"/>
          <w:szCs w:val="24"/>
          <w:lang w:val="en-US" w:eastAsia="zh-CN" w:bidi="ar-SA"/>
        </w:rPr>
        <w:t>，</w:t>
      </w:r>
      <w:r w:rsidRPr="00D55B24">
        <w:rPr>
          <w:rFonts w:ascii="宋体" w:hAnsi="宋体" w:cstheme="minorBidi"/>
          <w:bCs/>
          <w:kern w:val="2"/>
          <w:szCs w:val="24"/>
          <w:lang w:val="en-US" w:eastAsia="zh-CN" w:bidi="ar-SA"/>
        </w:rPr>
        <w:t>按费用种类设立明细</w:t>
      </w:r>
      <w:r w:rsidRPr="00D55B24">
        <w:rPr>
          <w:rFonts w:ascii="宋体" w:hAnsi="宋体" w:cstheme="minorBidi" w:hint="eastAsia"/>
          <w:bCs/>
          <w:kern w:val="2"/>
          <w:szCs w:val="24"/>
          <w:lang w:val="en-US" w:eastAsia="zh-CN" w:bidi="ar-SA"/>
        </w:rPr>
        <w:t>账</w:t>
      </w:r>
      <w:r w:rsidRPr="00D55B24">
        <w:rPr>
          <w:rFonts w:ascii="宋体" w:hAnsi="宋体" w:cstheme="minorBidi"/>
          <w:bCs/>
          <w:kern w:val="2"/>
          <w:szCs w:val="24"/>
          <w:lang w:val="en-US" w:eastAsia="zh-CN" w:bidi="ar-SA"/>
        </w:rPr>
        <w:t>，进行明细核算。假如某项待摊费用已不能使公司受益</w:t>
      </w:r>
      <w:r w:rsidRPr="00D55B24">
        <w:rPr>
          <w:rFonts w:ascii="宋体" w:hAnsi="宋体" w:cstheme="minorBidi" w:hint="eastAsia"/>
          <w:bCs/>
          <w:kern w:val="2"/>
          <w:szCs w:val="24"/>
          <w:lang w:val="en-US" w:eastAsia="zh-CN" w:bidi="ar-SA"/>
        </w:rPr>
        <w:t>，</w:t>
      </w:r>
      <w:r w:rsidRPr="00D55B24">
        <w:rPr>
          <w:rFonts w:ascii="宋体" w:hAnsi="宋体" w:cstheme="minorBidi"/>
          <w:bCs/>
          <w:kern w:val="2"/>
          <w:szCs w:val="24"/>
          <w:lang w:val="en-US" w:eastAsia="zh-CN" w:bidi="ar-SA"/>
        </w:rPr>
        <w:t>应将其摊余价值一次所有转入当期成本、费用</w:t>
      </w:r>
      <w:r w:rsidRPr="00D55B24">
        <w:rPr>
          <w:rFonts w:ascii="宋体" w:hAnsi="宋体" w:cstheme="minorBidi" w:hint="eastAsia"/>
          <w:bCs/>
          <w:kern w:val="2"/>
          <w:szCs w:val="24"/>
          <w:lang w:val="en-US" w:eastAsia="zh-CN" w:bidi="ar-SA"/>
        </w:rPr>
        <w:t>。</w:t>
      </w:r>
    </w:p>
    <w:p w:rsidR="0073097A" w:rsidRPr="00D55B24" w:rsidP="0019740E">
      <w:pPr>
        <w:pStyle w:val="Normal0"/>
        <w:numPr>
          <w:ilvl w:val="0"/>
          <w:numId w:val="8"/>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存货涉及库存材料、</w:t>
      </w:r>
      <w:r w:rsidRPr="00D55B24">
        <w:rPr>
          <w:rFonts w:ascii="宋体" w:hAnsi="宋体" w:cstheme="minorBidi" w:hint="eastAsia"/>
          <w:bCs/>
          <w:kern w:val="2"/>
          <w:szCs w:val="24"/>
          <w:lang w:val="en-US" w:eastAsia="zh-CN" w:bidi="ar-SA"/>
        </w:rPr>
        <w:t>开发成本和</w:t>
      </w:r>
      <w:r w:rsidRPr="00D55B24">
        <w:rPr>
          <w:rFonts w:ascii="宋体" w:hAnsi="宋体" w:cstheme="minorBidi"/>
          <w:bCs/>
          <w:kern w:val="2"/>
          <w:szCs w:val="24"/>
          <w:lang w:val="en-US" w:eastAsia="zh-CN" w:bidi="ar-SA"/>
        </w:rPr>
        <w:t>开发产品</w:t>
      </w:r>
      <w:r w:rsidRPr="00D55B24">
        <w:rPr>
          <w:rFonts w:ascii="宋体" w:hAnsi="宋体" w:cstheme="minorBidi" w:hint="eastAsia"/>
          <w:bCs/>
          <w:kern w:val="2"/>
          <w:szCs w:val="24"/>
          <w:lang w:val="en-US" w:eastAsia="zh-CN" w:bidi="ar-SA"/>
        </w:rPr>
        <w:t>、投资性房地产、低值易耗品等</w:t>
      </w:r>
      <w:r w:rsidRPr="00D55B24">
        <w:rPr>
          <w:rFonts w:ascii="宋体" w:hAnsi="宋体" w:cstheme="minorBidi"/>
          <w:bCs/>
          <w:kern w:val="2"/>
          <w:szCs w:val="24"/>
          <w:lang w:val="en-US" w:eastAsia="zh-CN" w:bidi="ar-SA"/>
        </w:rPr>
        <w:t>。</w:t>
      </w:r>
    </w:p>
    <w:p w:rsidR="0073097A" w:rsidRPr="00D55B24" w:rsidP="0019740E">
      <w:pPr>
        <w:pStyle w:val="Normal0"/>
        <w:numPr>
          <w:ilvl w:val="1"/>
          <w:numId w:val="10"/>
        </w:numPr>
        <w:adjustRightInd w:val="0"/>
        <w:snapToGrid w:val="0"/>
        <w:spacing w:beforeLines="0" w:afterLines="0" w:line="600" w:lineRule="auto"/>
        <w:ind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公司存货在取得时，按实际成本计价，领用或发出的存货，按实际</w:t>
      </w:r>
      <w:r w:rsidRPr="00D55B24">
        <w:rPr>
          <w:rFonts w:ascii="宋体" w:hAnsi="宋体" w:cstheme="minorBidi"/>
          <w:bCs/>
          <w:kern w:val="2"/>
          <w:szCs w:val="24"/>
          <w:lang w:val="en-US" w:eastAsia="zh-CN" w:bidi="ar-SA"/>
        </w:rPr>
        <w:t>成本计价</w:t>
      </w:r>
      <w:r w:rsidRPr="00D55B24">
        <w:rPr>
          <w:rFonts w:ascii="宋体" w:hAnsi="宋体" w:cstheme="minorBidi" w:hint="eastAsia"/>
          <w:bCs/>
          <w:kern w:val="2"/>
          <w:szCs w:val="24"/>
          <w:lang w:val="en-US" w:eastAsia="zh-CN" w:bidi="ar-SA"/>
        </w:rPr>
        <w:t>；</w:t>
      </w:r>
    </w:p>
    <w:p w:rsidR="0073097A" w:rsidRPr="00D55B24" w:rsidP="0019740E">
      <w:pPr>
        <w:pStyle w:val="Normal0"/>
        <w:numPr>
          <w:ilvl w:val="1"/>
          <w:numId w:val="10"/>
        </w:numPr>
        <w:adjustRightInd w:val="0"/>
        <w:snapToGrid w:val="0"/>
        <w:spacing w:beforeLines="0" w:afterLines="0" w:line="600" w:lineRule="auto"/>
        <w:ind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公司发生的投资者投入的存货、接受捐赠的存货及接受债务人以非钞票资产抵偿债务取得存货等业务均按《公司会计</w:t>
      </w:r>
      <w:r w:rsidRPr="00D55B24">
        <w:rPr>
          <w:rFonts w:ascii="宋体" w:hAnsi="宋体" w:cstheme="minorBidi" w:hint="eastAsia"/>
          <w:bCs/>
          <w:kern w:val="2"/>
          <w:szCs w:val="24"/>
          <w:lang w:val="en-US" w:eastAsia="zh-CN" w:bidi="ar-SA"/>
        </w:rPr>
        <w:t>准则</w:t>
      </w:r>
      <w:r w:rsidRPr="00D55B24">
        <w:rPr>
          <w:rFonts w:ascii="宋体" w:hAnsi="宋体" w:cstheme="minorBidi" w:hint="eastAsia"/>
          <w:bCs/>
          <w:kern w:val="2"/>
          <w:szCs w:val="24"/>
          <w:lang w:val="en-US" w:eastAsia="zh-CN" w:bidi="ar-SA"/>
        </w:rPr>
        <w:t>12</w:t>
      </w:r>
      <w:r w:rsidRPr="00D55B24">
        <w:rPr>
          <w:rFonts w:ascii="宋体" w:hAnsi="宋体" w:cstheme="minorBidi" w:hint="eastAsia"/>
          <w:bCs/>
          <w:kern w:val="2"/>
          <w:szCs w:val="24"/>
          <w:lang w:val="en-US" w:eastAsia="zh-CN" w:bidi="ar-SA"/>
        </w:rPr>
        <w:t>号</w:t>
      </w:r>
      <w:r w:rsidRPr="00D55B24">
        <w:rPr>
          <w:rFonts w:ascii="宋体" w:hAnsi="宋体" w:cstheme="minorBidi" w:hint="eastAsia"/>
          <w:bCs/>
          <w:kern w:val="2"/>
          <w:szCs w:val="24"/>
          <w:lang w:val="en-US" w:eastAsia="zh-CN" w:bidi="ar-SA"/>
        </w:rPr>
        <w:t>-</w:t>
      </w:r>
      <w:r w:rsidRPr="00D55B24">
        <w:rPr>
          <w:rFonts w:ascii="宋体" w:hAnsi="宋体" w:cstheme="minorBidi" w:hint="eastAsia"/>
          <w:bCs/>
          <w:kern w:val="2"/>
          <w:szCs w:val="24"/>
          <w:lang w:val="en-US" w:eastAsia="zh-CN" w:bidi="ar-SA"/>
        </w:rPr>
        <w:t>债务重组</w:t>
      </w:r>
      <w:r w:rsidRPr="00D55B24">
        <w:rPr>
          <w:rFonts w:ascii="宋体" w:hAnsi="宋体" w:cstheme="minorBidi"/>
          <w:bCs/>
          <w:kern w:val="2"/>
          <w:szCs w:val="24"/>
          <w:lang w:val="en-US" w:eastAsia="zh-CN" w:bidi="ar-SA"/>
        </w:rPr>
        <w:t>》规定进行业务解决</w:t>
      </w:r>
      <w:r w:rsidRPr="00D55B24">
        <w:rPr>
          <w:rFonts w:ascii="宋体" w:hAnsi="宋体" w:cstheme="minorBidi" w:hint="eastAsia"/>
          <w:bCs/>
          <w:kern w:val="2"/>
          <w:szCs w:val="24"/>
          <w:lang w:val="en-US" w:eastAsia="zh-CN" w:bidi="ar-SA"/>
        </w:rPr>
        <w:t>；</w:t>
      </w:r>
    </w:p>
    <w:p w:rsidR="0073097A" w:rsidRPr="00D55B24" w:rsidP="0019740E">
      <w:pPr>
        <w:pStyle w:val="Normal0"/>
        <w:numPr>
          <w:ilvl w:val="1"/>
          <w:numId w:val="10"/>
        </w:numPr>
        <w:adjustRightInd w:val="0"/>
        <w:snapToGrid w:val="0"/>
        <w:spacing w:beforeLines="0" w:afterLines="0" w:line="600" w:lineRule="auto"/>
        <w:ind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盘盈的存货按同类或类似存货的市场价格作为实际价格</w:t>
      </w:r>
      <w:r w:rsidRPr="00D55B24">
        <w:rPr>
          <w:rFonts w:ascii="宋体" w:hAnsi="宋体" w:cstheme="minorBidi" w:hint="eastAsia"/>
          <w:bCs/>
          <w:kern w:val="2"/>
          <w:szCs w:val="24"/>
          <w:lang w:val="en-US" w:eastAsia="zh-CN" w:bidi="ar-SA"/>
        </w:rPr>
        <w:t>；</w:t>
      </w:r>
    </w:p>
    <w:p w:rsidR="0073097A" w:rsidRPr="00D55B24" w:rsidP="0019740E">
      <w:pPr>
        <w:pStyle w:val="Normal0"/>
        <w:numPr>
          <w:ilvl w:val="1"/>
          <w:numId w:val="10"/>
        </w:numPr>
        <w:adjustRightInd w:val="0"/>
        <w:snapToGrid w:val="0"/>
        <w:spacing w:beforeLines="0" w:afterLines="0" w:line="600" w:lineRule="auto"/>
        <w:ind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存货每半年盘点一次</w:t>
      </w:r>
      <w:r w:rsidRPr="00D55B24">
        <w:rPr>
          <w:rFonts w:ascii="宋体" w:hAnsi="宋体" w:cstheme="minorBidi"/>
          <w:bCs/>
          <w:kern w:val="2"/>
          <w:szCs w:val="24"/>
          <w:lang w:val="en-US" w:eastAsia="zh-CN" w:bidi="ar-SA"/>
        </w:rPr>
        <w:t>(</w:t>
      </w:r>
      <w:r w:rsidRPr="00D55B24">
        <w:rPr>
          <w:rFonts w:ascii="宋体" w:hAnsi="宋体" w:cstheme="minorBidi"/>
          <w:bCs/>
          <w:kern w:val="2"/>
          <w:szCs w:val="24"/>
          <w:lang w:val="en-US" w:eastAsia="zh-CN" w:bidi="ar-SA"/>
        </w:rPr>
        <w:t>具体按公司盘点细则执行</w:t>
      </w:r>
      <w:r w:rsidRPr="00D55B24">
        <w:rPr>
          <w:rFonts w:ascii="宋体" w:hAnsi="宋体" w:cstheme="minorBidi"/>
          <w:bCs/>
          <w:kern w:val="2"/>
          <w:szCs w:val="24"/>
          <w:lang w:val="en-US" w:eastAsia="zh-CN" w:bidi="ar-SA"/>
        </w:rPr>
        <w:t>)</w:t>
      </w:r>
      <w:r w:rsidRPr="00D55B24">
        <w:rPr>
          <w:rFonts w:ascii="宋体" w:hAnsi="宋体" w:cstheme="minorBidi"/>
          <w:bCs/>
          <w:kern w:val="2"/>
          <w:szCs w:val="24"/>
          <w:lang w:val="en-US" w:eastAsia="zh-CN" w:bidi="ar-SA"/>
        </w:rPr>
        <w:t>，盘点结果如与账面记录不符应及时查明因素，报批后进行业务解决</w:t>
      </w:r>
      <w:r w:rsidRPr="00D55B24">
        <w:rPr>
          <w:rFonts w:ascii="宋体" w:hAnsi="宋体" w:cstheme="minorBidi" w:hint="eastAsia"/>
          <w:bCs/>
          <w:kern w:val="2"/>
          <w:szCs w:val="24"/>
          <w:lang w:val="en-US" w:eastAsia="zh-CN" w:bidi="ar-SA"/>
        </w:rPr>
        <w:t>；</w:t>
      </w:r>
    </w:p>
    <w:p w:rsidR="0073097A" w:rsidRPr="00D55B24" w:rsidP="0019740E">
      <w:pPr>
        <w:pStyle w:val="Normal0"/>
        <w:numPr>
          <w:ilvl w:val="1"/>
          <w:numId w:val="10"/>
        </w:numPr>
        <w:adjustRightInd w:val="0"/>
        <w:snapToGrid w:val="0"/>
        <w:spacing w:beforeLines="0" w:afterLines="0" w:line="600" w:lineRule="auto"/>
        <w:ind w:firstLineChars="0"/>
        <w:rPr>
          <w:rFonts w:ascii="宋体" w:hAnsi="宋体"/>
          <w:bCs/>
          <w:kern w:val="2"/>
          <w:szCs w:val="24"/>
          <w:lang w:val="en-US" w:eastAsia="zh-CN" w:bidi="ar-SA"/>
        </w:rPr>
        <w:sectPr w:rsidSect="00A65E41">
          <w:type w:val="nextPage"/>
          <w:pgSz w:w="11906" w:h="16838"/>
          <w:pgMar w:top="1440" w:right="1800" w:bottom="1440" w:left="1800" w:header="851" w:footer="992" w:gutter="0"/>
          <w:pgNumType w:start="14"/>
          <w:cols w:space="425"/>
          <w:titlePg w:val="0"/>
          <w:docGrid w:type="lines" w:linePitch="312"/>
        </w:sectPr>
      </w:pPr>
    </w:p>
    <w:p w:rsidR="0073097A" w:rsidRPr="00D55B24" w:rsidP="0019740E">
      <w:pPr>
        <w:pStyle w:val="Normal0"/>
        <w:numPr>
          <w:ilvl w:val="0"/>
          <w:numId w:val="0"/>
        </w:numPr>
        <w:adjustRightInd w:val="0"/>
        <w:snapToGrid w:val="0"/>
        <w:spacing w:beforeLines="0" w:afterLines="0" w:line="600" w:lineRule="auto"/>
        <w:ind w:left="144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存货按房地产开发产品和非开发产品分类。房地产开发产品涉及已竣工开发产品、开发成本（在建开发产品）；非开发产品涉及原材料、低值易耗品；</w:t>
      </w:r>
    </w:p>
    <w:p w:rsidR="0073097A" w:rsidRPr="00D55B24" w:rsidP="0019740E">
      <w:pPr>
        <w:pStyle w:val="Normal0"/>
        <w:numPr>
          <w:ilvl w:val="1"/>
          <w:numId w:val="10"/>
        </w:numPr>
        <w:adjustRightInd w:val="0"/>
        <w:snapToGrid w:val="0"/>
        <w:spacing w:beforeLines="0" w:afterLines="0" w:line="600" w:lineRule="auto"/>
        <w:ind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各项存货按可变现净值计价；低值易耗品在领用时按一次性摊销；</w:t>
      </w:r>
    </w:p>
    <w:p w:rsidR="0073097A" w:rsidRPr="00D55B24" w:rsidP="0019740E">
      <w:pPr>
        <w:pStyle w:val="Normal0"/>
        <w:numPr>
          <w:ilvl w:val="1"/>
          <w:numId w:val="10"/>
        </w:numPr>
        <w:adjustRightInd w:val="0"/>
        <w:snapToGrid w:val="0"/>
        <w:spacing w:beforeLines="0" w:afterLines="0" w:line="600" w:lineRule="auto"/>
        <w:ind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开发成本（在建开发产品）为尚未建成、以出售为开发目的物业，交付时转入开发产品；</w:t>
      </w:r>
    </w:p>
    <w:p w:rsidR="0073097A" w:rsidRPr="00D55B24" w:rsidP="0019740E">
      <w:pPr>
        <w:pStyle w:val="Normal0"/>
        <w:numPr>
          <w:ilvl w:val="1"/>
          <w:numId w:val="10"/>
        </w:numPr>
        <w:adjustRightInd w:val="0"/>
        <w:snapToGrid w:val="0"/>
        <w:spacing w:beforeLines="0" w:afterLines="0" w:line="600" w:lineRule="auto"/>
        <w:ind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公共配套设施按实际成本计入开发成本，应在竣工时分清属于营业性配套和非营业性配套。非营业性配套摊销转入住宅等可售物业的成本；但如有经营价值且拥有收益权的营业性配套设施按照可售物业的收益范围分摊单独计入“出租开发产品”或“配套开发产品”。</w:t>
      </w:r>
    </w:p>
    <w:p w:rsidR="0073097A" w:rsidRPr="00D55B24" w:rsidP="0019740E">
      <w:pPr>
        <w:pStyle w:val="Normal0"/>
        <w:numPr>
          <w:ilvl w:val="0"/>
          <w:numId w:val="8"/>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低值易耗品的管理依照集团低值易耗品的相关管理办法执行。</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长期股权</w:t>
      </w:r>
      <w:r w:rsidRPr="00D55B24">
        <w:rPr>
          <w:rFonts w:ascii="宋体" w:hAnsi="宋体" w:cstheme="minorBidi"/>
          <w:kern w:val="2"/>
          <w:szCs w:val="24"/>
          <w:lang w:val="en-US" w:eastAsia="zh-CN" w:bidi="ar-SA"/>
        </w:rPr>
        <w:t>投资</w:t>
      </w:r>
    </w:p>
    <w:p w:rsidR="0073097A" w:rsidRPr="00D55B24" w:rsidP="0019740E">
      <w:pPr>
        <w:pStyle w:val="Normal0"/>
        <w:numPr>
          <w:ilvl w:val="0"/>
          <w:numId w:val="11"/>
        </w:numPr>
        <w:adjustRightInd w:val="0"/>
        <w:snapToGrid w:val="0"/>
        <w:spacing w:beforeLines="0" w:afterLines="0" w:line="600" w:lineRule="auto"/>
        <w:ind w:left="0" w:firstLine="0" w:firstLineChars="0"/>
        <w:rPr>
          <w:rFonts w:ascii="宋体" w:hAnsi="宋体"/>
          <w:bCs/>
          <w:kern w:val="2"/>
          <w:szCs w:val="24"/>
          <w:lang w:val="en-US" w:eastAsia="zh-CN" w:bidi="ar-SA"/>
        </w:rPr>
        <w:sectPr w:rsidSect="00A65E41">
          <w:type w:val="nextPage"/>
          <w:pgSz w:w="11906" w:h="16838"/>
          <w:pgMar w:top="1440" w:right="1800" w:bottom="1440" w:left="1800" w:header="851" w:footer="992" w:gutter="0"/>
          <w:pgNumType w:start="15"/>
          <w:cols w:space="425"/>
          <w:titlePg w:val="0"/>
          <w:docGrid w:type="lines" w:linePitch="312"/>
        </w:sectPr>
      </w:pPr>
      <w:r w:rsidRPr="00D55B24">
        <w:rPr>
          <w:rFonts w:ascii="宋体" w:hAnsi="宋体" w:cstheme="minorBidi"/>
          <w:bCs/>
          <w:kern w:val="2"/>
          <w:szCs w:val="24"/>
          <w:lang w:val="en-US" w:eastAsia="zh-CN" w:bidi="ar-SA"/>
        </w:rPr>
        <w:t>长期投资涉及公司持有时间准备超过一年</w:t>
      </w:r>
      <w:r w:rsidRPr="00D55B24">
        <w:rPr>
          <w:rFonts w:ascii="宋体" w:hAnsi="宋体" w:cstheme="minorBidi"/>
          <w:bCs/>
          <w:kern w:val="2"/>
          <w:szCs w:val="24"/>
          <w:lang w:val="en-US" w:eastAsia="zh-CN" w:bidi="ar-SA"/>
        </w:rPr>
        <w:t>(</w:t>
      </w:r>
      <w:r w:rsidRPr="00D55B24">
        <w:rPr>
          <w:rFonts w:ascii="宋体" w:hAnsi="宋体" w:cstheme="minorBidi"/>
          <w:bCs/>
          <w:kern w:val="2"/>
          <w:szCs w:val="24"/>
          <w:lang w:val="en-US" w:eastAsia="zh-CN" w:bidi="ar-SA"/>
        </w:rPr>
        <w:t>不含一年</w:t>
      </w:r>
      <w:r w:rsidRPr="00D55B24">
        <w:rPr>
          <w:rFonts w:ascii="宋体" w:hAnsi="宋体" w:cstheme="minorBidi"/>
          <w:bCs/>
          <w:kern w:val="2"/>
          <w:szCs w:val="24"/>
          <w:lang w:val="en-US" w:eastAsia="zh-CN" w:bidi="ar-SA"/>
        </w:rPr>
        <w:t>)</w:t>
      </w:r>
    </w:p>
    <w:p w:rsidR="0073097A" w:rsidRPr="00D55B24" w:rsidP="0019740E">
      <w:pPr>
        <w:pStyle w:val="Normal0"/>
        <w:numPr>
          <w:ilvl w:val="0"/>
          <w:numId w:val="0"/>
        </w:numPr>
        <w:adjustRightInd w:val="0"/>
        <w:snapToGrid w:val="0"/>
        <w:spacing w:beforeLines="0" w:afterLines="0" w:line="600" w:lineRule="auto"/>
        <w:ind w:left="102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的各种股权性投资。</w:t>
      </w:r>
    </w:p>
    <w:p w:rsidR="0073097A" w:rsidRPr="00D55B24" w:rsidP="0019740E">
      <w:pPr>
        <w:pStyle w:val="Normal0"/>
        <w:numPr>
          <w:ilvl w:val="0"/>
          <w:numId w:val="11"/>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公司对外投资必须组织人员对项目进行论证，提出可行性研究报告，</w:t>
      </w:r>
      <w:r w:rsidRPr="00D55B24">
        <w:rPr>
          <w:rFonts w:ascii="宋体" w:hAnsi="宋体" w:cstheme="minorBidi" w:hint="eastAsia"/>
          <w:bCs/>
          <w:kern w:val="2"/>
          <w:szCs w:val="24"/>
          <w:lang w:val="en-US" w:eastAsia="zh-CN" w:bidi="ar-SA"/>
        </w:rPr>
        <w:t>并</w:t>
      </w:r>
      <w:r w:rsidRPr="00D55B24">
        <w:rPr>
          <w:rFonts w:ascii="宋体" w:hAnsi="宋体" w:cstheme="minorBidi"/>
          <w:bCs/>
          <w:kern w:val="2"/>
          <w:szCs w:val="24"/>
          <w:lang w:val="en-US" w:eastAsia="zh-CN" w:bidi="ar-SA"/>
        </w:rPr>
        <w:t>上报董事会批准执行。</w:t>
      </w:r>
    </w:p>
    <w:p w:rsidR="0073097A" w:rsidRPr="00D55B24" w:rsidP="0019740E">
      <w:pPr>
        <w:pStyle w:val="Normal0"/>
        <w:numPr>
          <w:ilvl w:val="0"/>
          <w:numId w:val="11"/>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长期</w:t>
      </w:r>
      <w:r w:rsidRPr="00D55B24">
        <w:rPr>
          <w:rFonts w:ascii="宋体" w:hAnsi="宋体" w:cstheme="minorBidi" w:hint="eastAsia"/>
          <w:bCs/>
          <w:kern w:val="2"/>
          <w:szCs w:val="24"/>
          <w:lang w:val="en-US" w:eastAsia="zh-CN" w:bidi="ar-SA"/>
        </w:rPr>
        <w:t>股权投资</w:t>
      </w:r>
      <w:r w:rsidRPr="00D55B24">
        <w:rPr>
          <w:rFonts w:ascii="宋体" w:hAnsi="宋体" w:cstheme="minorBidi"/>
          <w:bCs/>
          <w:kern w:val="2"/>
          <w:szCs w:val="24"/>
          <w:lang w:val="en-US" w:eastAsia="zh-CN" w:bidi="ar-SA"/>
        </w:rPr>
        <w:t>在取得时按初始投资成本</w:t>
      </w:r>
      <w:r w:rsidRPr="00D55B24">
        <w:rPr>
          <w:rFonts w:ascii="宋体" w:hAnsi="宋体" w:cstheme="minorBidi" w:hint="eastAsia"/>
          <w:bCs/>
          <w:kern w:val="2"/>
          <w:szCs w:val="24"/>
          <w:lang w:val="en-US" w:eastAsia="zh-CN" w:bidi="ar-SA"/>
        </w:rPr>
        <w:t>（</w:t>
      </w:r>
      <w:r w:rsidRPr="00D55B24">
        <w:rPr>
          <w:rFonts w:ascii="宋体" w:hAnsi="宋体" w:cstheme="minorBidi"/>
          <w:bCs/>
          <w:kern w:val="2"/>
          <w:szCs w:val="24"/>
          <w:lang w:val="en-US" w:eastAsia="zh-CN" w:bidi="ar-SA"/>
        </w:rPr>
        <w:t>含支付的税金、手续费等相关费用</w:t>
      </w:r>
      <w:r w:rsidRPr="00D55B24">
        <w:rPr>
          <w:rFonts w:ascii="宋体" w:hAnsi="宋体" w:cstheme="minorBidi" w:hint="eastAsia"/>
          <w:bCs/>
          <w:kern w:val="2"/>
          <w:szCs w:val="24"/>
          <w:lang w:val="en-US" w:eastAsia="zh-CN" w:bidi="ar-SA"/>
        </w:rPr>
        <w:t>）</w:t>
      </w:r>
      <w:r w:rsidRPr="00D55B24">
        <w:rPr>
          <w:rFonts w:ascii="宋体" w:hAnsi="宋体" w:cstheme="minorBidi"/>
          <w:bCs/>
          <w:kern w:val="2"/>
          <w:szCs w:val="24"/>
          <w:lang w:val="en-US" w:eastAsia="zh-CN" w:bidi="ar-SA"/>
        </w:rPr>
        <w:t>入</w:t>
      </w:r>
      <w:r w:rsidRPr="00D55B24">
        <w:rPr>
          <w:rFonts w:ascii="宋体" w:hAnsi="宋体" w:cstheme="minorBidi" w:hint="eastAsia"/>
          <w:bCs/>
          <w:kern w:val="2"/>
          <w:szCs w:val="24"/>
          <w:lang w:val="en-US" w:eastAsia="zh-CN" w:bidi="ar-SA"/>
        </w:rPr>
        <w:t>账</w:t>
      </w:r>
      <w:r w:rsidRPr="00D55B24">
        <w:rPr>
          <w:rFonts w:ascii="宋体" w:hAnsi="宋体" w:cstheme="minorBidi"/>
          <w:bCs/>
          <w:kern w:val="2"/>
          <w:szCs w:val="24"/>
          <w:lang w:val="en-US" w:eastAsia="zh-CN" w:bidi="ar-SA"/>
        </w:rPr>
        <w:t>，实际支付的价款</w:t>
      </w:r>
      <w:r w:rsidRPr="00D55B24">
        <w:rPr>
          <w:rFonts w:ascii="宋体" w:hAnsi="宋体" w:cstheme="minorBidi" w:hint="eastAsia"/>
          <w:bCs/>
          <w:kern w:val="2"/>
          <w:szCs w:val="24"/>
          <w:lang w:val="en-US" w:eastAsia="zh-CN" w:bidi="ar-SA"/>
        </w:rPr>
        <w:t>（</w:t>
      </w:r>
      <w:r w:rsidRPr="00D55B24">
        <w:rPr>
          <w:rFonts w:ascii="宋体" w:hAnsi="宋体" w:cstheme="minorBidi"/>
          <w:bCs/>
          <w:kern w:val="2"/>
          <w:szCs w:val="24"/>
          <w:lang w:val="en-US" w:eastAsia="zh-CN" w:bidi="ar-SA"/>
        </w:rPr>
        <w:t>包含已宣告但尚未领取的钞票股利</w:t>
      </w:r>
      <w:r w:rsidRPr="00D55B24">
        <w:rPr>
          <w:rFonts w:ascii="宋体" w:hAnsi="宋体" w:cstheme="minorBidi" w:hint="eastAsia"/>
          <w:bCs/>
          <w:kern w:val="2"/>
          <w:szCs w:val="24"/>
          <w:lang w:val="en-US" w:eastAsia="zh-CN" w:bidi="ar-SA"/>
        </w:rPr>
        <w:t>）</w:t>
      </w:r>
      <w:r w:rsidRPr="00D55B24">
        <w:rPr>
          <w:rFonts w:ascii="宋体" w:hAnsi="宋体" w:cstheme="minorBidi"/>
          <w:bCs/>
          <w:kern w:val="2"/>
          <w:szCs w:val="24"/>
          <w:lang w:val="en-US" w:eastAsia="zh-CN" w:bidi="ar-SA"/>
        </w:rPr>
        <w:t>按实际支付的价款减去已宣告但尚未领取的钞票股利</w:t>
      </w:r>
      <w:r w:rsidRPr="00D55B24">
        <w:rPr>
          <w:rFonts w:ascii="宋体" w:hAnsi="宋体" w:cstheme="minorBidi"/>
          <w:bCs/>
          <w:kern w:val="2"/>
          <w:szCs w:val="24"/>
          <w:lang w:val="en-US" w:eastAsia="zh-CN" w:bidi="ar-SA"/>
        </w:rPr>
        <w:t>(</w:t>
      </w:r>
      <w:r w:rsidRPr="00D55B24">
        <w:rPr>
          <w:rFonts w:ascii="宋体" w:hAnsi="宋体" w:cstheme="minorBidi"/>
          <w:bCs/>
          <w:kern w:val="2"/>
          <w:szCs w:val="24"/>
          <w:lang w:val="en-US" w:eastAsia="zh-CN" w:bidi="ar-SA"/>
        </w:rPr>
        <w:t>或减去已到付息期但尚未领取的债权利息</w:t>
      </w:r>
      <w:r w:rsidRPr="00D55B24">
        <w:rPr>
          <w:rFonts w:ascii="宋体" w:hAnsi="宋体" w:cstheme="minorBidi"/>
          <w:bCs/>
          <w:kern w:val="2"/>
          <w:szCs w:val="24"/>
          <w:lang w:val="en-US" w:eastAsia="zh-CN" w:bidi="ar-SA"/>
        </w:rPr>
        <w:t>)</w:t>
      </w:r>
      <w:r w:rsidRPr="00D55B24">
        <w:rPr>
          <w:rFonts w:ascii="宋体" w:hAnsi="宋体" w:cstheme="minorBidi"/>
          <w:bCs/>
          <w:kern w:val="2"/>
          <w:szCs w:val="24"/>
          <w:lang w:val="en-US" w:eastAsia="zh-CN" w:bidi="ar-SA"/>
        </w:rPr>
        <w:t>后的差额，作为投资成本。</w:t>
      </w:r>
    </w:p>
    <w:p w:rsidR="0073097A" w:rsidRPr="00D55B24" w:rsidP="0019740E">
      <w:pPr>
        <w:pStyle w:val="Normal0"/>
        <w:numPr>
          <w:ilvl w:val="0"/>
          <w:numId w:val="11"/>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长期</w:t>
      </w:r>
      <w:r w:rsidRPr="00D55B24">
        <w:rPr>
          <w:rFonts w:ascii="宋体" w:hAnsi="宋体" w:cstheme="minorBidi" w:hint="eastAsia"/>
          <w:bCs/>
          <w:kern w:val="2"/>
          <w:szCs w:val="24"/>
          <w:lang w:val="en-US" w:eastAsia="zh-CN" w:bidi="ar-SA"/>
        </w:rPr>
        <w:t>股权</w:t>
      </w:r>
      <w:r w:rsidRPr="00D55B24">
        <w:rPr>
          <w:rFonts w:ascii="宋体" w:hAnsi="宋体" w:cstheme="minorBidi"/>
          <w:bCs/>
          <w:kern w:val="2"/>
          <w:szCs w:val="24"/>
          <w:lang w:val="en-US" w:eastAsia="zh-CN" w:bidi="ar-SA"/>
        </w:rPr>
        <w:t>投资</w:t>
      </w:r>
      <w:r w:rsidRPr="00D55B24">
        <w:rPr>
          <w:rFonts w:ascii="宋体" w:hAnsi="宋体" w:cstheme="minorBidi" w:hint="eastAsia"/>
          <w:bCs/>
          <w:kern w:val="2"/>
          <w:szCs w:val="24"/>
          <w:lang w:val="en-US" w:eastAsia="zh-CN" w:bidi="ar-SA"/>
        </w:rPr>
        <w:t>应</w:t>
      </w:r>
      <w:r w:rsidRPr="00D55B24">
        <w:rPr>
          <w:rFonts w:ascii="宋体" w:hAnsi="宋体" w:cstheme="minorBidi"/>
          <w:bCs/>
          <w:kern w:val="2"/>
          <w:szCs w:val="24"/>
          <w:lang w:val="en-US" w:eastAsia="zh-CN" w:bidi="ar-SA"/>
        </w:rPr>
        <w:t>根据</w:t>
      </w:r>
      <w:r w:rsidRPr="00D55B24">
        <w:rPr>
          <w:rFonts w:ascii="宋体" w:hAnsi="宋体" w:cstheme="minorBidi" w:hint="eastAsia"/>
          <w:bCs/>
          <w:kern w:val="2"/>
          <w:szCs w:val="24"/>
          <w:lang w:val="en-US" w:eastAsia="zh-CN" w:bidi="ar-SA"/>
        </w:rPr>
        <w:t>投资性质</w:t>
      </w:r>
      <w:r w:rsidRPr="00D55B24">
        <w:rPr>
          <w:rFonts w:ascii="宋体" w:hAnsi="宋体" w:cstheme="minorBidi"/>
          <w:bCs/>
          <w:kern w:val="2"/>
          <w:szCs w:val="24"/>
          <w:lang w:val="en-US" w:eastAsia="zh-CN" w:bidi="ar-SA"/>
        </w:rPr>
        <w:t>分别采用权益法和成本法核算。</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投资性房地产</w:t>
      </w:r>
    </w:p>
    <w:p w:rsidR="0073097A" w:rsidRPr="00D55B24" w:rsidP="0019740E">
      <w:pPr>
        <w:pStyle w:val="Normal0"/>
        <w:numPr>
          <w:ilvl w:val="0"/>
          <w:numId w:val="12"/>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投资性房地产，是指为赚取租金或资本增值，或两者兼有而持有的房地产。投资性房地产应当可以单独计量和出售。</w:t>
      </w:r>
    </w:p>
    <w:p w:rsidR="0073097A" w:rsidRPr="00D55B24" w:rsidP="0019740E">
      <w:pPr>
        <w:pStyle w:val="Normal0"/>
        <w:numPr>
          <w:ilvl w:val="0"/>
          <w:numId w:val="12"/>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投资性房地产含以下内容：</w:t>
      </w:r>
    </w:p>
    <w:p w:rsidR="0073097A" w:rsidRPr="003D3891" w:rsidP="0019740E">
      <w:pPr>
        <w:pStyle w:val="ListParagraph"/>
        <w:numPr>
          <w:ilvl w:val="3"/>
          <w:numId w:val="13"/>
        </w:numPr>
        <w:autoSpaceDE w:val="0"/>
        <w:autoSpaceDN w:val="0"/>
        <w:adjustRightInd w:val="0"/>
        <w:snapToGrid w:val="0"/>
        <w:spacing w:before="156" w:after="156" w:line="600" w:lineRule="auto"/>
        <w:ind w:firstLineChars="0"/>
        <w:jc w:val="left"/>
        <w:rPr>
          <w:rFonts w:ascii="宋体" w:hAnsi="宋体" w:cstheme="minorBidi"/>
          <w:bCs/>
          <w:kern w:val="2"/>
          <w:szCs w:val="24"/>
          <w:lang w:val="en-US" w:eastAsia="zh-CN" w:bidi="ar-SA"/>
        </w:rPr>
        <w:sectPr w:rsidSect="00A65E41">
          <w:type w:val="nextPage"/>
          <w:pgSz w:w="11906" w:h="16838"/>
          <w:pgMar w:top="1440" w:right="1800" w:bottom="1440" w:left="1800" w:header="851" w:footer="992" w:gutter="0"/>
          <w:pgNumType w:start="16"/>
          <w:cols w:space="425"/>
          <w:titlePg w:val="0"/>
          <w:docGrid w:type="lines" w:linePitch="312"/>
        </w:sectPr>
      </w:pPr>
      <w:r w:rsidRPr="003D3891">
        <w:rPr>
          <w:rFonts w:ascii="宋体" w:hAnsi="宋体" w:cstheme="minorBidi" w:hint="eastAsia"/>
          <w:bCs/>
          <w:kern w:val="2"/>
          <w:szCs w:val="24"/>
          <w:lang w:val="en-US" w:eastAsia="zh-CN" w:bidi="ar-SA"/>
        </w:rPr>
        <w:t>已出租的土地使用权。</w:t>
      </w:r>
    </w:p>
    <w:p w:rsidR="0073097A" w:rsidRPr="003D3891" w:rsidP="0019740E">
      <w:pPr>
        <w:pStyle w:val="ListParagraph"/>
        <w:numPr>
          <w:ilvl w:val="3"/>
          <w:numId w:val="13"/>
        </w:numPr>
        <w:autoSpaceDE w:val="0"/>
        <w:autoSpaceDN w:val="0"/>
        <w:adjustRightInd w:val="0"/>
        <w:snapToGrid w:val="0"/>
        <w:spacing w:before="156" w:after="156" w:line="600" w:lineRule="auto"/>
        <w:ind w:firstLineChars="0"/>
        <w:jc w:val="left"/>
        <w:rPr>
          <w:rFonts w:ascii="宋体" w:hAnsi="宋体" w:cstheme="minorBidi"/>
          <w:bCs/>
          <w:kern w:val="2"/>
          <w:szCs w:val="24"/>
          <w:lang w:val="en-US" w:eastAsia="zh-CN" w:bidi="ar-SA"/>
        </w:rPr>
      </w:pPr>
      <w:r w:rsidRPr="003D3891">
        <w:rPr>
          <w:rFonts w:ascii="宋体" w:hAnsi="宋体" w:cstheme="minorBidi" w:hint="eastAsia"/>
          <w:bCs/>
          <w:kern w:val="2"/>
          <w:szCs w:val="24"/>
          <w:lang w:val="en-US" w:eastAsia="zh-CN" w:bidi="ar-SA"/>
        </w:rPr>
        <w:t>持有并准备增值后转让的土地使用权。</w:t>
      </w:r>
    </w:p>
    <w:p w:rsidR="0073097A" w:rsidRPr="003D3891" w:rsidP="0019740E">
      <w:pPr>
        <w:pStyle w:val="ListParagraph"/>
        <w:numPr>
          <w:ilvl w:val="3"/>
          <w:numId w:val="13"/>
        </w:numPr>
        <w:autoSpaceDE w:val="0"/>
        <w:autoSpaceDN w:val="0"/>
        <w:adjustRightInd w:val="0"/>
        <w:snapToGrid w:val="0"/>
        <w:spacing w:before="156" w:after="156" w:line="600" w:lineRule="auto"/>
        <w:ind w:firstLineChars="0"/>
        <w:jc w:val="left"/>
        <w:rPr>
          <w:rFonts w:ascii="宋体" w:hAnsi="宋体" w:cstheme="minorBidi"/>
          <w:bCs/>
          <w:kern w:val="2"/>
          <w:szCs w:val="24"/>
          <w:lang w:val="en-US" w:eastAsia="zh-CN" w:bidi="ar-SA"/>
        </w:rPr>
      </w:pPr>
      <w:r w:rsidRPr="003D3891">
        <w:rPr>
          <w:rFonts w:ascii="宋体" w:hAnsi="宋体" w:cstheme="minorBidi" w:hint="eastAsia"/>
          <w:bCs/>
          <w:kern w:val="2"/>
          <w:szCs w:val="24"/>
          <w:lang w:val="en-US" w:eastAsia="zh-CN" w:bidi="ar-SA"/>
        </w:rPr>
        <w:t>已出租的建筑物。</w:t>
      </w:r>
    </w:p>
    <w:p w:rsidR="0073097A" w:rsidRPr="00D55B24" w:rsidP="0019740E">
      <w:pPr>
        <w:pStyle w:val="Normal0"/>
        <w:numPr>
          <w:ilvl w:val="0"/>
          <w:numId w:val="12"/>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投资性房地产同时满足下列条件时，才干予以确认：</w:t>
      </w:r>
    </w:p>
    <w:p w:rsidR="0073097A" w:rsidRPr="003D3891" w:rsidP="0019740E">
      <w:pPr>
        <w:pStyle w:val="ListParagraph"/>
        <w:numPr>
          <w:ilvl w:val="0"/>
          <w:numId w:val="14"/>
        </w:numPr>
        <w:autoSpaceDE w:val="0"/>
        <w:autoSpaceDN w:val="0"/>
        <w:adjustRightInd w:val="0"/>
        <w:snapToGrid w:val="0"/>
        <w:spacing w:before="156" w:after="156" w:line="600" w:lineRule="auto"/>
        <w:ind w:firstLineChars="0"/>
        <w:jc w:val="left"/>
        <w:rPr>
          <w:rFonts w:ascii="宋体" w:hAnsi="宋体" w:cstheme="minorBidi"/>
          <w:bCs/>
          <w:kern w:val="2"/>
          <w:szCs w:val="24"/>
          <w:lang w:val="en-US" w:eastAsia="zh-CN" w:bidi="ar-SA"/>
        </w:rPr>
      </w:pPr>
      <w:r w:rsidRPr="003D3891">
        <w:rPr>
          <w:rFonts w:ascii="宋体" w:hAnsi="宋体" w:cstheme="minorBidi" w:hint="eastAsia"/>
          <w:bCs/>
          <w:kern w:val="2"/>
          <w:szCs w:val="24"/>
          <w:lang w:val="en-US" w:eastAsia="zh-CN" w:bidi="ar-SA"/>
        </w:rPr>
        <w:t>与该投资性房地产有关的经济利益很也许流入公司；</w:t>
      </w:r>
    </w:p>
    <w:p w:rsidR="0073097A" w:rsidRPr="003D3891" w:rsidP="0019740E">
      <w:pPr>
        <w:pStyle w:val="ListParagraph"/>
        <w:numPr>
          <w:ilvl w:val="0"/>
          <w:numId w:val="14"/>
        </w:numPr>
        <w:autoSpaceDE w:val="0"/>
        <w:autoSpaceDN w:val="0"/>
        <w:adjustRightInd w:val="0"/>
        <w:snapToGrid w:val="0"/>
        <w:spacing w:before="156" w:after="156" w:line="600" w:lineRule="auto"/>
        <w:ind w:firstLineChars="0"/>
        <w:jc w:val="left"/>
        <w:rPr>
          <w:rFonts w:ascii="宋体" w:hAnsi="宋体" w:cstheme="minorBidi"/>
          <w:bCs/>
          <w:kern w:val="2"/>
          <w:szCs w:val="24"/>
          <w:lang w:val="en-US" w:eastAsia="zh-CN" w:bidi="ar-SA"/>
        </w:rPr>
      </w:pPr>
      <w:r w:rsidRPr="003D3891">
        <w:rPr>
          <w:rFonts w:ascii="宋体" w:hAnsi="宋体" w:cstheme="minorBidi" w:hint="eastAsia"/>
          <w:bCs/>
          <w:kern w:val="2"/>
          <w:szCs w:val="24"/>
          <w:lang w:val="en-US" w:eastAsia="zh-CN" w:bidi="ar-SA"/>
        </w:rPr>
        <w:t>该投资性房地产的成本可以可靠地计量。</w:t>
      </w:r>
    </w:p>
    <w:p w:rsidR="0073097A" w:rsidRPr="00D55B24" w:rsidP="0019740E">
      <w:pPr>
        <w:pStyle w:val="Normal0"/>
        <w:numPr>
          <w:ilvl w:val="0"/>
          <w:numId w:val="12"/>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投资性房地产的计量：</w:t>
      </w:r>
    </w:p>
    <w:p w:rsidR="0073097A" w:rsidRPr="00D55B24" w:rsidP="0019740E">
      <w:pPr>
        <w:pStyle w:val="Normal0"/>
        <w:numPr>
          <w:ilvl w:val="1"/>
          <w:numId w:val="15"/>
        </w:numPr>
        <w:autoSpaceDE w:val="0"/>
        <w:autoSpaceDN w:val="0"/>
        <w:adjustRightInd w:val="0"/>
        <w:snapToGrid w:val="0"/>
        <w:spacing w:beforeLines="0" w:afterLines="0" w:line="600" w:lineRule="auto"/>
        <w:ind w:firstLineChars="0"/>
        <w:jc w:val="left"/>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外购投资性房地产的成本，涉及购买价款、相关税费和可直接归属于该资产的其他支出。</w:t>
      </w:r>
    </w:p>
    <w:p w:rsidR="0073097A" w:rsidRPr="00D55B24" w:rsidP="0019740E">
      <w:pPr>
        <w:pStyle w:val="Normal0"/>
        <w:numPr>
          <w:ilvl w:val="1"/>
          <w:numId w:val="15"/>
        </w:numPr>
        <w:autoSpaceDE w:val="0"/>
        <w:autoSpaceDN w:val="0"/>
        <w:adjustRightInd w:val="0"/>
        <w:snapToGrid w:val="0"/>
        <w:spacing w:beforeLines="0" w:afterLines="0" w:line="600" w:lineRule="auto"/>
        <w:ind w:firstLineChars="0"/>
        <w:jc w:val="left"/>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自行建造投资性房地产的成本，由建造该项资产达成预定可使用状态前所发生的必要支出构成。</w:t>
      </w:r>
    </w:p>
    <w:p w:rsidR="0073097A" w:rsidRPr="00D55B24" w:rsidP="0019740E">
      <w:pPr>
        <w:pStyle w:val="Normal0"/>
        <w:numPr>
          <w:ilvl w:val="1"/>
          <w:numId w:val="15"/>
        </w:numPr>
        <w:autoSpaceDE w:val="0"/>
        <w:autoSpaceDN w:val="0"/>
        <w:adjustRightInd w:val="0"/>
        <w:snapToGrid w:val="0"/>
        <w:spacing w:beforeLines="0" w:afterLines="0" w:line="600" w:lineRule="auto"/>
        <w:ind w:firstLineChars="0"/>
        <w:jc w:val="left"/>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以其他方式取得的投资性房地产的成本，按照相关会计准则的规定</w:t>
      </w:r>
      <w:r w:rsidRPr="00D55B24">
        <w:rPr>
          <w:rFonts w:ascii="宋体" w:hAnsi="宋体" w:cstheme="minorBidi" w:hint="eastAsia"/>
          <w:bCs/>
          <w:kern w:val="2"/>
          <w:szCs w:val="24"/>
          <w:lang w:val="en-US" w:eastAsia="zh-CN" w:bidi="ar-SA"/>
        </w:rPr>
        <w:t>拟定。</w:t>
      </w:r>
    </w:p>
    <w:p w:rsidR="0073097A" w:rsidRPr="00D55B24" w:rsidP="0019740E">
      <w:pPr>
        <w:pStyle w:val="Normal0"/>
        <w:numPr>
          <w:ilvl w:val="1"/>
          <w:numId w:val="15"/>
        </w:numPr>
        <w:autoSpaceDE w:val="0"/>
        <w:autoSpaceDN w:val="0"/>
        <w:adjustRightInd w:val="0"/>
        <w:snapToGrid w:val="0"/>
        <w:spacing w:beforeLines="0" w:afterLines="0" w:line="600" w:lineRule="auto"/>
        <w:ind w:firstLineChars="0"/>
        <w:jc w:val="left"/>
        <w:rPr>
          <w:rFonts w:ascii="宋体" w:hAnsi="宋体"/>
          <w:bCs/>
          <w:kern w:val="2"/>
          <w:szCs w:val="24"/>
          <w:lang w:val="en-US" w:eastAsia="zh-CN" w:bidi="ar-SA"/>
        </w:rPr>
        <w:sectPr w:rsidSect="00A65E41">
          <w:type w:val="nextPage"/>
          <w:pgSz w:w="11906" w:h="16838"/>
          <w:pgMar w:top="1440" w:right="1800" w:bottom="1440" w:left="1800" w:header="851" w:footer="992" w:gutter="0"/>
          <w:pgNumType w:start="17"/>
          <w:cols w:space="425"/>
          <w:titlePg w:val="0"/>
          <w:docGrid w:type="lines" w:linePitch="312"/>
        </w:sectPr>
      </w:pPr>
    </w:p>
    <w:p w:rsidR="0073097A" w:rsidRPr="00D55B24" w:rsidP="0019740E">
      <w:pPr>
        <w:pStyle w:val="Normal0"/>
        <w:numPr>
          <w:ilvl w:val="0"/>
          <w:numId w:val="0"/>
        </w:numPr>
        <w:autoSpaceDE w:val="0"/>
        <w:autoSpaceDN w:val="0"/>
        <w:adjustRightInd w:val="0"/>
        <w:snapToGrid w:val="0"/>
        <w:spacing w:beforeLines="0" w:afterLines="0" w:line="600" w:lineRule="auto"/>
        <w:ind w:left="1440" w:firstLineChars="0"/>
        <w:jc w:val="left"/>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与投资性房地产有关的后续支出，满足本制度第四十七条规定的确认条件的，应当计入投资性房地产成本；不满足本制度第四十七条规定的确认条件的，应当在发生时计入当期损益。</w:t>
      </w:r>
    </w:p>
    <w:p w:rsidR="0073097A" w:rsidRPr="00D55B24" w:rsidP="0019740E">
      <w:pPr>
        <w:pStyle w:val="Normal0"/>
        <w:numPr>
          <w:ilvl w:val="1"/>
          <w:numId w:val="15"/>
        </w:numPr>
        <w:autoSpaceDE w:val="0"/>
        <w:autoSpaceDN w:val="0"/>
        <w:adjustRightInd w:val="0"/>
        <w:snapToGrid w:val="0"/>
        <w:spacing w:beforeLines="0" w:afterLines="0" w:line="600" w:lineRule="auto"/>
        <w:ind w:firstLineChars="0"/>
        <w:jc w:val="left"/>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对投资性房地产采用成本模式进行后续计量。</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固定资产</w:t>
      </w:r>
    </w:p>
    <w:p w:rsidR="0073097A" w:rsidRPr="00D55B24" w:rsidP="0019740E">
      <w:pPr>
        <w:pStyle w:val="Normal0"/>
        <w:numPr>
          <w:ilvl w:val="0"/>
          <w:numId w:val="16"/>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固定资产是指公司使用期限超过</w:t>
      </w:r>
      <w:r w:rsidRPr="00D55B24">
        <w:rPr>
          <w:rFonts w:ascii="宋体" w:hAnsi="宋体" w:cstheme="minorBidi" w:hint="eastAsia"/>
          <w:bCs/>
          <w:kern w:val="2"/>
          <w:szCs w:val="24"/>
          <w:lang w:val="en-US" w:eastAsia="zh-CN" w:bidi="ar-SA"/>
        </w:rPr>
        <w:t>1</w:t>
      </w:r>
      <w:r w:rsidRPr="00D55B24">
        <w:rPr>
          <w:rFonts w:ascii="宋体" w:hAnsi="宋体" w:cstheme="minorBidi" w:hint="eastAsia"/>
          <w:bCs/>
          <w:kern w:val="2"/>
          <w:szCs w:val="24"/>
          <w:lang w:val="en-US" w:eastAsia="zh-CN" w:bidi="ar-SA"/>
        </w:rPr>
        <w:t>年单位价值超过</w:t>
      </w:r>
      <w:r w:rsidRPr="00D55B24">
        <w:rPr>
          <w:rFonts w:ascii="宋体" w:hAnsi="宋体" w:cstheme="minorBidi" w:hint="eastAsia"/>
          <w:bCs/>
          <w:kern w:val="2"/>
          <w:szCs w:val="24"/>
          <w:lang w:val="en-US" w:eastAsia="zh-CN" w:bidi="ar-SA"/>
        </w:rPr>
        <w:t>2023</w:t>
      </w:r>
      <w:r w:rsidRPr="00D55B24">
        <w:rPr>
          <w:rFonts w:ascii="宋体" w:hAnsi="宋体" w:cstheme="minorBidi" w:hint="eastAsia"/>
          <w:bCs/>
          <w:kern w:val="2"/>
          <w:szCs w:val="24"/>
          <w:lang w:val="en-US" w:eastAsia="zh-CN" w:bidi="ar-SA"/>
        </w:rPr>
        <w:t>元的房屋、建筑物、机器、机械、运送工具以及其他与生产、经营有关的设备、器具、工具等。不属于生产经营重要设备、单位价值在</w:t>
      </w:r>
      <w:r w:rsidRPr="00D55B24">
        <w:rPr>
          <w:rFonts w:ascii="宋体" w:hAnsi="宋体" w:cstheme="minorBidi" w:hint="eastAsia"/>
          <w:bCs/>
          <w:kern w:val="2"/>
          <w:szCs w:val="24"/>
          <w:lang w:val="en-US" w:eastAsia="zh-CN" w:bidi="ar-SA"/>
        </w:rPr>
        <w:t>2023</w:t>
      </w:r>
      <w:r w:rsidRPr="00D55B24">
        <w:rPr>
          <w:rFonts w:ascii="宋体" w:hAnsi="宋体" w:cstheme="minorBidi" w:hint="eastAsia"/>
          <w:bCs/>
          <w:kern w:val="2"/>
          <w:szCs w:val="24"/>
          <w:lang w:val="en-US" w:eastAsia="zh-CN" w:bidi="ar-SA"/>
        </w:rPr>
        <w:t>元以上并且使用年限超过</w:t>
      </w:r>
      <w:r w:rsidRPr="00D55B24">
        <w:rPr>
          <w:rFonts w:ascii="宋体" w:hAnsi="宋体" w:cstheme="minorBidi" w:hint="eastAsia"/>
          <w:bCs/>
          <w:kern w:val="2"/>
          <w:szCs w:val="24"/>
          <w:lang w:val="en-US" w:eastAsia="zh-CN" w:bidi="ar-SA"/>
        </w:rPr>
        <w:t>2</w:t>
      </w:r>
      <w:r w:rsidRPr="00D55B24">
        <w:rPr>
          <w:rFonts w:ascii="宋体" w:hAnsi="宋体" w:cstheme="minorBidi" w:hint="eastAsia"/>
          <w:bCs/>
          <w:kern w:val="2"/>
          <w:szCs w:val="24"/>
          <w:lang w:val="en-US" w:eastAsia="zh-CN" w:bidi="ar-SA"/>
        </w:rPr>
        <w:t>年的也应当作为固定资产。如空调、复印机等。</w:t>
      </w:r>
    </w:p>
    <w:p w:rsidR="0073097A" w:rsidRPr="00D55B24" w:rsidP="0019740E">
      <w:pPr>
        <w:pStyle w:val="Normal0"/>
        <w:numPr>
          <w:ilvl w:val="0"/>
          <w:numId w:val="16"/>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固定资产分为七大类：</w:t>
      </w:r>
    </w:p>
    <w:p w:rsidR="0073097A" w:rsidRPr="00D55B24" w:rsidP="0019740E">
      <w:pPr>
        <w:pStyle w:val="Normal0"/>
        <w:numPr>
          <w:ilvl w:val="1"/>
          <w:numId w:val="17"/>
        </w:numPr>
        <w:tabs>
          <w:tab w:val="left" w:pos="993"/>
        </w:tabs>
        <w:adjustRightInd w:val="0"/>
        <w:snapToGrid w:val="0"/>
        <w:spacing w:beforeLines="0" w:afterLines="0" w:line="600" w:lineRule="auto"/>
        <w:ind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房屋建筑物（自用）；</w:t>
      </w:r>
    </w:p>
    <w:p w:rsidR="0073097A" w:rsidRPr="00D55B24" w:rsidP="0019740E">
      <w:pPr>
        <w:pStyle w:val="Normal0"/>
        <w:numPr>
          <w:ilvl w:val="1"/>
          <w:numId w:val="17"/>
        </w:numPr>
        <w:tabs>
          <w:tab w:val="left" w:pos="993"/>
        </w:tabs>
        <w:adjustRightInd w:val="0"/>
        <w:snapToGrid w:val="0"/>
        <w:spacing w:beforeLines="0" w:afterLines="0" w:line="600" w:lineRule="auto"/>
        <w:ind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机器、机械设备；</w:t>
      </w:r>
      <w:r w:rsidRPr="00D55B24">
        <w:rPr>
          <w:rFonts w:ascii="宋体" w:hAnsi="宋体" w:cstheme="minorBidi" w:hint="eastAsia"/>
          <w:bCs/>
          <w:kern w:val="2"/>
          <w:szCs w:val="24"/>
          <w:lang w:val="en-US" w:eastAsia="zh-CN" w:bidi="ar-SA"/>
        </w:rPr>
        <w:t xml:space="preserve"> </w:t>
      </w:r>
    </w:p>
    <w:p w:rsidR="0073097A" w:rsidRPr="00D55B24" w:rsidP="0019740E">
      <w:pPr>
        <w:pStyle w:val="Normal0"/>
        <w:numPr>
          <w:ilvl w:val="1"/>
          <w:numId w:val="17"/>
        </w:numPr>
        <w:tabs>
          <w:tab w:val="left" w:pos="993"/>
        </w:tabs>
        <w:adjustRightInd w:val="0"/>
        <w:snapToGrid w:val="0"/>
        <w:spacing w:beforeLines="0" w:afterLines="0" w:line="600" w:lineRule="auto"/>
        <w:ind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运送设备：车辆等；</w:t>
      </w:r>
    </w:p>
    <w:p w:rsidR="0073097A" w:rsidRPr="00D55B24" w:rsidP="0019740E">
      <w:pPr>
        <w:pStyle w:val="Normal0"/>
        <w:numPr>
          <w:ilvl w:val="1"/>
          <w:numId w:val="17"/>
        </w:numPr>
        <w:tabs>
          <w:tab w:val="left" w:pos="993"/>
        </w:tabs>
        <w:adjustRightInd w:val="0"/>
        <w:snapToGrid w:val="0"/>
        <w:spacing w:beforeLines="0" w:afterLines="0" w:line="600" w:lineRule="auto"/>
        <w:ind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IT</w:t>
      </w:r>
      <w:r w:rsidRPr="00D55B24">
        <w:rPr>
          <w:rFonts w:ascii="宋体" w:hAnsi="宋体" w:cstheme="minorBidi" w:hint="eastAsia"/>
          <w:bCs/>
          <w:kern w:val="2"/>
          <w:szCs w:val="24"/>
          <w:lang w:val="en-US" w:eastAsia="zh-CN" w:bidi="ar-SA"/>
        </w:rPr>
        <w:t>资产：互换机、服务器、</w:t>
      </w:r>
      <w:r w:rsidRPr="00D55B24">
        <w:rPr>
          <w:rFonts w:ascii="宋体" w:hAnsi="宋体" w:cstheme="minorBidi" w:hint="eastAsia"/>
          <w:bCs/>
          <w:kern w:val="2"/>
          <w:szCs w:val="24"/>
          <w:lang w:val="en-US" w:eastAsia="zh-CN" w:bidi="ar-SA"/>
        </w:rPr>
        <w:t>UPS</w:t>
      </w:r>
      <w:r w:rsidRPr="00D55B24">
        <w:rPr>
          <w:rFonts w:ascii="宋体" w:hAnsi="宋体" w:cstheme="minorBidi" w:hint="eastAsia"/>
          <w:bCs/>
          <w:kern w:val="2"/>
          <w:szCs w:val="24"/>
          <w:lang w:val="en-US" w:eastAsia="zh-CN" w:bidi="ar-SA"/>
        </w:rPr>
        <w:t>电源、磁盘柜等；</w:t>
      </w:r>
    </w:p>
    <w:p w:rsidR="0073097A" w:rsidRPr="00D55B24" w:rsidP="0019740E">
      <w:pPr>
        <w:pStyle w:val="Normal0"/>
        <w:numPr>
          <w:ilvl w:val="1"/>
          <w:numId w:val="17"/>
        </w:numPr>
        <w:tabs>
          <w:tab w:val="left" w:pos="993"/>
        </w:tabs>
        <w:adjustRightInd w:val="0"/>
        <w:snapToGrid w:val="0"/>
        <w:spacing w:beforeLines="0" w:afterLines="0" w:line="600" w:lineRule="auto"/>
        <w:ind w:firstLineChars="0"/>
        <w:rPr>
          <w:rFonts w:ascii="宋体" w:hAnsi="宋体"/>
          <w:bCs/>
          <w:kern w:val="2"/>
          <w:szCs w:val="24"/>
          <w:lang w:val="en-US" w:eastAsia="zh-CN" w:bidi="ar-SA"/>
        </w:rPr>
        <w:sectPr w:rsidSect="00A65E41">
          <w:type w:val="nextPage"/>
          <w:pgSz w:w="11906" w:h="16838"/>
          <w:pgMar w:top="1440" w:right="1800" w:bottom="1440" w:left="1800" w:header="851" w:footer="992" w:gutter="0"/>
          <w:pgNumType w:start="18"/>
          <w:cols w:space="425"/>
          <w:titlePg w:val="0"/>
          <w:docGrid w:type="lines" w:linePitch="312"/>
        </w:sectPr>
      </w:pPr>
    </w:p>
    <w:p w:rsidR="0073097A" w:rsidRPr="00D55B24" w:rsidP="0019740E">
      <w:pPr>
        <w:pStyle w:val="Normal0"/>
        <w:numPr>
          <w:ilvl w:val="0"/>
          <w:numId w:val="0"/>
        </w:numPr>
        <w:tabs>
          <w:tab w:val="left" w:pos="993"/>
        </w:tabs>
        <w:adjustRightInd w:val="0"/>
        <w:snapToGrid w:val="0"/>
        <w:spacing w:beforeLines="0" w:afterLines="0" w:line="600" w:lineRule="auto"/>
        <w:ind w:left="144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办公电子设备：台式电脑、笔记本电脑、打印机、复印机、扫描仪、投影仪、传真机、复印机、会议视频系统、电子白板、黑莓手机、会议及智能电话等。</w:t>
      </w:r>
    </w:p>
    <w:p w:rsidR="0073097A" w:rsidRPr="00D55B24" w:rsidP="0019740E">
      <w:pPr>
        <w:pStyle w:val="Normal0"/>
        <w:numPr>
          <w:ilvl w:val="1"/>
          <w:numId w:val="17"/>
        </w:numPr>
        <w:tabs>
          <w:tab w:val="left" w:pos="993"/>
        </w:tabs>
        <w:adjustRightInd w:val="0"/>
        <w:snapToGrid w:val="0"/>
        <w:spacing w:beforeLines="0" w:afterLines="0" w:line="600" w:lineRule="auto"/>
        <w:ind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办公、后勤等行政用品：保险柜、柜子类、会议桌、板台、办公桌椅、沙发、电视、空调、洗衣机、微波炉、消毒柜、冰柜、冰箱等；</w:t>
      </w:r>
    </w:p>
    <w:p w:rsidR="0073097A" w:rsidRPr="00D55B24" w:rsidP="0019740E">
      <w:pPr>
        <w:pStyle w:val="Normal0"/>
        <w:numPr>
          <w:ilvl w:val="1"/>
          <w:numId w:val="17"/>
        </w:numPr>
        <w:tabs>
          <w:tab w:val="left" w:pos="993"/>
        </w:tabs>
        <w:adjustRightInd w:val="0"/>
        <w:snapToGrid w:val="0"/>
        <w:spacing w:beforeLines="0" w:afterLines="0" w:line="600" w:lineRule="auto"/>
        <w:ind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其他为生产商品、提供劳务、出租或经营管理而持有的、价值在</w:t>
      </w:r>
      <w:r w:rsidRPr="00D55B24">
        <w:rPr>
          <w:rFonts w:ascii="宋体" w:hAnsi="宋体" w:cstheme="minorBidi" w:hint="eastAsia"/>
          <w:bCs/>
          <w:kern w:val="2"/>
          <w:szCs w:val="24"/>
          <w:lang w:val="en-US" w:eastAsia="zh-CN" w:bidi="ar-SA"/>
        </w:rPr>
        <w:t>2023</w:t>
      </w:r>
      <w:r w:rsidRPr="00D55B24">
        <w:rPr>
          <w:rFonts w:ascii="宋体" w:hAnsi="宋体" w:cstheme="minorBidi" w:hint="eastAsia"/>
          <w:bCs/>
          <w:kern w:val="2"/>
          <w:szCs w:val="24"/>
          <w:lang w:val="en-US" w:eastAsia="zh-CN" w:bidi="ar-SA"/>
        </w:rPr>
        <w:t>元以上的、并且使用年限超过</w:t>
      </w:r>
      <w:r w:rsidRPr="00D55B24">
        <w:rPr>
          <w:rFonts w:ascii="宋体" w:hAnsi="宋体" w:cstheme="minorBidi" w:hint="eastAsia"/>
          <w:bCs/>
          <w:kern w:val="2"/>
          <w:szCs w:val="24"/>
          <w:lang w:val="en-US" w:eastAsia="zh-CN" w:bidi="ar-SA"/>
        </w:rPr>
        <w:t>1</w:t>
      </w:r>
      <w:r w:rsidRPr="00D55B24">
        <w:rPr>
          <w:rFonts w:ascii="宋体" w:hAnsi="宋体" w:cstheme="minorBidi" w:hint="eastAsia"/>
          <w:bCs/>
          <w:kern w:val="2"/>
          <w:szCs w:val="24"/>
          <w:lang w:val="en-US" w:eastAsia="zh-CN" w:bidi="ar-SA"/>
        </w:rPr>
        <w:t>个会计年度的有形资产。</w:t>
      </w:r>
    </w:p>
    <w:p w:rsidR="0073097A" w:rsidRPr="00D55B24" w:rsidP="0019740E">
      <w:pPr>
        <w:pStyle w:val="Normal0"/>
        <w:numPr>
          <w:ilvl w:val="0"/>
          <w:numId w:val="16"/>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固定资产以取得时的实际成本计价入账。外购取得的资产成本包含买价、运费和保险费等相关费用以及为使固定资产达成预定可使用状态前所必要的支出。分期付款取得的固定资产，应当以购买价款的现值为基础拟定成本。</w:t>
      </w:r>
    </w:p>
    <w:p w:rsidR="0073097A" w:rsidRPr="00D55B24" w:rsidP="00D55B24">
      <w:pPr>
        <w:pStyle w:val="Normal0"/>
        <w:adjustRightInd w:val="0"/>
        <w:snapToGrid w:val="0"/>
        <w:spacing w:before="156" w:after="156" w:line="600" w:lineRule="auto"/>
        <w:ind w:firstLine="480"/>
        <w:rPr>
          <w:rFonts w:ascii="宋体" w:hAnsi="宋体"/>
          <w:bCs/>
          <w:kern w:val="2"/>
          <w:szCs w:val="24"/>
          <w:lang w:val="en-US" w:eastAsia="zh-CN" w:bidi="ar-SA"/>
        </w:rPr>
        <w:sectPr w:rsidSect="00A65E41">
          <w:type w:val="nextPage"/>
          <w:pgSz w:w="11906" w:h="16838"/>
          <w:pgMar w:top="1440" w:right="1800" w:bottom="1440" w:left="1800" w:header="851" w:footer="992" w:gutter="0"/>
          <w:pgNumType w:start="19"/>
          <w:cols w:space="425"/>
          <w:titlePg w:val="0"/>
          <w:docGrid w:type="lines" w:linePitch="312"/>
        </w:sectPr>
      </w:pPr>
      <w:r w:rsidRPr="00D55B24">
        <w:rPr>
          <w:rFonts w:ascii="宋体" w:hAnsi="宋体" w:cstheme="minorBidi" w:hint="eastAsia"/>
          <w:bCs/>
          <w:kern w:val="2"/>
          <w:szCs w:val="24"/>
          <w:lang w:val="en-US" w:eastAsia="zh-CN" w:bidi="ar-SA"/>
        </w:rPr>
        <w:t>自行建造的固定资产，在有关建造的资产达成预定可使用状态之前，发生的与购买或建造固定资产有关的一切直接或间接成本（涉及在购建期间运用借款进行购建所发生的借款费用应予以资本化）计入“在建工程”，在竣工验收转入固定资产。</w:t>
      </w:r>
    </w:p>
    <w:p w:rsidR="0073097A" w:rsidRPr="00D55B24" w:rsidP="0019740E">
      <w:pPr>
        <w:pStyle w:val="Normal0"/>
        <w:numPr>
          <w:ilvl w:val="0"/>
          <w:numId w:val="16"/>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固定资产的折旧采用年限平均法计提。折旧年限按照预计使用寿命拟定。固定资产的预计净残值为定义为：固定资产使用预计使用寿命已满并处在使用寿命终了时的预期状态，进行资产处置中获得的收益扣除处置费用后的余额。公司每个会计年度终了对折旧方法、预计使用年限和预计净残值率进行复核，如发生变化按会计政策、会计估计变更和差错更正的有关规定解决。</w:t>
      </w:r>
    </w:p>
    <w:p w:rsidR="0073097A" w:rsidRPr="00D55B24" w:rsidP="0019740E">
      <w:pPr>
        <w:pStyle w:val="Normal0"/>
        <w:numPr>
          <w:ilvl w:val="0"/>
          <w:numId w:val="16"/>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折旧年限预计使用年限和净残值率按资产种类分别规定如下：</w:t>
      </w:r>
    </w:p>
    <w:p w:rsidR="0073097A" w:rsidRPr="00D55B24" w:rsidP="00E63A20">
      <w:pPr>
        <w:pStyle w:val="Normal0"/>
        <w:adjustRightInd w:val="0"/>
        <w:snapToGrid w:val="0"/>
        <w:spacing w:before="156" w:after="156" w:line="600" w:lineRule="auto"/>
        <w:ind w:firstLine="720" w:firstLineChars="30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类</w:t>
      </w:r>
      <w:r w:rsidR="00E63A20">
        <w:rPr>
          <w:rFonts w:ascii="宋体" w:hAnsi="宋体" w:cstheme="minorBidi" w:hint="eastAsia"/>
          <w:bCs/>
          <w:kern w:val="2"/>
          <w:szCs w:val="24"/>
          <w:lang w:val="en-US" w:eastAsia="zh-CN" w:bidi="ar-SA"/>
        </w:rPr>
        <w:t xml:space="preserve">   </w:t>
      </w:r>
      <w:r w:rsidRPr="00D55B24">
        <w:rPr>
          <w:rFonts w:ascii="宋体" w:hAnsi="宋体" w:cstheme="minorBidi" w:hint="eastAsia"/>
          <w:bCs/>
          <w:kern w:val="2"/>
          <w:szCs w:val="24"/>
          <w:lang w:val="en-US" w:eastAsia="zh-CN" w:bidi="ar-SA"/>
        </w:rPr>
        <w:t>别</w:t>
      </w:r>
      <w:r w:rsidR="00E63A20">
        <w:rPr>
          <w:rFonts w:ascii="宋体" w:hAnsi="宋体" w:cstheme="minorBidi" w:hint="eastAsia"/>
          <w:bCs/>
          <w:kern w:val="2"/>
          <w:szCs w:val="24"/>
          <w:lang w:val="en-US" w:eastAsia="zh-CN" w:bidi="ar-SA"/>
        </w:rPr>
        <w:t xml:space="preserve">        </w:t>
      </w:r>
      <w:r w:rsidRPr="00D55B24">
        <w:rPr>
          <w:rFonts w:ascii="宋体" w:hAnsi="宋体" w:cstheme="minorBidi" w:hint="eastAsia"/>
          <w:bCs/>
          <w:kern w:val="2"/>
          <w:szCs w:val="24"/>
          <w:lang w:val="en-US" w:eastAsia="zh-CN" w:bidi="ar-SA"/>
        </w:rPr>
        <w:t>预计使用年限</w:t>
      </w:r>
      <w:r w:rsidR="00E63A20">
        <w:rPr>
          <w:rFonts w:ascii="宋体" w:hAnsi="宋体" w:cstheme="minorBidi" w:hint="eastAsia"/>
          <w:bCs/>
          <w:kern w:val="2"/>
          <w:szCs w:val="24"/>
          <w:lang w:val="en-US" w:eastAsia="zh-CN" w:bidi="ar-SA"/>
        </w:rPr>
        <w:t xml:space="preserve">    </w:t>
      </w:r>
      <w:r w:rsidRPr="00D55B24">
        <w:rPr>
          <w:rFonts w:ascii="宋体" w:hAnsi="宋体" w:cstheme="minorBidi" w:hint="eastAsia"/>
          <w:bCs/>
          <w:kern w:val="2"/>
          <w:szCs w:val="24"/>
          <w:lang w:val="en-US" w:eastAsia="zh-CN" w:bidi="ar-SA"/>
        </w:rPr>
        <w:t>预计净残值率</w:t>
      </w:r>
    </w:p>
    <w:p w:rsidR="0073097A" w:rsidRPr="00D55B24" w:rsidP="00D55B24">
      <w:pPr>
        <w:pStyle w:val="Normal0"/>
        <w:adjustRightInd w:val="0"/>
        <w:snapToGrid w:val="0"/>
        <w:spacing w:before="156" w:after="156" w:line="600" w:lineRule="auto"/>
        <w:ind w:firstLine="48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房屋及建筑物</w:t>
      </w:r>
      <w:r w:rsidR="00C472F2">
        <w:rPr>
          <w:rFonts w:ascii="宋体" w:hAnsi="宋体" w:cstheme="minorBidi" w:hint="eastAsia"/>
          <w:bCs/>
          <w:kern w:val="2"/>
          <w:szCs w:val="24"/>
          <w:lang w:val="en-US" w:eastAsia="zh-CN" w:bidi="ar-SA"/>
        </w:rPr>
        <w:t xml:space="preserve">         </w:t>
      </w:r>
      <w:r w:rsidR="001D3EB7">
        <w:rPr>
          <w:rFonts w:ascii="宋体" w:hAnsi="宋体" w:cstheme="minorBidi" w:hint="eastAsia"/>
          <w:bCs/>
          <w:kern w:val="2"/>
          <w:szCs w:val="24"/>
          <w:lang w:val="en-US" w:eastAsia="zh-CN" w:bidi="ar-SA"/>
        </w:rPr>
        <w:t xml:space="preserve"> </w:t>
      </w:r>
      <w:r w:rsidR="00D8271D">
        <w:rPr>
          <w:rFonts w:ascii="宋体" w:hAnsi="宋体" w:cstheme="minorBidi" w:hint="eastAsia"/>
          <w:bCs/>
          <w:kern w:val="2"/>
          <w:szCs w:val="24"/>
          <w:lang w:val="en-US" w:eastAsia="zh-CN" w:bidi="ar-SA"/>
        </w:rPr>
        <w:t xml:space="preserve">20            </w:t>
      </w:r>
      <w:r w:rsidRPr="00D55B24">
        <w:rPr>
          <w:rFonts w:ascii="宋体" w:hAnsi="宋体" w:cstheme="minorBidi" w:hint="eastAsia"/>
          <w:bCs/>
          <w:kern w:val="2"/>
          <w:szCs w:val="24"/>
          <w:lang w:val="en-US" w:eastAsia="zh-CN" w:bidi="ar-SA"/>
        </w:rPr>
        <w:t>5%</w:t>
      </w:r>
    </w:p>
    <w:p w:rsidR="0073097A" w:rsidRPr="00D55B24" w:rsidP="00D55B24">
      <w:pPr>
        <w:pStyle w:val="Normal0"/>
        <w:adjustRightInd w:val="0"/>
        <w:snapToGrid w:val="0"/>
        <w:spacing w:before="156" w:after="156" w:line="600" w:lineRule="auto"/>
        <w:ind w:firstLine="48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机器、机械设备</w:t>
      </w:r>
      <w:r w:rsidR="00C472F2">
        <w:rPr>
          <w:rFonts w:ascii="宋体" w:hAnsi="宋体" w:cstheme="minorBidi" w:hint="eastAsia"/>
          <w:bCs/>
          <w:kern w:val="2"/>
          <w:szCs w:val="24"/>
          <w:lang w:val="en-US" w:eastAsia="zh-CN" w:bidi="ar-SA"/>
        </w:rPr>
        <w:t xml:space="preserve">       </w:t>
      </w:r>
      <w:r w:rsidR="001D3EB7">
        <w:rPr>
          <w:rFonts w:ascii="宋体" w:hAnsi="宋体" w:cstheme="minorBidi" w:hint="eastAsia"/>
          <w:bCs/>
          <w:kern w:val="2"/>
          <w:szCs w:val="24"/>
          <w:lang w:val="en-US" w:eastAsia="zh-CN" w:bidi="ar-SA"/>
        </w:rPr>
        <w:t xml:space="preserve"> </w:t>
      </w:r>
      <w:r w:rsidRPr="00D55B24">
        <w:rPr>
          <w:rFonts w:ascii="宋体" w:hAnsi="宋体" w:cstheme="minorBidi" w:hint="eastAsia"/>
          <w:bCs/>
          <w:kern w:val="2"/>
          <w:szCs w:val="24"/>
          <w:lang w:val="en-US" w:eastAsia="zh-CN" w:bidi="ar-SA"/>
        </w:rPr>
        <w:t>10            5%</w:t>
      </w:r>
    </w:p>
    <w:p w:rsidR="0073097A" w:rsidRPr="00D55B24" w:rsidP="00D55B24">
      <w:pPr>
        <w:pStyle w:val="Normal0"/>
        <w:adjustRightInd w:val="0"/>
        <w:snapToGrid w:val="0"/>
        <w:spacing w:before="156" w:after="156" w:line="600" w:lineRule="auto"/>
        <w:ind w:firstLine="48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运送工具</w:t>
      </w:r>
      <w:r w:rsidR="00C472F2">
        <w:rPr>
          <w:rFonts w:ascii="宋体" w:hAnsi="宋体" w:cstheme="minorBidi" w:hint="eastAsia"/>
          <w:bCs/>
          <w:kern w:val="2"/>
          <w:szCs w:val="24"/>
          <w:lang w:val="en-US" w:eastAsia="zh-CN" w:bidi="ar-SA"/>
        </w:rPr>
        <w:t xml:space="preserve">              </w:t>
      </w:r>
      <w:r w:rsidR="001D3EB7">
        <w:rPr>
          <w:rFonts w:ascii="宋体" w:hAnsi="宋体" w:cstheme="minorBidi" w:hint="eastAsia"/>
          <w:bCs/>
          <w:kern w:val="2"/>
          <w:szCs w:val="24"/>
          <w:lang w:val="en-US" w:eastAsia="zh-CN" w:bidi="ar-SA"/>
        </w:rPr>
        <w:t xml:space="preserve"> </w:t>
      </w:r>
      <w:r w:rsidRPr="00D55B24">
        <w:rPr>
          <w:rFonts w:ascii="宋体" w:hAnsi="宋体" w:cstheme="minorBidi" w:hint="eastAsia"/>
          <w:bCs/>
          <w:kern w:val="2"/>
          <w:szCs w:val="24"/>
          <w:lang w:val="en-US" w:eastAsia="zh-CN" w:bidi="ar-SA"/>
        </w:rPr>
        <w:t>4            5%</w:t>
      </w:r>
    </w:p>
    <w:p w:rsidR="0073097A" w:rsidRPr="00D55B24" w:rsidP="00D55B24">
      <w:pPr>
        <w:pStyle w:val="Normal0"/>
        <w:adjustRightInd w:val="0"/>
        <w:snapToGrid w:val="0"/>
        <w:spacing w:before="156" w:after="156" w:line="600" w:lineRule="auto"/>
        <w:ind w:firstLine="48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IT</w:t>
      </w:r>
      <w:r w:rsidRPr="00D55B24">
        <w:rPr>
          <w:rFonts w:ascii="宋体" w:hAnsi="宋体" w:cstheme="minorBidi" w:hint="eastAsia"/>
          <w:bCs/>
          <w:kern w:val="2"/>
          <w:szCs w:val="24"/>
          <w:lang w:val="en-US" w:eastAsia="zh-CN" w:bidi="ar-SA"/>
        </w:rPr>
        <w:t>资产</w:t>
      </w:r>
      <w:r w:rsidR="00C472F2">
        <w:rPr>
          <w:rFonts w:ascii="宋体" w:hAnsi="宋体" w:cstheme="minorBidi" w:hint="eastAsia"/>
          <w:bCs/>
          <w:kern w:val="2"/>
          <w:szCs w:val="24"/>
          <w:lang w:val="en-US" w:eastAsia="zh-CN" w:bidi="ar-SA"/>
        </w:rPr>
        <w:t xml:space="preserve">               </w:t>
      </w:r>
      <w:r w:rsidR="001D3EB7">
        <w:rPr>
          <w:rFonts w:ascii="宋体" w:hAnsi="宋体" w:cstheme="minorBidi" w:hint="eastAsia"/>
          <w:bCs/>
          <w:kern w:val="2"/>
          <w:szCs w:val="24"/>
          <w:lang w:val="en-US" w:eastAsia="zh-CN" w:bidi="ar-SA"/>
        </w:rPr>
        <w:t xml:space="preserve"> </w:t>
      </w:r>
      <w:r w:rsidR="007D3723">
        <w:rPr>
          <w:rFonts w:ascii="宋体" w:hAnsi="宋体" w:cstheme="minorBidi" w:hint="eastAsia"/>
          <w:bCs/>
          <w:kern w:val="2"/>
          <w:szCs w:val="24"/>
          <w:lang w:val="en-US" w:eastAsia="zh-CN" w:bidi="ar-SA"/>
        </w:rPr>
        <w:t>3</w:t>
      </w:r>
      <w:r w:rsidRPr="00D55B24">
        <w:rPr>
          <w:rFonts w:ascii="宋体" w:hAnsi="宋体" w:cstheme="minorBidi" w:hint="eastAsia"/>
          <w:bCs/>
          <w:kern w:val="2"/>
          <w:szCs w:val="24"/>
          <w:lang w:val="en-US" w:eastAsia="zh-CN" w:bidi="ar-SA"/>
        </w:rPr>
        <w:t xml:space="preserve">            </w:t>
      </w:r>
      <w:r w:rsidR="00D8271D">
        <w:rPr>
          <w:rFonts w:ascii="宋体" w:hAnsi="宋体" w:cstheme="minorBidi" w:hint="eastAsia"/>
          <w:bCs/>
          <w:kern w:val="2"/>
          <w:szCs w:val="24"/>
          <w:lang w:val="en-US" w:eastAsia="zh-CN" w:bidi="ar-SA"/>
        </w:rPr>
        <w:t xml:space="preserve"> </w:t>
      </w:r>
      <w:r w:rsidRPr="00D55B24">
        <w:rPr>
          <w:rFonts w:ascii="宋体" w:hAnsi="宋体" w:cstheme="minorBidi" w:hint="eastAsia"/>
          <w:bCs/>
          <w:kern w:val="2"/>
          <w:szCs w:val="24"/>
          <w:lang w:val="en-US" w:eastAsia="zh-CN" w:bidi="ar-SA"/>
        </w:rPr>
        <w:t>5%</w:t>
      </w:r>
    </w:p>
    <w:p w:rsidR="0073097A" w:rsidRPr="00D55B24" w:rsidP="00D55B24">
      <w:pPr>
        <w:pStyle w:val="Normal0"/>
        <w:adjustRightInd w:val="0"/>
        <w:snapToGrid w:val="0"/>
        <w:spacing w:before="156" w:after="156" w:line="600" w:lineRule="auto"/>
        <w:ind w:firstLine="48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办公电子设备</w:t>
      </w:r>
      <w:r w:rsidR="00C472F2">
        <w:rPr>
          <w:rFonts w:ascii="宋体" w:hAnsi="宋体" w:cstheme="minorBidi" w:hint="eastAsia"/>
          <w:bCs/>
          <w:kern w:val="2"/>
          <w:szCs w:val="24"/>
          <w:lang w:val="en-US" w:eastAsia="zh-CN" w:bidi="ar-SA"/>
        </w:rPr>
        <w:t xml:space="preserve">          </w:t>
      </w:r>
      <w:r w:rsidR="001D3EB7">
        <w:rPr>
          <w:rFonts w:ascii="宋体" w:hAnsi="宋体" w:cstheme="minorBidi" w:hint="eastAsia"/>
          <w:bCs/>
          <w:kern w:val="2"/>
          <w:szCs w:val="24"/>
          <w:lang w:val="en-US" w:eastAsia="zh-CN" w:bidi="ar-SA"/>
        </w:rPr>
        <w:t xml:space="preserve"> </w:t>
      </w:r>
      <w:r w:rsidRPr="00D55B24">
        <w:rPr>
          <w:rFonts w:ascii="宋体" w:hAnsi="宋体" w:cstheme="minorBidi" w:hint="eastAsia"/>
          <w:bCs/>
          <w:kern w:val="2"/>
          <w:szCs w:val="24"/>
          <w:lang w:val="en-US" w:eastAsia="zh-CN" w:bidi="ar-SA"/>
        </w:rPr>
        <w:t xml:space="preserve">3            </w:t>
      </w:r>
      <w:r w:rsidR="00D8271D">
        <w:rPr>
          <w:rFonts w:ascii="宋体" w:hAnsi="宋体" w:cstheme="minorBidi" w:hint="eastAsia"/>
          <w:bCs/>
          <w:kern w:val="2"/>
          <w:szCs w:val="24"/>
          <w:lang w:val="en-US" w:eastAsia="zh-CN" w:bidi="ar-SA"/>
        </w:rPr>
        <w:t xml:space="preserve"> </w:t>
      </w:r>
      <w:r w:rsidRPr="00D55B24">
        <w:rPr>
          <w:rFonts w:ascii="宋体" w:hAnsi="宋体" w:cstheme="minorBidi" w:hint="eastAsia"/>
          <w:bCs/>
          <w:kern w:val="2"/>
          <w:szCs w:val="24"/>
          <w:lang w:val="en-US" w:eastAsia="zh-CN" w:bidi="ar-SA"/>
        </w:rPr>
        <w:t>5%</w:t>
      </w:r>
    </w:p>
    <w:p w:rsidR="0073097A" w:rsidRPr="00D55B24" w:rsidP="00D55B24">
      <w:pPr>
        <w:pStyle w:val="Normal0"/>
        <w:adjustRightInd w:val="0"/>
        <w:snapToGrid w:val="0"/>
        <w:spacing w:before="156" w:after="156" w:line="600" w:lineRule="auto"/>
        <w:ind w:firstLine="480"/>
        <w:rPr>
          <w:rFonts w:ascii="宋体" w:hAnsi="宋体"/>
          <w:bCs/>
          <w:kern w:val="2"/>
          <w:szCs w:val="24"/>
          <w:lang w:val="en-US" w:eastAsia="zh-CN" w:bidi="ar-SA"/>
        </w:rPr>
        <w:sectPr w:rsidSect="00A65E41">
          <w:type w:val="nextPage"/>
          <w:pgSz w:w="11906" w:h="16838"/>
          <w:pgMar w:top="1440" w:right="1800" w:bottom="1440" w:left="1800" w:header="851" w:footer="992" w:gutter="0"/>
          <w:pgNumType w:start="20"/>
          <w:cols w:space="425"/>
          <w:titlePg w:val="0"/>
          <w:docGrid w:type="lines" w:linePitch="312"/>
        </w:sectPr>
      </w:pPr>
      <w:r w:rsidRPr="00D55B24">
        <w:rPr>
          <w:rFonts w:ascii="宋体" w:hAnsi="宋体" w:cstheme="minorBidi" w:hint="eastAsia"/>
          <w:bCs/>
          <w:kern w:val="2"/>
          <w:szCs w:val="24"/>
          <w:lang w:val="en-US" w:eastAsia="zh-CN" w:bidi="ar-SA"/>
        </w:rPr>
        <w:t>办公、后勤等行政用品</w:t>
      </w:r>
      <w:r w:rsidRPr="00D55B24">
        <w:rPr>
          <w:rFonts w:ascii="宋体" w:hAnsi="宋体" w:cstheme="minorBidi" w:hint="eastAsia"/>
          <w:bCs/>
          <w:kern w:val="2"/>
          <w:szCs w:val="24"/>
          <w:lang w:val="en-US" w:eastAsia="zh-CN" w:bidi="ar-SA"/>
        </w:rPr>
        <w:t xml:space="preserve">   5            </w:t>
      </w:r>
      <w:r w:rsidR="001D3EB7">
        <w:rPr>
          <w:rFonts w:ascii="宋体" w:hAnsi="宋体" w:cstheme="minorBidi" w:hint="eastAsia"/>
          <w:bCs/>
          <w:kern w:val="2"/>
          <w:szCs w:val="24"/>
          <w:lang w:val="en-US" w:eastAsia="zh-CN" w:bidi="ar-SA"/>
        </w:rPr>
        <w:t xml:space="preserve"> </w:t>
      </w:r>
      <w:r w:rsidRPr="00D55B24">
        <w:rPr>
          <w:rFonts w:ascii="宋体" w:hAnsi="宋体" w:cstheme="minorBidi" w:hint="eastAsia"/>
          <w:bCs/>
          <w:kern w:val="2"/>
          <w:szCs w:val="24"/>
          <w:lang w:val="en-US" w:eastAsia="zh-CN" w:bidi="ar-SA"/>
        </w:rPr>
        <w:t>5%</w:t>
      </w:r>
    </w:p>
    <w:p w:rsidR="0073097A" w:rsidRPr="00D55B24" w:rsidP="00D55B24">
      <w:pPr>
        <w:pStyle w:val="Normal0"/>
        <w:adjustRightInd w:val="0"/>
        <w:snapToGrid w:val="0"/>
        <w:spacing w:before="156" w:after="156" w:line="600" w:lineRule="auto"/>
        <w:ind w:firstLine="48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其他资产</w:t>
      </w:r>
      <w:r w:rsidR="001D3EB7">
        <w:rPr>
          <w:rFonts w:ascii="宋体" w:hAnsi="宋体" w:cstheme="minorBidi" w:hint="eastAsia"/>
          <w:bCs/>
          <w:kern w:val="2"/>
          <w:szCs w:val="24"/>
          <w:lang w:val="en-US" w:eastAsia="zh-CN" w:bidi="ar-SA"/>
        </w:rPr>
        <w:t xml:space="preserve">             </w:t>
      </w:r>
      <w:r w:rsidRPr="00D55B24">
        <w:rPr>
          <w:rFonts w:ascii="宋体" w:hAnsi="宋体" w:cstheme="minorBidi" w:hint="eastAsia"/>
          <w:bCs/>
          <w:kern w:val="2"/>
          <w:szCs w:val="24"/>
          <w:lang w:val="en-US" w:eastAsia="zh-CN" w:bidi="ar-SA"/>
        </w:rPr>
        <w:t xml:space="preserve">  5             5%</w:t>
      </w:r>
    </w:p>
    <w:p w:rsidR="0073097A" w:rsidRPr="00D55B24" w:rsidP="00D55B24">
      <w:pPr>
        <w:pStyle w:val="Normal0"/>
        <w:adjustRightInd w:val="0"/>
        <w:snapToGrid w:val="0"/>
        <w:spacing w:before="156" w:after="156" w:line="600" w:lineRule="auto"/>
        <w:ind w:firstLine="48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当月增长的固定资产，当月不提折旧，从下月起计提折旧；当月减少的固定资产，当月照提折旧，从下月起不再折旧。固定资产提足折旧后，不管能否继续使用，均不再提取折旧。</w:t>
      </w:r>
    </w:p>
    <w:p w:rsidR="0073097A" w:rsidRPr="00D55B24" w:rsidP="0019740E">
      <w:pPr>
        <w:pStyle w:val="Normal0"/>
        <w:numPr>
          <w:ilvl w:val="0"/>
          <w:numId w:val="16"/>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固定资产的购建、报废、调入、调出、租出及作为对外投资等应按公司《固定资产管理办法》的有关规定办理</w:t>
      </w:r>
      <w:r w:rsidRPr="00D55B24">
        <w:rPr>
          <w:rFonts w:ascii="宋体" w:hAnsi="宋体" w:cstheme="minorBidi"/>
          <w:bCs/>
          <w:kern w:val="2"/>
          <w:szCs w:val="24"/>
          <w:lang w:val="en-US" w:eastAsia="zh-CN" w:bidi="ar-SA"/>
        </w:rPr>
        <w:t>。</w:t>
      </w:r>
    </w:p>
    <w:p w:rsidR="0073097A" w:rsidRPr="00D55B24" w:rsidP="0019740E">
      <w:pPr>
        <w:pStyle w:val="Normal0"/>
        <w:numPr>
          <w:ilvl w:val="0"/>
          <w:numId w:val="16"/>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固定资产</w:t>
      </w:r>
      <w:r w:rsidRPr="00D55B24">
        <w:rPr>
          <w:rFonts w:ascii="宋体" w:hAnsi="宋体" w:cstheme="minorBidi" w:hint="eastAsia"/>
          <w:bCs/>
          <w:kern w:val="2"/>
          <w:szCs w:val="24"/>
          <w:lang w:val="en-US" w:eastAsia="zh-CN" w:bidi="ar-SA"/>
        </w:rPr>
        <w:t>应</w:t>
      </w:r>
      <w:r w:rsidRPr="00D55B24">
        <w:rPr>
          <w:rFonts w:ascii="宋体" w:hAnsi="宋体" w:cstheme="minorBidi"/>
          <w:bCs/>
          <w:kern w:val="2"/>
          <w:szCs w:val="24"/>
          <w:lang w:val="en-US" w:eastAsia="zh-CN" w:bidi="ar-SA"/>
        </w:rPr>
        <w:t>每年</w:t>
      </w:r>
      <w:r w:rsidR="009C5840">
        <w:rPr>
          <w:rFonts w:ascii="宋体" w:hAnsi="宋体" w:cstheme="minorBidi" w:hint="eastAsia"/>
          <w:bCs/>
          <w:kern w:val="2"/>
          <w:szCs w:val="24"/>
          <w:lang w:val="en-US" w:eastAsia="zh-CN" w:bidi="ar-SA"/>
        </w:rPr>
        <w:t>清查</w:t>
      </w:r>
      <w:r w:rsidRPr="00D55B24">
        <w:rPr>
          <w:rFonts w:ascii="宋体" w:hAnsi="宋体" w:cstheme="minorBidi"/>
          <w:bCs/>
          <w:kern w:val="2"/>
          <w:szCs w:val="24"/>
          <w:lang w:val="en-US" w:eastAsia="zh-CN" w:bidi="ar-SA"/>
        </w:rPr>
        <w:t>一次，对盘盈、盘亏、毁损固定资产应查明因素</w:t>
      </w:r>
      <w:r w:rsidRPr="00D55B24">
        <w:rPr>
          <w:rFonts w:ascii="宋体" w:hAnsi="宋体" w:cstheme="minorBidi" w:hint="eastAsia"/>
          <w:bCs/>
          <w:kern w:val="2"/>
          <w:szCs w:val="24"/>
          <w:lang w:val="en-US" w:eastAsia="zh-CN" w:bidi="ar-SA"/>
        </w:rPr>
        <w:t>并</w:t>
      </w:r>
      <w:r w:rsidRPr="00D55B24">
        <w:rPr>
          <w:rFonts w:ascii="宋体" w:hAnsi="宋体" w:cstheme="minorBidi"/>
          <w:bCs/>
          <w:kern w:val="2"/>
          <w:szCs w:val="24"/>
          <w:lang w:val="en-US" w:eastAsia="zh-CN" w:bidi="ar-SA"/>
        </w:rPr>
        <w:t>写出书面报告，</w:t>
      </w:r>
      <w:r w:rsidRPr="00D55B24">
        <w:rPr>
          <w:rFonts w:ascii="宋体" w:hAnsi="宋体" w:cstheme="minorBidi" w:hint="eastAsia"/>
          <w:bCs/>
          <w:kern w:val="2"/>
          <w:szCs w:val="24"/>
          <w:lang w:val="en-US" w:eastAsia="zh-CN" w:bidi="ar-SA"/>
        </w:rPr>
        <w:t>如需要，则按照固定资产清理程序审批解决</w:t>
      </w:r>
      <w:r w:rsidRPr="00D55B24">
        <w:rPr>
          <w:rFonts w:ascii="宋体" w:hAnsi="宋体" w:cstheme="minorBidi"/>
          <w:bCs/>
          <w:kern w:val="2"/>
          <w:szCs w:val="24"/>
          <w:lang w:val="en-US" w:eastAsia="zh-CN" w:bidi="ar-SA"/>
        </w:rPr>
        <w:t>。</w:t>
      </w:r>
    </w:p>
    <w:p w:rsidR="0073097A" w:rsidRPr="00D55B24" w:rsidP="0019740E">
      <w:pPr>
        <w:pStyle w:val="Normal0"/>
        <w:numPr>
          <w:ilvl w:val="0"/>
          <w:numId w:val="16"/>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在有关建造的资产达成预定可使用状态之前，发生的与购买或建造固定资产有关的一切直接或间接成本（涉及在购建期间运用专门借款进行购建所发生的借款费用）予以资本化。在建工程在达成预定可使用状态时转入固定资产。</w:t>
      </w:r>
    </w:p>
    <w:p w:rsidR="0073097A" w:rsidRPr="00D55B24" w:rsidP="0019740E">
      <w:pPr>
        <w:pStyle w:val="Normal0"/>
        <w:numPr>
          <w:ilvl w:val="0"/>
          <w:numId w:val="16"/>
        </w:numPr>
        <w:adjustRightInd w:val="0"/>
        <w:snapToGrid w:val="0"/>
        <w:spacing w:beforeLines="0" w:afterLines="0" w:line="600" w:lineRule="auto"/>
        <w:ind w:left="0" w:firstLine="0" w:firstLineChars="0"/>
        <w:rPr>
          <w:rFonts w:ascii="宋体" w:hAnsi="宋体"/>
          <w:bCs/>
          <w:kern w:val="2"/>
          <w:szCs w:val="24"/>
          <w:lang w:val="en-US" w:eastAsia="zh-CN" w:bidi="ar-SA"/>
        </w:rPr>
        <w:sectPr w:rsidSect="00A65E41">
          <w:type w:val="nextPage"/>
          <w:pgSz w:w="11906" w:h="16838"/>
          <w:pgMar w:top="1440" w:right="1800" w:bottom="1440" w:left="1800" w:header="851" w:footer="992" w:gutter="0"/>
          <w:pgNumType w:start="21"/>
          <w:cols w:space="425"/>
          <w:titlePg w:val="0"/>
          <w:docGrid w:type="lines" w:linePitch="312"/>
        </w:sectPr>
      </w:pPr>
    </w:p>
    <w:p w:rsidR="0073097A" w:rsidRPr="00D55B24" w:rsidP="0019740E">
      <w:pPr>
        <w:pStyle w:val="Normal0"/>
        <w:numPr>
          <w:ilvl w:val="0"/>
          <w:numId w:val="0"/>
        </w:numPr>
        <w:adjustRightInd w:val="0"/>
        <w:snapToGrid w:val="0"/>
        <w:spacing w:beforeLines="0" w:afterLines="0" w:line="600" w:lineRule="auto"/>
        <w:ind w:left="102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固定资产应按照资产类别在每年末进行减值测试，并相应计提减值准备。</w:t>
      </w:r>
      <w:r w:rsidRPr="00D55B24">
        <w:rPr>
          <w:rFonts w:ascii="宋体" w:hAnsi="宋体" w:cstheme="minorBidi" w:hint="eastAsia"/>
          <w:bCs/>
          <w:kern w:val="2"/>
          <w:szCs w:val="24"/>
          <w:lang w:val="en-US" w:eastAsia="zh-CN" w:bidi="ar-SA"/>
        </w:rPr>
        <w:t xml:space="preserve">  </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无形</w:t>
      </w:r>
      <w:r w:rsidRPr="00D55B24">
        <w:rPr>
          <w:rFonts w:ascii="宋体" w:hAnsi="宋体" w:cstheme="minorBidi"/>
          <w:kern w:val="2"/>
          <w:szCs w:val="24"/>
          <w:lang w:val="en-US" w:eastAsia="zh-CN" w:bidi="ar-SA"/>
        </w:rPr>
        <w:t>资产</w:t>
      </w:r>
    </w:p>
    <w:p w:rsidR="0073097A" w:rsidRPr="00D55B24" w:rsidP="0019740E">
      <w:pPr>
        <w:pStyle w:val="Normal0"/>
        <w:numPr>
          <w:ilvl w:val="0"/>
          <w:numId w:val="18"/>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无形资产是公司为生产商品、提供劳务或为管理目的而持有的没有实物形态的非货币性长期资产。如：软件、商誉、专利权、商标使用权等。</w:t>
      </w:r>
    </w:p>
    <w:p w:rsidR="0073097A" w:rsidRPr="00D55B24" w:rsidP="0019740E">
      <w:pPr>
        <w:pStyle w:val="Normal0"/>
        <w:numPr>
          <w:ilvl w:val="0"/>
          <w:numId w:val="18"/>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无形资产在取得时按实际成本计量。</w:t>
      </w:r>
    </w:p>
    <w:p w:rsidR="0073097A" w:rsidRPr="00D55B24" w:rsidP="0019740E">
      <w:pPr>
        <w:pStyle w:val="Normal0"/>
        <w:numPr>
          <w:ilvl w:val="0"/>
          <w:numId w:val="18"/>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无形资产</w:t>
      </w:r>
      <w:r w:rsidRPr="00D55B24">
        <w:rPr>
          <w:rFonts w:ascii="宋体" w:hAnsi="宋体" w:cstheme="minorBidi" w:hint="eastAsia"/>
          <w:bCs/>
          <w:kern w:val="2"/>
          <w:szCs w:val="24"/>
          <w:lang w:val="en-US" w:eastAsia="zh-CN" w:bidi="ar-SA"/>
        </w:rPr>
        <w:t>自</w:t>
      </w:r>
      <w:r w:rsidRPr="00D55B24">
        <w:rPr>
          <w:rFonts w:ascii="宋体" w:hAnsi="宋体" w:cstheme="minorBidi"/>
          <w:bCs/>
          <w:kern w:val="2"/>
          <w:szCs w:val="24"/>
          <w:lang w:val="en-US" w:eastAsia="zh-CN" w:bidi="ar-SA"/>
        </w:rPr>
        <w:t>取得当月起</w:t>
      </w:r>
      <w:r w:rsidRPr="00D55B24">
        <w:rPr>
          <w:rFonts w:ascii="宋体" w:hAnsi="宋体" w:cstheme="minorBidi" w:hint="eastAsia"/>
          <w:bCs/>
          <w:kern w:val="2"/>
          <w:szCs w:val="24"/>
          <w:lang w:val="en-US" w:eastAsia="zh-CN" w:bidi="ar-SA"/>
        </w:rPr>
        <w:t>按</w:t>
      </w:r>
      <w:r w:rsidRPr="00D55B24">
        <w:rPr>
          <w:rFonts w:ascii="宋体" w:hAnsi="宋体" w:cstheme="minorBidi" w:hint="eastAsia"/>
          <w:bCs/>
          <w:kern w:val="2"/>
          <w:szCs w:val="24"/>
          <w:lang w:val="en-US" w:eastAsia="zh-CN" w:bidi="ar-SA"/>
        </w:rPr>
        <w:t>5</w:t>
      </w:r>
      <w:r w:rsidRPr="00D55B24">
        <w:rPr>
          <w:rFonts w:ascii="宋体" w:hAnsi="宋体" w:cstheme="minorBidi" w:hint="eastAsia"/>
          <w:bCs/>
          <w:kern w:val="2"/>
          <w:szCs w:val="24"/>
          <w:lang w:val="en-US" w:eastAsia="zh-CN" w:bidi="ar-SA"/>
        </w:rPr>
        <w:t>年摊销</w:t>
      </w:r>
      <w:r w:rsidRPr="00D55B24">
        <w:rPr>
          <w:rFonts w:ascii="宋体" w:hAnsi="宋体" w:cstheme="minorBidi"/>
          <w:bCs/>
          <w:kern w:val="2"/>
          <w:szCs w:val="24"/>
          <w:lang w:val="en-US" w:eastAsia="zh-CN" w:bidi="ar-SA"/>
        </w:rPr>
        <w:t>平均摊销，计入损</w:t>
      </w:r>
      <w:r w:rsidRPr="00D55B24">
        <w:rPr>
          <w:rFonts w:ascii="宋体" w:hAnsi="宋体" w:cstheme="minorBidi" w:hint="eastAsia"/>
          <w:bCs/>
          <w:kern w:val="2"/>
          <w:szCs w:val="24"/>
          <w:lang w:val="en-US" w:eastAsia="zh-CN" w:bidi="ar-SA"/>
        </w:rPr>
        <w:t>益。</w:t>
      </w:r>
    </w:p>
    <w:p w:rsidR="0073097A" w:rsidRPr="00D55B24" w:rsidP="0019740E">
      <w:pPr>
        <w:pStyle w:val="Normal0"/>
        <w:numPr>
          <w:ilvl w:val="0"/>
          <w:numId w:val="18"/>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公司征用土地的使用权费用是为建造商品房的支出应列入商品房成本中，不能作为无形资产。</w:t>
      </w:r>
    </w:p>
    <w:p w:rsidR="0073097A" w:rsidRPr="00D55B24" w:rsidP="0019740E">
      <w:pPr>
        <w:pStyle w:val="Normal0"/>
        <w:numPr>
          <w:ilvl w:val="0"/>
          <w:numId w:val="18"/>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公司出售无形资产应将所取得价款与该项无形资产的账面价值之间的差额计入当期损益。</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负债</w:t>
      </w:r>
    </w:p>
    <w:p w:rsidR="0073097A" w:rsidRPr="00D55B24" w:rsidP="0019740E">
      <w:pPr>
        <w:pStyle w:val="Normal0"/>
        <w:numPr>
          <w:ilvl w:val="0"/>
          <w:numId w:val="19"/>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负债是指公司过去的交易或者事项形成的、预期会导致经济利益流出公司的现时义务。</w:t>
      </w:r>
    </w:p>
    <w:p w:rsidR="0073097A" w:rsidRPr="00D55B24" w:rsidP="0019740E">
      <w:pPr>
        <w:pStyle w:val="Normal0"/>
        <w:numPr>
          <w:ilvl w:val="0"/>
          <w:numId w:val="19"/>
        </w:numPr>
        <w:adjustRightInd w:val="0"/>
        <w:snapToGrid w:val="0"/>
        <w:spacing w:beforeLines="0" w:afterLines="0" w:line="600" w:lineRule="auto"/>
        <w:ind w:left="0" w:firstLine="0" w:firstLineChars="0"/>
        <w:rPr>
          <w:rFonts w:ascii="宋体" w:hAnsi="宋体"/>
          <w:bCs/>
          <w:kern w:val="2"/>
          <w:szCs w:val="24"/>
          <w:lang w:val="en-US" w:eastAsia="zh-CN" w:bidi="ar-SA"/>
        </w:rPr>
        <w:sectPr w:rsidSect="00A65E41">
          <w:type w:val="nextPage"/>
          <w:pgSz w:w="11906" w:h="16838"/>
          <w:pgMar w:top="1440" w:right="1800" w:bottom="1440" w:left="1800" w:header="851" w:footer="992" w:gutter="0"/>
          <w:pgNumType w:start="22"/>
          <w:cols w:space="425"/>
          <w:titlePg w:val="0"/>
          <w:docGrid w:type="lines" w:linePitch="312"/>
        </w:sectPr>
      </w:pPr>
      <w:r w:rsidRPr="00D55B24">
        <w:rPr>
          <w:rFonts w:ascii="宋体" w:hAnsi="宋体" w:cstheme="minorBidi" w:hint="eastAsia"/>
          <w:bCs/>
          <w:kern w:val="2"/>
          <w:szCs w:val="24"/>
          <w:lang w:val="en-US" w:eastAsia="zh-CN" w:bidi="ar-SA"/>
        </w:rPr>
        <w:t>同时满足下列条件时，确认为负债：</w:t>
      </w:r>
    </w:p>
    <w:p w:rsidR="0073097A" w:rsidRPr="003D3891" w:rsidP="0019740E">
      <w:pPr>
        <w:pStyle w:val="ListParagraph"/>
        <w:numPr>
          <w:ilvl w:val="3"/>
          <w:numId w:val="20"/>
        </w:numPr>
        <w:adjustRightInd w:val="0"/>
        <w:snapToGrid w:val="0"/>
        <w:spacing w:before="156" w:after="156" w:line="600" w:lineRule="auto"/>
        <w:ind w:firstLineChars="0"/>
        <w:rPr>
          <w:rFonts w:ascii="宋体" w:hAnsi="宋体" w:cstheme="minorBidi"/>
          <w:bCs/>
          <w:kern w:val="2"/>
          <w:szCs w:val="24"/>
          <w:lang w:val="en-US" w:eastAsia="zh-CN" w:bidi="ar-SA"/>
        </w:rPr>
      </w:pPr>
      <w:r w:rsidRPr="003D3891">
        <w:rPr>
          <w:rFonts w:ascii="宋体" w:hAnsi="宋体" w:cstheme="minorBidi" w:hint="eastAsia"/>
          <w:bCs/>
          <w:kern w:val="2"/>
          <w:szCs w:val="24"/>
          <w:lang w:val="en-US" w:eastAsia="zh-CN" w:bidi="ar-SA"/>
        </w:rPr>
        <w:t>与该义务有关的经济利益很也许流出公司；</w:t>
      </w:r>
    </w:p>
    <w:p w:rsidR="0073097A" w:rsidRPr="003D3891" w:rsidP="0019740E">
      <w:pPr>
        <w:pStyle w:val="ListParagraph"/>
        <w:numPr>
          <w:ilvl w:val="3"/>
          <w:numId w:val="20"/>
        </w:numPr>
        <w:adjustRightInd w:val="0"/>
        <w:snapToGrid w:val="0"/>
        <w:spacing w:before="156" w:after="156" w:line="600" w:lineRule="auto"/>
        <w:ind w:firstLineChars="0"/>
        <w:rPr>
          <w:rFonts w:ascii="宋体" w:hAnsi="宋体" w:cstheme="minorBidi"/>
          <w:bCs/>
          <w:kern w:val="2"/>
          <w:szCs w:val="24"/>
          <w:lang w:val="en-US" w:eastAsia="zh-CN" w:bidi="ar-SA"/>
        </w:rPr>
      </w:pPr>
      <w:r w:rsidRPr="003D3891">
        <w:rPr>
          <w:rFonts w:ascii="宋体" w:hAnsi="宋体" w:cstheme="minorBidi" w:hint="eastAsia"/>
          <w:bCs/>
          <w:kern w:val="2"/>
          <w:szCs w:val="24"/>
          <w:lang w:val="en-US" w:eastAsia="zh-CN" w:bidi="ar-SA"/>
        </w:rPr>
        <w:t>未来流出的经济利益的金额可以可靠地计量。</w:t>
      </w:r>
    </w:p>
    <w:p w:rsidR="0073097A" w:rsidRPr="00D55B24" w:rsidP="00D55B24">
      <w:pPr>
        <w:pStyle w:val="Normal0"/>
        <w:adjustRightInd w:val="0"/>
        <w:snapToGrid w:val="0"/>
        <w:spacing w:before="156" w:after="156" w:line="600" w:lineRule="auto"/>
        <w:ind w:firstLine="480"/>
        <w:rPr>
          <w:rFonts w:ascii="宋体" w:hAnsi="宋体"/>
          <w:color w:val="000000"/>
          <w:kern w:val="2"/>
          <w:szCs w:val="24"/>
          <w:shd w:val="clear" w:color="auto" w:fill="FFFFFF"/>
          <w:lang w:val="en-US" w:eastAsia="zh-CN" w:bidi="ar-SA"/>
        </w:rPr>
      </w:pPr>
      <w:r w:rsidRPr="00D55B24">
        <w:rPr>
          <w:rFonts w:ascii="宋体" w:hAnsi="宋体" w:cstheme="minorBidi" w:hint="eastAsia"/>
          <w:bCs/>
          <w:kern w:val="2"/>
          <w:szCs w:val="24"/>
          <w:lang w:val="en-US" w:eastAsia="zh-CN" w:bidi="ar-SA"/>
        </w:rPr>
        <w:t>同时符合负债定义和确认条件的项目才可以在资产负债表列示。</w:t>
      </w:r>
      <w:r w:rsidRPr="00D55B24">
        <w:rPr>
          <w:rFonts w:ascii="宋体" w:hAnsi="宋体" w:cstheme="minorBidi"/>
          <w:bCs/>
          <w:kern w:val="2"/>
          <w:szCs w:val="24"/>
          <w:lang w:val="en-US" w:eastAsia="zh-CN" w:bidi="ar-SA"/>
        </w:rPr>
        <w:t>负债按流动性分为流动负债和长期负债。</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流动</w:t>
      </w:r>
      <w:r w:rsidRPr="00D55B24">
        <w:rPr>
          <w:rFonts w:ascii="宋体" w:hAnsi="宋体" w:cstheme="minorBidi"/>
          <w:kern w:val="2"/>
          <w:szCs w:val="24"/>
          <w:lang w:val="en-US" w:eastAsia="zh-CN" w:bidi="ar-SA"/>
        </w:rPr>
        <w:t>负债</w:t>
      </w:r>
    </w:p>
    <w:p w:rsidR="0073097A" w:rsidRPr="00D55B24" w:rsidP="0019740E">
      <w:pPr>
        <w:pStyle w:val="Normal0"/>
        <w:numPr>
          <w:ilvl w:val="0"/>
          <w:numId w:val="21"/>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流动负债是指将在</w:t>
      </w:r>
      <w:r w:rsidRPr="00D55B24">
        <w:rPr>
          <w:rFonts w:ascii="宋体" w:hAnsi="宋体" w:cstheme="minorBidi"/>
          <w:bCs/>
          <w:kern w:val="2"/>
          <w:szCs w:val="24"/>
          <w:lang w:val="en-US" w:eastAsia="zh-CN" w:bidi="ar-SA"/>
        </w:rPr>
        <w:t>1</w:t>
      </w:r>
      <w:r w:rsidRPr="00D55B24">
        <w:rPr>
          <w:rFonts w:ascii="宋体" w:hAnsi="宋体" w:cstheme="minorBidi"/>
          <w:bCs/>
          <w:kern w:val="2"/>
          <w:szCs w:val="24"/>
          <w:lang w:val="en-US" w:eastAsia="zh-CN" w:bidi="ar-SA"/>
        </w:rPr>
        <w:t>年</w:t>
      </w:r>
      <w:r w:rsidRPr="00D55B24">
        <w:rPr>
          <w:rFonts w:ascii="宋体" w:hAnsi="宋体" w:cstheme="minorBidi"/>
          <w:bCs/>
          <w:kern w:val="2"/>
          <w:szCs w:val="24"/>
          <w:lang w:val="en-US" w:eastAsia="zh-CN" w:bidi="ar-SA"/>
        </w:rPr>
        <w:t>(</w:t>
      </w:r>
      <w:r w:rsidRPr="00D55B24">
        <w:rPr>
          <w:rFonts w:ascii="宋体" w:hAnsi="宋体" w:cstheme="minorBidi"/>
          <w:bCs/>
          <w:kern w:val="2"/>
          <w:szCs w:val="24"/>
          <w:lang w:val="en-US" w:eastAsia="zh-CN" w:bidi="ar-SA"/>
        </w:rPr>
        <w:t>含</w:t>
      </w:r>
      <w:r w:rsidRPr="00D55B24">
        <w:rPr>
          <w:rFonts w:ascii="宋体" w:hAnsi="宋体" w:cstheme="minorBidi"/>
          <w:bCs/>
          <w:kern w:val="2"/>
          <w:szCs w:val="24"/>
          <w:lang w:val="en-US" w:eastAsia="zh-CN" w:bidi="ar-SA"/>
        </w:rPr>
        <w:t>1</w:t>
      </w:r>
      <w:r w:rsidRPr="00D55B24">
        <w:rPr>
          <w:rFonts w:ascii="宋体" w:hAnsi="宋体" w:cstheme="minorBidi"/>
          <w:bCs/>
          <w:kern w:val="2"/>
          <w:szCs w:val="24"/>
          <w:lang w:val="en-US" w:eastAsia="zh-CN" w:bidi="ar-SA"/>
        </w:rPr>
        <w:t>年</w:t>
      </w:r>
      <w:r w:rsidRPr="00D55B24">
        <w:rPr>
          <w:rFonts w:ascii="宋体" w:hAnsi="宋体" w:cstheme="minorBidi"/>
          <w:bCs/>
          <w:kern w:val="2"/>
          <w:szCs w:val="24"/>
          <w:lang w:val="en-US" w:eastAsia="zh-CN" w:bidi="ar-SA"/>
        </w:rPr>
        <w:t>)</w:t>
      </w:r>
      <w:r w:rsidRPr="00D55B24">
        <w:rPr>
          <w:rFonts w:ascii="宋体" w:hAnsi="宋体" w:cstheme="minorBidi"/>
          <w:bCs/>
          <w:kern w:val="2"/>
          <w:szCs w:val="24"/>
          <w:lang w:val="en-US" w:eastAsia="zh-CN" w:bidi="ar-SA"/>
        </w:rPr>
        <w:t>或者超过</w:t>
      </w:r>
      <w:r w:rsidRPr="00D55B24">
        <w:rPr>
          <w:rFonts w:ascii="宋体" w:hAnsi="宋体" w:cstheme="minorBidi"/>
          <w:bCs/>
          <w:kern w:val="2"/>
          <w:szCs w:val="24"/>
          <w:lang w:val="en-US" w:eastAsia="zh-CN" w:bidi="ar-SA"/>
        </w:rPr>
        <w:t>1</w:t>
      </w:r>
      <w:r w:rsidRPr="00D55B24">
        <w:rPr>
          <w:rFonts w:ascii="宋体" w:hAnsi="宋体" w:cstheme="minorBidi"/>
          <w:bCs/>
          <w:kern w:val="2"/>
          <w:szCs w:val="24"/>
          <w:lang w:val="en-US" w:eastAsia="zh-CN" w:bidi="ar-SA"/>
        </w:rPr>
        <w:t>年的一个营业周期内偿还的债务，涉及短期借款、应付票据、应付账款、预收账款、应付工资、应付股利、应交税金、其他暂收应付款项、预提费用和一年内到期的长期借款等。</w:t>
      </w:r>
      <w:r w:rsidRPr="00D55B24">
        <w:rPr>
          <w:rFonts w:ascii="宋体" w:hAnsi="宋体" w:cstheme="minorBidi" w:hint="eastAsia"/>
          <w:bCs/>
          <w:kern w:val="2"/>
          <w:szCs w:val="24"/>
          <w:lang w:val="en-US" w:eastAsia="zh-CN" w:bidi="ar-SA"/>
        </w:rPr>
        <w:t xml:space="preserve"> </w:t>
      </w:r>
    </w:p>
    <w:p w:rsidR="0073097A" w:rsidRPr="00D55B24" w:rsidP="0019740E">
      <w:pPr>
        <w:pStyle w:val="Normal0"/>
        <w:numPr>
          <w:ilvl w:val="0"/>
          <w:numId w:val="21"/>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公司各项流动负债应按实际发生额入</w:t>
      </w:r>
      <w:r w:rsidRPr="00D55B24">
        <w:rPr>
          <w:rFonts w:ascii="宋体" w:hAnsi="宋体" w:cstheme="minorBidi" w:hint="eastAsia"/>
          <w:bCs/>
          <w:kern w:val="2"/>
          <w:szCs w:val="24"/>
          <w:lang w:val="en-US" w:eastAsia="zh-CN" w:bidi="ar-SA"/>
        </w:rPr>
        <w:t>账</w:t>
      </w:r>
      <w:r w:rsidRPr="00D55B24">
        <w:rPr>
          <w:rFonts w:ascii="宋体" w:hAnsi="宋体" w:cstheme="minorBidi"/>
          <w:bCs/>
          <w:kern w:val="2"/>
          <w:szCs w:val="24"/>
          <w:lang w:val="en-US" w:eastAsia="zh-CN" w:bidi="ar-SA"/>
        </w:rPr>
        <w:t>。</w:t>
      </w:r>
    </w:p>
    <w:p w:rsidR="0073097A" w:rsidRPr="00D55B24" w:rsidP="0019740E">
      <w:pPr>
        <w:pStyle w:val="Normal0"/>
        <w:numPr>
          <w:ilvl w:val="0"/>
          <w:numId w:val="21"/>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公司以钞票或非钞票资产清偿债务，支付的钞票或非钞票资产小于或大于应付债务账面价值差额的计入</w:t>
      </w:r>
      <w:r w:rsidRPr="00D55B24">
        <w:rPr>
          <w:rFonts w:ascii="宋体" w:hAnsi="宋体" w:cstheme="minorBidi" w:hint="eastAsia"/>
          <w:bCs/>
          <w:kern w:val="2"/>
          <w:szCs w:val="24"/>
          <w:lang w:val="en-US" w:eastAsia="zh-CN" w:bidi="ar-SA"/>
        </w:rPr>
        <w:t>当期损益。转让的非钞票资产公允价值与其账面价值之间的差额，计入当期损益</w:t>
      </w:r>
      <w:r w:rsidRPr="00D55B24">
        <w:rPr>
          <w:rFonts w:ascii="宋体" w:hAnsi="宋体" w:cstheme="minorBidi"/>
          <w:bCs/>
          <w:kern w:val="2"/>
          <w:szCs w:val="24"/>
          <w:lang w:val="en-US" w:eastAsia="zh-CN" w:bidi="ar-SA"/>
        </w:rPr>
        <w:t>。</w:t>
      </w:r>
    </w:p>
    <w:p w:rsidR="0073097A" w:rsidRPr="00D55B24" w:rsidP="0019740E">
      <w:pPr>
        <w:pStyle w:val="Normal0"/>
        <w:numPr>
          <w:ilvl w:val="0"/>
          <w:numId w:val="21"/>
        </w:numPr>
        <w:adjustRightInd w:val="0"/>
        <w:snapToGrid w:val="0"/>
        <w:spacing w:beforeLines="0" w:afterLines="0" w:line="600" w:lineRule="auto"/>
        <w:ind w:left="0" w:firstLine="0" w:firstLineChars="0"/>
        <w:rPr>
          <w:rFonts w:ascii="宋体" w:hAnsi="宋体"/>
          <w:bCs/>
          <w:kern w:val="2"/>
          <w:szCs w:val="24"/>
          <w:lang w:val="en-US" w:eastAsia="zh-CN" w:bidi="ar-SA"/>
        </w:rPr>
        <w:sectPr w:rsidSect="00A65E41">
          <w:type w:val="nextPage"/>
          <w:pgSz w:w="11906" w:h="16838"/>
          <w:pgMar w:top="1440" w:right="1800" w:bottom="1440" w:left="1800" w:header="851" w:footer="992" w:gutter="0"/>
          <w:pgNumType w:start="23"/>
          <w:cols w:space="425"/>
          <w:titlePg w:val="0"/>
          <w:docGrid w:type="lines" w:linePitch="312"/>
        </w:sectPr>
      </w:pPr>
      <w:r w:rsidRPr="00D55B24">
        <w:rPr>
          <w:rFonts w:ascii="宋体" w:hAnsi="宋体" w:cstheme="minorBidi"/>
          <w:bCs/>
          <w:kern w:val="2"/>
          <w:szCs w:val="24"/>
          <w:lang w:val="en-US" w:eastAsia="zh-CN" w:bidi="ar-SA"/>
        </w:rPr>
        <w:t>债务转为股本的</w:t>
      </w:r>
    </w:p>
    <w:p w:rsidR="0073097A" w:rsidRPr="00D55B24" w:rsidP="0019740E">
      <w:pPr>
        <w:pStyle w:val="Normal0"/>
        <w:numPr>
          <w:ilvl w:val="0"/>
          <w:numId w:val="0"/>
        </w:numPr>
        <w:adjustRightInd w:val="0"/>
        <w:snapToGrid w:val="0"/>
        <w:spacing w:beforeLines="0" w:afterLines="0" w:line="600" w:lineRule="auto"/>
        <w:ind w:left="102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应当将债权人放弃债权而享有的股份面值总额确认为实收资本，股份的公允价值总额与实收资本之间的差额确认为资本公积</w:t>
      </w:r>
      <w:r w:rsidRPr="00D55B24">
        <w:rPr>
          <w:rFonts w:ascii="宋体" w:hAnsi="宋体" w:cstheme="minorBidi"/>
          <w:bCs/>
          <w:kern w:val="2"/>
          <w:szCs w:val="24"/>
          <w:lang w:val="en-US" w:eastAsia="zh-CN" w:bidi="ar-SA"/>
        </w:rPr>
        <w:t>。</w:t>
      </w:r>
      <w:r w:rsidRPr="00D55B24">
        <w:rPr>
          <w:rFonts w:ascii="宋体" w:hAnsi="宋体" w:cstheme="minorBidi" w:hint="eastAsia"/>
          <w:bCs/>
          <w:kern w:val="2"/>
          <w:szCs w:val="24"/>
          <w:lang w:val="en-US" w:eastAsia="zh-CN" w:bidi="ar-SA"/>
        </w:rPr>
        <w:t>重组债务的账面价值与股份的公允价值总额之间的差额，计入当期损益。</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长期</w:t>
      </w:r>
      <w:r w:rsidRPr="00D55B24">
        <w:rPr>
          <w:rFonts w:ascii="宋体" w:hAnsi="宋体" w:cstheme="minorBidi"/>
          <w:kern w:val="2"/>
          <w:szCs w:val="24"/>
          <w:lang w:val="en-US" w:eastAsia="zh-CN" w:bidi="ar-SA"/>
        </w:rPr>
        <w:t>负债</w:t>
      </w:r>
    </w:p>
    <w:p w:rsidR="0073097A" w:rsidRPr="00D55B24" w:rsidP="0019740E">
      <w:pPr>
        <w:pStyle w:val="Normal0"/>
        <w:numPr>
          <w:ilvl w:val="0"/>
          <w:numId w:val="22"/>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长期负债是指偿还期在</w:t>
      </w:r>
      <w:r w:rsidRPr="00D55B24">
        <w:rPr>
          <w:rFonts w:ascii="宋体" w:hAnsi="宋体" w:cstheme="minorBidi"/>
          <w:bCs/>
          <w:kern w:val="2"/>
          <w:szCs w:val="24"/>
          <w:lang w:val="en-US" w:eastAsia="zh-CN" w:bidi="ar-SA"/>
        </w:rPr>
        <w:t>1</w:t>
      </w:r>
      <w:r w:rsidRPr="00D55B24">
        <w:rPr>
          <w:rFonts w:ascii="宋体" w:hAnsi="宋体" w:cstheme="minorBidi"/>
          <w:bCs/>
          <w:kern w:val="2"/>
          <w:szCs w:val="24"/>
          <w:lang w:val="en-US" w:eastAsia="zh-CN" w:bidi="ar-SA"/>
        </w:rPr>
        <w:t>年或者超过</w:t>
      </w:r>
      <w:r w:rsidRPr="00D55B24">
        <w:rPr>
          <w:rFonts w:ascii="宋体" w:hAnsi="宋体" w:cstheme="minorBidi"/>
          <w:bCs/>
          <w:kern w:val="2"/>
          <w:szCs w:val="24"/>
          <w:lang w:val="en-US" w:eastAsia="zh-CN" w:bidi="ar-SA"/>
        </w:rPr>
        <w:t>1</w:t>
      </w:r>
      <w:r w:rsidRPr="00D55B24">
        <w:rPr>
          <w:rFonts w:ascii="宋体" w:hAnsi="宋体" w:cstheme="minorBidi"/>
          <w:bCs/>
          <w:kern w:val="2"/>
          <w:szCs w:val="24"/>
          <w:lang w:val="en-US" w:eastAsia="zh-CN" w:bidi="ar-SA"/>
        </w:rPr>
        <w:t>年的一个营业周期以上的负债，涉及长期借款、应付债券、长期应付款等。</w:t>
      </w:r>
      <w:r w:rsidRPr="00D55B24">
        <w:rPr>
          <w:rFonts w:ascii="宋体" w:hAnsi="宋体" w:cstheme="minorBidi"/>
          <w:bCs/>
          <w:kern w:val="2"/>
          <w:szCs w:val="24"/>
          <w:lang w:val="en-US" w:eastAsia="zh-CN" w:bidi="ar-SA"/>
        </w:rPr>
        <w:t> </w:t>
      </w:r>
    </w:p>
    <w:p w:rsidR="0073097A" w:rsidRPr="00D55B24" w:rsidP="0019740E">
      <w:pPr>
        <w:pStyle w:val="Normal0"/>
        <w:numPr>
          <w:ilvl w:val="0"/>
          <w:numId w:val="22"/>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各项长期负债应分明细进行核算将于一年内到期偿还的长期负债，在资产负债表中应作为一项流动负债，单独反映。</w:t>
      </w:r>
    </w:p>
    <w:p w:rsidR="0073097A" w:rsidRPr="00D55B24" w:rsidP="0019740E">
      <w:pPr>
        <w:pStyle w:val="Normal0"/>
        <w:numPr>
          <w:ilvl w:val="0"/>
          <w:numId w:val="22"/>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长期负债应当按照负债本金和债券面值、拟定的利率按期计提利息，并按用途分别计入成本或当期财务费用。</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借款费用</w:t>
      </w:r>
    </w:p>
    <w:p w:rsidR="0073097A" w:rsidRPr="00D55B24" w:rsidP="0019740E">
      <w:pPr>
        <w:pStyle w:val="Normal0"/>
        <w:numPr>
          <w:ilvl w:val="0"/>
          <w:numId w:val="23"/>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借款费用，是指公司因借款而发生的利息及其他相关成本。借款费用涉及借款利息、折价或者溢价的摊销、辅助费用以及因外币借款而发生的汇兑差额等。</w:t>
      </w:r>
    </w:p>
    <w:p w:rsidR="0073097A" w:rsidRPr="00D55B24" w:rsidP="0019740E">
      <w:pPr>
        <w:pStyle w:val="Normal0"/>
        <w:numPr>
          <w:ilvl w:val="0"/>
          <w:numId w:val="23"/>
        </w:numPr>
        <w:adjustRightInd w:val="0"/>
        <w:snapToGrid w:val="0"/>
        <w:spacing w:beforeLines="0" w:afterLines="0" w:line="600" w:lineRule="auto"/>
        <w:ind w:left="0" w:firstLine="0" w:firstLineChars="0"/>
        <w:rPr>
          <w:rFonts w:ascii="宋体" w:hAnsi="宋体"/>
          <w:bCs/>
          <w:kern w:val="2"/>
          <w:szCs w:val="24"/>
          <w:lang w:val="en-US" w:eastAsia="zh-CN" w:bidi="ar-SA"/>
        </w:rPr>
        <w:sectPr w:rsidSect="00A65E41">
          <w:type w:val="nextPage"/>
          <w:pgSz w:w="11906" w:h="16838"/>
          <w:pgMar w:top="1440" w:right="1800" w:bottom="1440" w:left="1800" w:header="851" w:footer="992" w:gutter="0"/>
          <w:pgNumType w:start="24"/>
          <w:cols w:space="425"/>
          <w:titlePg w:val="0"/>
          <w:docGrid w:type="lines" w:linePitch="312"/>
        </w:sectPr>
      </w:pPr>
    </w:p>
    <w:p w:rsidR="0073097A" w:rsidRPr="00D55B24" w:rsidP="0019740E">
      <w:pPr>
        <w:pStyle w:val="Normal0"/>
        <w:numPr>
          <w:ilvl w:val="0"/>
          <w:numId w:val="0"/>
        </w:numPr>
        <w:adjustRightInd w:val="0"/>
        <w:snapToGrid w:val="0"/>
        <w:spacing w:beforeLines="0" w:afterLines="0" w:line="600" w:lineRule="auto"/>
        <w:ind w:left="102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公司所开发项目的开发贷款所产生的借款费用在项目交付前应予以资本化。交付后所产生的借款费用确认为费用，计入当期损益。</w:t>
      </w:r>
    </w:p>
    <w:p w:rsidR="0073097A" w:rsidRPr="00D55B24" w:rsidP="0019740E">
      <w:pPr>
        <w:pStyle w:val="Normal0"/>
        <w:numPr>
          <w:ilvl w:val="0"/>
          <w:numId w:val="23"/>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项目假如分期交付，交付的部分按面积分摊的借款费用停止资本化，已经交付部分的借款费用确认为费用，计入当期损益。未交付部分分摊的借款费用继续资本化，直至项目所有交付。</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所有者权益为公司投资者所享有的经济利益，涉及实收资本、资本公积、盈余公积和未分派利润。</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实收</w:t>
      </w:r>
      <w:r w:rsidRPr="00D55B24">
        <w:rPr>
          <w:rFonts w:ascii="宋体" w:hAnsi="宋体" w:cstheme="minorBidi"/>
          <w:kern w:val="2"/>
          <w:szCs w:val="24"/>
          <w:lang w:val="en-US" w:eastAsia="zh-CN" w:bidi="ar-SA"/>
        </w:rPr>
        <w:t>资本是按照公司章程或协议、协议的规定实际投入公司的资本。</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公司实收资本在</w:t>
      </w:r>
      <w:r w:rsidRPr="00D55B24">
        <w:rPr>
          <w:rFonts w:ascii="宋体" w:hAnsi="宋体" w:cstheme="minorBidi"/>
          <w:kern w:val="2"/>
          <w:szCs w:val="24"/>
          <w:lang w:val="en-US" w:eastAsia="zh-CN" w:bidi="ar-SA"/>
        </w:rPr>
        <w:t>下列情况</w:t>
      </w:r>
      <w:r w:rsidRPr="00D55B24">
        <w:rPr>
          <w:rFonts w:ascii="宋体" w:hAnsi="宋体" w:cstheme="minorBidi" w:hint="eastAsia"/>
          <w:kern w:val="2"/>
          <w:szCs w:val="24"/>
          <w:lang w:val="en-US" w:eastAsia="zh-CN" w:bidi="ar-SA"/>
        </w:rPr>
        <w:t>下可以</w:t>
      </w:r>
      <w:r w:rsidRPr="00D55B24">
        <w:rPr>
          <w:rFonts w:ascii="宋体" w:hAnsi="宋体" w:cstheme="minorBidi"/>
          <w:kern w:val="2"/>
          <w:szCs w:val="24"/>
          <w:lang w:val="en-US" w:eastAsia="zh-CN" w:bidi="ar-SA"/>
        </w:rPr>
        <w:t>变动</w:t>
      </w:r>
      <w:r w:rsidRPr="00D55B24">
        <w:rPr>
          <w:rFonts w:ascii="宋体" w:hAnsi="宋体" w:cstheme="minorBidi" w:hint="eastAsia"/>
          <w:kern w:val="2"/>
          <w:szCs w:val="24"/>
          <w:lang w:val="en-US" w:eastAsia="zh-CN" w:bidi="ar-SA"/>
        </w:rPr>
        <w:t>：</w:t>
      </w:r>
    </w:p>
    <w:p w:rsidR="0073097A" w:rsidRPr="00D55B24" w:rsidP="0019740E">
      <w:pPr>
        <w:pStyle w:val="Normal0"/>
        <w:numPr>
          <w:ilvl w:val="1"/>
          <w:numId w:val="24"/>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符合增资条件</w:t>
      </w:r>
      <w:r w:rsidRPr="00D55B24">
        <w:rPr>
          <w:rFonts w:ascii="宋体" w:hAnsi="宋体" w:cstheme="minorBidi" w:hint="eastAsia"/>
          <w:bCs/>
          <w:kern w:val="2"/>
          <w:szCs w:val="24"/>
          <w:lang w:val="en-US" w:eastAsia="zh-CN" w:bidi="ar-SA"/>
        </w:rPr>
        <w:t>并</w:t>
      </w:r>
      <w:r w:rsidRPr="00D55B24">
        <w:rPr>
          <w:rFonts w:ascii="宋体" w:hAnsi="宋体" w:cstheme="minorBidi"/>
          <w:bCs/>
          <w:kern w:val="2"/>
          <w:szCs w:val="24"/>
          <w:lang w:val="en-US" w:eastAsia="zh-CN" w:bidi="ar-SA"/>
        </w:rPr>
        <w:t>经有关部门批准增资的，在实际取得投资者的出资时登记入账</w:t>
      </w:r>
      <w:r w:rsidRPr="00D55B24">
        <w:rPr>
          <w:rFonts w:ascii="宋体" w:hAnsi="宋体" w:cstheme="minorBidi" w:hint="eastAsia"/>
          <w:bCs/>
          <w:kern w:val="2"/>
          <w:szCs w:val="24"/>
          <w:lang w:val="en-US" w:eastAsia="zh-CN" w:bidi="ar-SA"/>
        </w:rPr>
        <w:t>；</w:t>
      </w:r>
    </w:p>
    <w:p w:rsidR="0073097A" w:rsidRPr="00D55B24" w:rsidP="0019740E">
      <w:pPr>
        <w:pStyle w:val="Normal0"/>
        <w:numPr>
          <w:ilvl w:val="1"/>
          <w:numId w:val="24"/>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公司按法定程序报经批准减少注册资本的，在实际发还投资时登记入账</w:t>
      </w:r>
      <w:r w:rsidRPr="00D55B24">
        <w:rPr>
          <w:rFonts w:ascii="宋体" w:hAnsi="宋体" w:cstheme="minorBidi" w:hint="eastAsia"/>
          <w:bCs/>
          <w:kern w:val="2"/>
          <w:szCs w:val="24"/>
          <w:lang w:val="en-US" w:eastAsia="zh-CN" w:bidi="ar-SA"/>
        </w:rPr>
        <w:t>；</w:t>
      </w:r>
      <w:r w:rsidRPr="00D55B24">
        <w:rPr>
          <w:rFonts w:ascii="宋体" w:hAnsi="宋体" w:cstheme="minorBidi"/>
          <w:bCs/>
          <w:kern w:val="2"/>
          <w:szCs w:val="24"/>
          <w:lang w:val="en-US" w:eastAsia="zh-CN" w:bidi="ar-SA"/>
        </w:rPr>
        <w:t>采用收购本公司股票方式减资的，在实际购入本公司股票时登记入账</w:t>
      </w:r>
      <w:r w:rsidRPr="00D55B24">
        <w:rPr>
          <w:rFonts w:ascii="宋体" w:hAnsi="宋体" w:cstheme="minorBidi" w:hint="eastAsia"/>
          <w:bCs/>
          <w:kern w:val="2"/>
          <w:szCs w:val="24"/>
          <w:lang w:val="en-US" w:eastAsia="zh-CN" w:bidi="ar-SA"/>
        </w:rPr>
        <w:t>；</w:t>
      </w:r>
    </w:p>
    <w:p w:rsidR="0073097A" w:rsidRPr="00D55B24" w:rsidP="0019740E">
      <w:pPr>
        <w:pStyle w:val="Normal0"/>
        <w:numPr>
          <w:ilvl w:val="1"/>
          <w:numId w:val="24"/>
        </w:numPr>
        <w:adjustRightInd w:val="0"/>
        <w:snapToGrid w:val="0"/>
        <w:spacing w:beforeLines="0" w:afterLines="0" w:line="600" w:lineRule="auto"/>
        <w:ind w:left="0" w:firstLine="0" w:firstLineChars="0"/>
        <w:rPr>
          <w:rFonts w:ascii="宋体" w:hAnsi="宋体"/>
          <w:bCs/>
          <w:kern w:val="2"/>
          <w:szCs w:val="24"/>
          <w:lang w:val="en-US" w:eastAsia="zh-CN" w:bidi="ar-SA"/>
        </w:rPr>
        <w:sectPr w:rsidSect="00A65E41">
          <w:type w:val="nextPage"/>
          <w:pgSz w:w="11906" w:h="16838"/>
          <w:pgMar w:top="1440" w:right="1800" w:bottom="1440" w:left="1800" w:header="851" w:footer="992" w:gutter="0"/>
          <w:pgNumType w:start="25"/>
          <w:cols w:space="425"/>
          <w:titlePg w:val="0"/>
          <w:docGrid w:type="lines" w:linePitch="312"/>
        </w:sectPr>
      </w:pPr>
      <w:r w:rsidRPr="00D55B24">
        <w:rPr>
          <w:rFonts w:ascii="宋体" w:hAnsi="宋体" w:cstheme="minorBidi"/>
          <w:bCs/>
          <w:kern w:val="2"/>
          <w:szCs w:val="24"/>
          <w:lang w:val="en-US" w:eastAsia="zh-CN" w:bidi="ar-SA"/>
        </w:rPr>
        <w:t>公司应当将因减资而注销股份、发还股款以及因减资需更新股票的变动</w:t>
      </w:r>
    </w:p>
    <w:p w:rsidR="0073097A" w:rsidRPr="00D55B24" w:rsidP="0019740E">
      <w:pPr>
        <w:pStyle w:val="Normal0"/>
        <w:numPr>
          <w:ilvl w:val="0"/>
          <w:numId w:val="0"/>
        </w:numPr>
        <w:adjustRightInd w:val="0"/>
        <w:snapToGrid w:val="0"/>
        <w:spacing w:beforeLines="0" w:afterLines="0" w:line="600" w:lineRule="auto"/>
        <w:ind w:left="144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情况，在股本账户的明细账及有关备查簿中具体记录</w:t>
      </w:r>
      <w:r w:rsidRPr="00D55B24">
        <w:rPr>
          <w:rFonts w:ascii="宋体" w:hAnsi="宋体" w:cstheme="minorBidi" w:hint="eastAsia"/>
          <w:bCs/>
          <w:kern w:val="2"/>
          <w:szCs w:val="24"/>
          <w:lang w:val="en-US" w:eastAsia="zh-CN" w:bidi="ar-SA"/>
        </w:rPr>
        <w:t>；</w:t>
      </w:r>
    </w:p>
    <w:p w:rsidR="0073097A" w:rsidRPr="00D55B24" w:rsidP="0019740E">
      <w:pPr>
        <w:pStyle w:val="Normal0"/>
        <w:numPr>
          <w:ilvl w:val="1"/>
          <w:numId w:val="24"/>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投资者按规定转让其出资的，公司应当于有关的转让手续办理完毕时将出让方所转让的出资额在资本</w:t>
      </w:r>
      <w:r w:rsidRPr="00D55B24">
        <w:rPr>
          <w:rFonts w:ascii="宋体" w:hAnsi="宋体" w:cstheme="minorBidi"/>
          <w:bCs/>
          <w:kern w:val="2"/>
          <w:szCs w:val="24"/>
          <w:lang w:val="en-US" w:eastAsia="zh-CN" w:bidi="ar-SA"/>
        </w:rPr>
        <w:t>(</w:t>
      </w:r>
      <w:r w:rsidRPr="00D55B24">
        <w:rPr>
          <w:rFonts w:ascii="宋体" w:hAnsi="宋体" w:cstheme="minorBidi"/>
          <w:bCs/>
          <w:kern w:val="2"/>
          <w:szCs w:val="24"/>
          <w:lang w:val="en-US" w:eastAsia="zh-CN" w:bidi="ar-SA"/>
        </w:rPr>
        <w:t>或股本</w:t>
      </w:r>
      <w:r w:rsidRPr="00D55B24">
        <w:rPr>
          <w:rFonts w:ascii="宋体" w:hAnsi="宋体" w:cstheme="minorBidi"/>
          <w:bCs/>
          <w:kern w:val="2"/>
          <w:szCs w:val="24"/>
          <w:lang w:val="en-US" w:eastAsia="zh-CN" w:bidi="ar-SA"/>
        </w:rPr>
        <w:t>)</w:t>
      </w:r>
      <w:r w:rsidRPr="00D55B24">
        <w:rPr>
          <w:rFonts w:ascii="宋体" w:hAnsi="宋体" w:cstheme="minorBidi"/>
          <w:bCs/>
          <w:kern w:val="2"/>
          <w:szCs w:val="24"/>
          <w:lang w:val="en-US" w:eastAsia="zh-CN" w:bidi="ar-SA"/>
        </w:rPr>
        <w:t>账户的有关明细账户及各备查登记簿中转为受让方</w:t>
      </w:r>
      <w:r w:rsidRPr="00D55B24">
        <w:rPr>
          <w:rFonts w:ascii="宋体" w:hAnsi="宋体" w:cstheme="minorBidi" w:hint="eastAsia"/>
          <w:bCs/>
          <w:kern w:val="2"/>
          <w:szCs w:val="24"/>
          <w:lang w:val="en-US" w:eastAsia="zh-CN" w:bidi="ar-SA"/>
        </w:rPr>
        <w:t>。</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资本</w:t>
      </w:r>
      <w:r w:rsidRPr="00D55B24">
        <w:rPr>
          <w:rFonts w:ascii="宋体" w:hAnsi="宋体" w:cstheme="minorBidi"/>
          <w:kern w:val="2"/>
          <w:szCs w:val="24"/>
          <w:lang w:val="en-US" w:eastAsia="zh-CN" w:bidi="ar-SA"/>
        </w:rPr>
        <w:t>公积涉及资本</w:t>
      </w:r>
      <w:r w:rsidRPr="00D55B24">
        <w:rPr>
          <w:rFonts w:ascii="宋体" w:hAnsi="宋体" w:cstheme="minorBidi"/>
          <w:kern w:val="2"/>
          <w:szCs w:val="24"/>
          <w:lang w:val="en-US" w:eastAsia="zh-CN" w:bidi="ar-SA"/>
        </w:rPr>
        <w:t>(</w:t>
      </w:r>
      <w:r w:rsidRPr="00D55B24">
        <w:rPr>
          <w:rFonts w:ascii="宋体" w:hAnsi="宋体" w:cstheme="minorBidi"/>
          <w:kern w:val="2"/>
          <w:szCs w:val="24"/>
          <w:lang w:val="en-US" w:eastAsia="zh-CN" w:bidi="ar-SA"/>
        </w:rPr>
        <w:t>股本</w:t>
      </w:r>
      <w:r w:rsidRPr="00D55B24">
        <w:rPr>
          <w:rFonts w:ascii="宋体" w:hAnsi="宋体" w:cstheme="minorBidi"/>
          <w:kern w:val="2"/>
          <w:szCs w:val="24"/>
          <w:lang w:val="en-US" w:eastAsia="zh-CN" w:bidi="ar-SA"/>
        </w:rPr>
        <w:t>)</w:t>
      </w:r>
      <w:r w:rsidRPr="00D55B24">
        <w:rPr>
          <w:rFonts w:ascii="宋体" w:hAnsi="宋体" w:cstheme="minorBidi"/>
          <w:kern w:val="2"/>
          <w:szCs w:val="24"/>
          <w:lang w:val="en-US" w:eastAsia="zh-CN" w:bidi="ar-SA"/>
        </w:rPr>
        <w:t>溢价、</w:t>
      </w:r>
      <w:r w:rsidRPr="00D55B24">
        <w:rPr>
          <w:rFonts w:ascii="宋体" w:hAnsi="宋体" w:cstheme="minorBidi" w:hint="eastAsia"/>
          <w:kern w:val="2"/>
          <w:szCs w:val="24"/>
          <w:lang w:val="en-US" w:eastAsia="zh-CN" w:bidi="ar-SA"/>
        </w:rPr>
        <w:t>其他资本公积</w:t>
      </w:r>
      <w:r w:rsidRPr="00D55B24">
        <w:rPr>
          <w:rFonts w:ascii="宋体" w:hAnsi="宋体" w:cstheme="minorBidi"/>
          <w:kern w:val="2"/>
          <w:szCs w:val="24"/>
          <w:lang w:val="en-US" w:eastAsia="zh-CN" w:bidi="ar-SA"/>
        </w:rPr>
        <w:t>。</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盈余</w:t>
      </w:r>
      <w:r w:rsidRPr="00D55B24">
        <w:rPr>
          <w:rFonts w:ascii="宋体" w:hAnsi="宋体" w:cstheme="minorBidi"/>
          <w:kern w:val="2"/>
          <w:szCs w:val="24"/>
          <w:lang w:val="en-US" w:eastAsia="zh-CN" w:bidi="ar-SA"/>
        </w:rPr>
        <w:t>公积金按照规定或经股东大会批准从</w:t>
      </w:r>
      <w:r w:rsidRPr="00D55B24">
        <w:rPr>
          <w:rFonts w:ascii="宋体" w:hAnsi="宋体" w:cstheme="minorBidi" w:hint="eastAsia"/>
          <w:kern w:val="2"/>
          <w:szCs w:val="24"/>
          <w:lang w:val="en-US" w:eastAsia="zh-CN" w:bidi="ar-SA"/>
        </w:rPr>
        <w:t>净</w:t>
      </w:r>
      <w:r w:rsidRPr="00D55B24">
        <w:rPr>
          <w:rFonts w:ascii="宋体" w:hAnsi="宋体" w:cstheme="minorBidi"/>
          <w:kern w:val="2"/>
          <w:szCs w:val="24"/>
          <w:lang w:val="en-US" w:eastAsia="zh-CN" w:bidi="ar-SA"/>
        </w:rPr>
        <w:t>利润中提取，涉及法定盈</w:t>
      </w:r>
      <w:r w:rsidRPr="00D55B24">
        <w:rPr>
          <w:rFonts w:ascii="宋体" w:hAnsi="宋体" w:cstheme="minorBidi" w:hint="eastAsia"/>
          <w:kern w:val="2"/>
          <w:szCs w:val="24"/>
          <w:lang w:val="en-US" w:eastAsia="zh-CN" w:bidi="ar-SA"/>
        </w:rPr>
        <w:t>余公积、任意盈余公积；</w:t>
      </w:r>
      <w:r w:rsidRPr="00D55B24">
        <w:rPr>
          <w:rFonts w:ascii="宋体" w:hAnsi="宋体" w:cstheme="minorBidi"/>
          <w:kern w:val="2"/>
          <w:szCs w:val="24"/>
          <w:lang w:val="en-US" w:eastAsia="zh-CN" w:bidi="ar-SA"/>
        </w:rPr>
        <w:t>法定盈</w:t>
      </w:r>
      <w:r w:rsidRPr="00D55B24">
        <w:rPr>
          <w:rFonts w:ascii="宋体" w:hAnsi="宋体" w:cstheme="minorBidi" w:hint="eastAsia"/>
          <w:kern w:val="2"/>
          <w:szCs w:val="24"/>
          <w:lang w:val="en-US" w:eastAsia="zh-CN" w:bidi="ar-SA"/>
        </w:rPr>
        <w:t>余公积按税后利润的</w:t>
      </w:r>
      <w:r w:rsidRPr="00D55B24">
        <w:rPr>
          <w:rFonts w:ascii="宋体" w:hAnsi="宋体" w:cstheme="minorBidi" w:hint="eastAsia"/>
          <w:kern w:val="2"/>
          <w:szCs w:val="24"/>
          <w:lang w:val="en-US" w:eastAsia="zh-CN" w:bidi="ar-SA"/>
        </w:rPr>
        <w:t>10</w:t>
      </w:r>
      <w:r w:rsidRPr="00D55B24">
        <w:rPr>
          <w:rFonts w:ascii="宋体" w:hAnsi="宋体" w:cstheme="minorBidi" w:hint="eastAsia"/>
          <w:kern w:val="2"/>
          <w:szCs w:val="24"/>
          <w:lang w:val="en-US" w:eastAsia="zh-CN" w:bidi="ar-SA"/>
        </w:rPr>
        <w:t>％提取，达成注册资本的</w:t>
      </w:r>
      <w:r w:rsidRPr="00D55B24">
        <w:rPr>
          <w:rFonts w:ascii="宋体" w:hAnsi="宋体" w:cstheme="minorBidi" w:hint="eastAsia"/>
          <w:kern w:val="2"/>
          <w:szCs w:val="24"/>
          <w:lang w:val="en-US" w:eastAsia="zh-CN" w:bidi="ar-SA"/>
        </w:rPr>
        <w:t>50</w:t>
      </w:r>
      <w:r w:rsidRPr="00D55B24">
        <w:rPr>
          <w:rFonts w:ascii="宋体" w:hAnsi="宋体" w:cstheme="minorBidi" w:hint="eastAsia"/>
          <w:kern w:val="2"/>
          <w:szCs w:val="24"/>
          <w:lang w:val="en-US" w:eastAsia="zh-CN" w:bidi="ar-SA"/>
        </w:rPr>
        <w:t>％可不再提取。盈余公积可以用来填补亏损、转增资本</w:t>
      </w:r>
      <w:r w:rsidRPr="00D55B24">
        <w:rPr>
          <w:rFonts w:ascii="宋体" w:hAnsi="宋体" w:cstheme="minorBidi"/>
          <w:kern w:val="2"/>
          <w:szCs w:val="24"/>
          <w:lang w:val="en-US" w:eastAsia="zh-CN" w:bidi="ar-SA"/>
        </w:rPr>
        <w:t>(</w:t>
      </w:r>
      <w:r w:rsidRPr="00D55B24">
        <w:rPr>
          <w:rFonts w:ascii="宋体" w:hAnsi="宋体" w:cstheme="minorBidi"/>
          <w:kern w:val="2"/>
          <w:szCs w:val="24"/>
          <w:lang w:val="en-US" w:eastAsia="zh-CN" w:bidi="ar-SA"/>
        </w:rPr>
        <w:t>或股本</w:t>
      </w:r>
      <w:r w:rsidRPr="00D55B24">
        <w:rPr>
          <w:rFonts w:ascii="宋体" w:hAnsi="宋体" w:cstheme="minorBidi"/>
          <w:kern w:val="2"/>
          <w:szCs w:val="24"/>
          <w:lang w:val="en-US" w:eastAsia="zh-CN" w:bidi="ar-SA"/>
        </w:rPr>
        <w:t>)</w:t>
      </w:r>
      <w:r w:rsidRPr="00D55B24">
        <w:rPr>
          <w:rFonts w:ascii="宋体" w:hAnsi="宋体" w:cstheme="minorBidi"/>
          <w:kern w:val="2"/>
          <w:szCs w:val="24"/>
          <w:lang w:val="en-US" w:eastAsia="zh-CN" w:bidi="ar-SA"/>
        </w:rPr>
        <w:t>。</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收入</w:t>
      </w:r>
      <w:r w:rsidRPr="00D55B24">
        <w:rPr>
          <w:rFonts w:ascii="宋体" w:hAnsi="宋体" w:cstheme="minorBidi"/>
          <w:kern w:val="2"/>
          <w:szCs w:val="24"/>
          <w:lang w:val="en-US" w:eastAsia="zh-CN" w:bidi="ar-SA"/>
        </w:rPr>
        <w:t>是指公司在销售商品、提供劳务及让渡资产使用权等平常活动中所形成的经济利益的总流入，涉及主营业务收入和其他业务收入</w:t>
      </w:r>
      <w:r w:rsidRPr="00D55B24">
        <w:rPr>
          <w:rFonts w:ascii="宋体" w:hAnsi="宋体" w:cstheme="minorBidi" w:hint="eastAsia"/>
          <w:kern w:val="2"/>
          <w:szCs w:val="24"/>
          <w:lang w:val="en-US" w:eastAsia="zh-CN" w:bidi="ar-SA"/>
        </w:rPr>
        <w:t>；</w:t>
      </w:r>
      <w:r w:rsidRPr="00D55B24">
        <w:rPr>
          <w:rFonts w:ascii="宋体" w:hAnsi="宋体" w:cstheme="minorBidi"/>
          <w:kern w:val="2"/>
          <w:szCs w:val="24"/>
          <w:lang w:val="en-US" w:eastAsia="zh-CN" w:bidi="ar-SA"/>
        </w:rPr>
        <w:t>收入不涉及为第三方或者客户代收的款项。</w:t>
      </w:r>
    </w:p>
    <w:p w:rsidR="0073097A" w:rsidRPr="00D55B24" w:rsidP="00D55B24">
      <w:pPr>
        <w:pStyle w:val="Normal0"/>
        <w:adjustRightInd w:val="0"/>
        <w:snapToGrid w:val="0"/>
        <w:spacing w:before="156" w:after="156" w:line="600" w:lineRule="auto"/>
        <w:ind w:firstLine="480"/>
        <w:rPr>
          <w:rFonts w:ascii="宋体" w:hAnsi="宋体"/>
          <w:bCs/>
          <w:kern w:val="2"/>
          <w:szCs w:val="24"/>
          <w:lang w:val="en-US" w:eastAsia="zh-CN" w:bidi="ar-SA"/>
        </w:rPr>
        <w:sectPr w:rsidSect="00A65E41">
          <w:type w:val="nextPage"/>
          <w:pgSz w:w="11906" w:h="16838"/>
          <w:pgMar w:top="1440" w:right="1800" w:bottom="1440" w:left="1800" w:header="851" w:footer="992" w:gutter="0"/>
          <w:pgNumType w:start="26"/>
          <w:cols w:space="425"/>
          <w:titlePg w:val="0"/>
          <w:docGrid w:type="lines" w:linePitch="312"/>
        </w:sectPr>
      </w:pPr>
      <w:r w:rsidRPr="00D55B24">
        <w:rPr>
          <w:rFonts w:ascii="宋体" w:hAnsi="宋体" w:cstheme="minorBidi"/>
          <w:bCs/>
          <w:kern w:val="2"/>
          <w:szCs w:val="24"/>
          <w:lang w:val="en-US" w:eastAsia="zh-CN" w:bidi="ar-SA"/>
        </w:rPr>
        <w:t>公司应当根据收入的性质按照收入确认的原则合理地确认和计量各项收入。</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销售</w:t>
      </w:r>
      <w:r w:rsidRPr="00D55B24">
        <w:rPr>
          <w:rFonts w:ascii="宋体" w:hAnsi="宋体" w:cstheme="minorBidi"/>
          <w:kern w:val="2"/>
          <w:szCs w:val="24"/>
          <w:lang w:val="en-US" w:eastAsia="zh-CN" w:bidi="ar-SA"/>
        </w:rPr>
        <w:t>商品的收入应当在下列条件均能满足时予以确认：</w:t>
      </w:r>
    </w:p>
    <w:p w:rsidR="0073097A" w:rsidRPr="00D55B24" w:rsidP="0019740E">
      <w:pPr>
        <w:pStyle w:val="Normal0"/>
        <w:numPr>
          <w:ilvl w:val="1"/>
          <w:numId w:val="25"/>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公司已将商品所有权上的重要风险和报酬转移给购货方；</w:t>
      </w:r>
    </w:p>
    <w:p w:rsidR="0073097A" w:rsidRPr="00D55B24" w:rsidP="0019740E">
      <w:pPr>
        <w:pStyle w:val="Normal0"/>
        <w:numPr>
          <w:ilvl w:val="1"/>
          <w:numId w:val="25"/>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公司既没有保存通常与所有权相联系的继续管理权，也没有对已售出的商品实行控制；</w:t>
      </w:r>
      <w:r w:rsidRPr="00D55B24">
        <w:rPr>
          <w:rFonts w:ascii="宋体" w:hAnsi="宋体" w:cstheme="minorBidi"/>
          <w:bCs/>
          <w:kern w:val="2"/>
          <w:szCs w:val="24"/>
          <w:lang w:val="en-US" w:eastAsia="zh-CN" w:bidi="ar-SA"/>
        </w:rPr>
        <w:t> </w:t>
      </w:r>
    </w:p>
    <w:p w:rsidR="0073097A" w:rsidRPr="00D55B24" w:rsidP="0019740E">
      <w:pPr>
        <w:pStyle w:val="Normal0"/>
        <w:numPr>
          <w:ilvl w:val="1"/>
          <w:numId w:val="25"/>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与交易相关的经济利益可以流入公司；</w:t>
      </w:r>
      <w:r w:rsidRPr="00D55B24">
        <w:rPr>
          <w:rFonts w:ascii="宋体" w:hAnsi="宋体" w:cstheme="minorBidi"/>
          <w:bCs/>
          <w:kern w:val="2"/>
          <w:szCs w:val="24"/>
          <w:lang w:val="en-US" w:eastAsia="zh-CN" w:bidi="ar-SA"/>
        </w:rPr>
        <w:t> </w:t>
      </w:r>
    </w:p>
    <w:p w:rsidR="0073097A" w:rsidRPr="00D55B24" w:rsidP="0019740E">
      <w:pPr>
        <w:pStyle w:val="Normal0"/>
        <w:numPr>
          <w:ilvl w:val="1"/>
          <w:numId w:val="25"/>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相关的收入和成本可以可靠地计量</w:t>
      </w:r>
      <w:r w:rsidRPr="00D55B24">
        <w:rPr>
          <w:rFonts w:ascii="宋体" w:hAnsi="宋体" w:cstheme="minorBidi" w:hint="eastAsia"/>
          <w:bCs/>
          <w:kern w:val="2"/>
          <w:szCs w:val="24"/>
          <w:lang w:val="en-US" w:eastAsia="zh-CN" w:bidi="ar-SA"/>
        </w:rPr>
        <w:t>；</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销售</w:t>
      </w:r>
      <w:r w:rsidRPr="00D55B24">
        <w:rPr>
          <w:rFonts w:ascii="宋体" w:hAnsi="宋体" w:cstheme="minorBidi"/>
          <w:kern w:val="2"/>
          <w:szCs w:val="24"/>
          <w:lang w:val="en-US" w:eastAsia="zh-CN" w:bidi="ar-SA"/>
        </w:rPr>
        <w:t>商品的收入应按公司与购货方签订的协议或协议金额或双方接受的金额拟定。钞票折扣在实际发生时作为当期费用；销售折让在实际发生时冲减当期收入。</w:t>
      </w:r>
      <w:r w:rsidRPr="00D55B24">
        <w:rPr>
          <w:rFonts w:ascii="宋体" w:hAnsi="宋体" w:cstheme="minorBidi"/>
          <w:kern w:val="2"/>
          <w:szCs w:val="24"/>
          <w:lang w:val="en-US" w:eastAsia="zh-CN" w:bidi="ar-SA"/>
        </w:rPr>
        <w:t> </w:t>
      </w:r>
    </w:p>
    <w:p w:rsidR="0073097A" w:rsidRPr="00D55B24" w:rsidP="00D55B24">
      <w:pPr>
        <w:pStyle w:val="Normal0"/>
        <w:adjustRightInd w:val="0"/>
        <w:snapToGrid w:val="0"/>
        <w:spacing w:before="156" w:after="156" w:line="600" w:lineRule="auto"/>
        <w:ind w:firstLine="480"/>
        <w:rPr>
          <w:rFonts w:ascii="宋体" w:hAnsi="宋体"/>
          <w:bCs/>
          <w:kern w:val="2"/>
          <w:szCs w:val="24"/>
          <w:lang w:val="en-US" w:eastAsia="zh-CN" w:bidi="ar-SA"/>
        </w:rPr>
      </w:pPr>
      <w:r w:rsidRPr="00D55B24">
        <w:rPr>
          <w:rFonts w:ascii="宋体" w:hAnsi="宋体" w:cstheme="minorBidi"/>
          <w:bCs/>
          <w:kern w:val="2"/>
          <w:szCs w:val="24"/>
          <w:lang w:val="en-US" w:eastAsia="zh-CN" w:bidi="ar-SA"/>
        </w:rPr>
        <w:t>钞票折扣是指债权人为鼓励债务人在规定的期限内付款而向债务人提供的</w:t>
      </w:r>
      <w:r w:rsidRPr="00D55B24">
        <w:rPr>
          <w:rFonts w:ascii="宋体" w:hAnsi="宋体" w:cstheme="minorBidi"/>
          <w:bCs/>
          <w:kern w:val="2"/>
          <w:szCs w:val="24"/>
          <w:lang w:val="en-US" w:eastAsia="zh-CN" w:bidi="ar-SA"/>
        </w:rPr>
        <w:t>债务减让；销售折让是指公司因售出商品的质量不合格等因素而在售价上给予的减让。钞票折扣应当在实际发生时作为当期费用。</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sectPr w:rsidSect="00A65E41">
          <w:type w:val="nextPage"/>
          <w:pgSz w:w="11906" w:h="16838"/>
          <w:pgMar w:top="1440" w:right="1800" w:bottom="1440" w:left="1800" w:header="851" w:footer="992" w:gutter="0"/>
          <w:pgNumType w:start="27"/>
          <w:cols w:space="425"/>
          <w:titlePg w:val="0"/>
          <w:docGrid w:type="lines" w:linePitch="312"/>
        </w:sectPr>
      </w:pPr>
      <w:r w:rsidRPr="00D55B24">
        <w:rPr>
          <w:rFonts w:ascii="宋体" w:hAnsi="宋体" w:cstheme="minorBidi" w:hint="eastAsia"/>
          <w:kern w:val="2"/>
          <w:szCs w:val="24"/>
          <w:lang w:val="en-US" w:eastAsia="zh-CN" w:bidi="ar-SA"/>
        </w:rPr>
        <w:t>公司</w:t>
      </w:r>
    </w:p>
    <w:p w:rsidR="0073097A" w:rsidRPr="00D55B24" w:rsidP="0073097A">
      <w:pPr>
        <w:pStyle w:val="Normal0"/>
        <w:numPr>
          <w:ilvl w:val="0"/>
          <w:numId w:val="0"/>
        </w:numPr>
        <w:adjustRightInd w:val="0"/>
        <w:snapToGrid w:val="0"/>
        <w:spacing w:beforeLines="0" w:afterLines="0" w:line="600" w:lineRule="auto"/>
        <w:ind w:left="846" w:firstLineChars="0"/>
        <w:rPr>
          <w:rFonts w:ascii="宋体" w:hAnsi="宋体"/>
          <w:kern w:val="2"/>
          <w:szCs w:val="24"/>
          <w:lang w:val="en-US" w:eastAsia="zh-CN" w:bidi="ar-SA"/>
        </w:rPr>
      </w:pPr>
      <w:r w:rsidRPr="00D55B24">
        <w:rPr>
          <w:rFonts w:ascii="宋体" w:hAnsi="宋体" w:cstheme="minorBidi"/>
          <w:kern w:val="2"/>
          <w:szCs w:val="24"/>
          <w:lang w:val="en-US" w:eastAsia="zh-CN" w:bidi="ar-SA"/>
        </w:rPr>
        <w:t>已经确认收入的售出商品发生销售退回的，应当冲减退回当期的收入；年度资产负债表日及以前售出的商品在资产负债表日至财务会计报告批准报出日之间发生退回的，应当作为资产负债表日后调整事项解决，调整资产负债表日编制的会计报表有关收入、费用、资产、负债、所有者权益等项目的数字。</w:t>
      </w:r>
      <w:r w:rsidRPr="00D55B24">
        <w:rPr>
          <w:rFonts w:ascii="宋体" w:hAnsi="宋体" w:cstheme="minorBidi"/>
          <w:kern w:val="2"/>
          <w:szCs w:val="24"/>
          <w:lang w:val="en-US" w:eastAsia="zh-CN" w:bidi="ar-SA"/>
        </w:rPr>
        <w:t> </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提供</w:t>
      </w:r>
      <w:r w:rsidRPr="00D55B24">
        <w:rPr>
          <w:rFonts w:ascii="宋体" w:hAnsi="宋体" w:cstheme="minorBidi"/>
          <w:kern w:val="2"/>
          <w:szCs w:val="24"/>
          <w:lang w:val="en-US" w:eastAsia="zh-CN" w:bidi="ar-SA"/>
        </w:rPr>
        <w:t>劳务的总收入应按公司与接受劳务方签订的协议或协议的金额拟定。</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让渡</w:t>
      </w:r>
      <w:r w:rsidRPr="00D55B24">
        <w:rPr>
          <w:rFonts w:ascii="宋体" w:hAnsi="宋体" w:cstheme="minorBidi"/>
          <w:kern w:val="2"/>
          <w:szCs w:val="24"/>
          <w:lang w:val="en-US" w:eastAsia="zh-CN" w:bidi="ar-SA"/>
        </w:rPr>
        <w:t>资产使用权而发生的收入涉及利息收入和使用费收入。</w:t>
      </w:r>
    </w:p>
    <w:p w:rsidR="0073097A" w:rsidRPr="00D55B24" w:rsidP="0019740E">
      <w:pPr>
        <w:pStyle w:val="Normal0"/>
        <w:numPr>
          <w:ilvl w:val="1"/>
          <w:numId w:val="26"/>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利息和使用费收入应当在以下条件均能满足时予以确认：</w:t>
      </w:r>
      <w:r w:rsidRPr="00D55B24">
        <w:rPr>
          <w:rFonts w:ascii="宋体" w:hAnsi="宋体" w:cstheme="minorBidi"/>
          <w:bCs/>
          <w:kern w:val="2"/>
          <w:szCs w:val="24"/>
          <w:lang w:val="en-US" w:eastAsia="zh-CN" w:bidi="ar-SA"/>
        </w:rPr>
        <w:t> </w:t>
      </w:r>
    </w:p>
    <w:p w:rsidR="0073097A" w:rsidRPr="00D55B24" w:rsidP="0019740E">
      <w:pPr>
        <w:pStyle w:val="Normal0"/>
        <w:numPr>
          <w:ilvl w:val="2"/>
          <w:numId w:val="27"/>
        </w:numPr>
        <w:tabs>
          <w:tab w:val="left" w:pos="709"/>
          <w:tab w:val="left" w:pos="1134"/>
        </w:tabs>
        <w:adjustRightInd w:val="0"/>
        <w:snapToGrid w:val="0"/>
        <w:spacing w:beforeLines="0" w:afterLines="0" w:line="600" w:lineRule="auto"/>
        <w:ind w:left="709"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与交易相关的经济利益可以流入公司；</w:t>
      </w:r>
      <w:r w:rsidRPr="00D55B24">
        <w:rPr>
          <w:rFonts w:ascii="宋体" w:hAnsi="宋体" w:cstheme="minorBidi"/>
          <w:bCs/>
          <w:kern w:val="2"/>
          <w:szCs w:val="24"/>
          <w:lang w:val="en-US" w:eastAsia="zh-CN" w:bidi="ar-SA"/>
        </w:rPr>
        <w:t> </w:t>
      </w:r>
    </w:p>
    <w:p w:rsidR="0073097A" w:rsidRPr="00D55B24" w:rsidP="0019740E">
      <w:pPr>
        <w:pStyle w:val="Normal0"/>
        <w:numPr>
          <w:ilvl w:val="2"/>
          <w:numId w:val="27"/>
        </w:numPr>
        <w:tabs>
          <w:tab w:val="left" w:pos="709"/>
          <w:tab w:val="left" w:pos="1134"/>
        </w:tabs>
        <w:adjustRightInd w:val="0"/>
        <w:snapToGrid w:val="0"/>
        <w:spacing w:beforeLines="0" w:afterLines="0" w:line="600" w:lineRule="auto"/>
        <w:ind w:left="709"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收入的金额可以可靠地计量</w:t>
      </w:r>
      <w:r w:rsidRPr="00D55B24">
        <w:rPr>
          <w:rFonts w:ascii="宋体" w:hAnsi="宋体" w:cstheme="minorBidi" w:hint="eastAsia"/>
          <w:bCs/>
          <w:kern w:val="2"/>
          <w:szCs w:val="24"/>
          <w:lang w:val="en-US" w:eastAsia="zh-CN" w:bidi="ar-SA"/>
        </w:rPr>
        <w:t>；</w:t>
      </w:r>
      <w:r w:rsidRPr="00D55B24">
        <w:rPr>
          <w:rFonts w:ascii="宋体" w:hAnsi="宋体" w:cstheme="minorBidi"/>
          <w:bCs/>
          <w:kern w:val="2"/>
          <w:szCs w:val="24"/>
          <w:lang w:val="en-US" w:eastAsia="zh-CN" w:bidi="ar-SA"/>
        </w:rPr>
        <w:t> </w:t>
      </w:r>
    </w:p>
    <w:p w:rsidR="0073097A" w:rsidRPr="00D55B24" w:rsidP="0019740E">
      <w:pPr>
        <w:pStyle w:val="Normal0"/>
        <w:numPr>
          <w:ilvl w:val="1"/>
          <w:numId w:val="26"/>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利息和使用费收入应按下列方法分别予以计量：</w:t>
      </w:r>
    </w:p>
    <w:p w:rsidR="0073097A" w:rsidRPr="00D55B24" w:rsidP="0019740E">
      <w:pPr>
        <w:pStyle w:val="Normal0"/>
        <w:numPr>
          <w:ilvl w:val="2"/>
          <w:numId w:val="28"/>
        </w:numPr>
        <w:adjustRightInd w:val="0"/>
        <w:snapToGrid w:val="0"/>
        <w:spacing w:beforeLines="0" w:afterLines="0" w:line="600" w:lineRule="auto"/>
        <w:ind w:left="0" w:firstLine="566" w:firstLineChars="236"/>
        <w:rPr>
          <w:rFonts w:ascii="宋体" w:hAnsi="宋体"/>
          <w:bCs/>
          <w:kern w:val="2"/>
          <w:szCs w:val="24"/>
          <w:lang w:val="en-US" w:eastAsia="zh-CN" w:bidi="ar-SA"/>
        </w:rPr>
      </w:pPr>
      <w:r w:rsidRPr="00D55B24">
        <w:rPr>
          <w:rFonts w:ascii="宋体" w:hAnsi="宋体" w:cstheme="minorBidi"/>
          <w:bCs/>
          <w:kern w:val="2"/>
          <w:szCs w:val="24"/>
          <w:lang w:val="en-US" w:eastAsia="zh-CN" w:bidi="ar-SA"/>
        </w:rPr>
        <w:t>利息收入应按让渡钞票使用权的时间和合用利率计算拟定；</w:t>
      </w:r>
    </w:p>
    <w:p w:rsidR="0073097A" w:rsidRPr="00D55B24" w:rsidP="0019740E">
      <w:pPr>
        <w:pStyle w:val="Normal0"/>
        <w:numPr>
          <w:ilvl w:val="2"/>
          <w:numId w:val="28"/>
        </w:numPr>
        <w:adjustRightInd w:val="0"/>
        <w:snapToGrid w:val="0"/>
        <w:spacing w:beforeLines="0" w:afterLines="0" w:line="600" w:lineRule="auto"/>
        <w:ind w:left="0" w:firstLine="566" w:firstLineChars="236"/>
        <w:rPr>
          <w:rFonts w:ascii="宋体" w:hAnsi="宋体"/>
          <w:bCs/>
          <w:kern w:val="2"/>
          <w:szCs w:val="24"/>
          <w:lang w:val="en-US" w:eastAsia="zh-CN" w:bidi="ar-SA"/>
        </w:rPr>
        <w:sectPr w:rsidSect="00A65E41">
          <w:type w:val="nextPage"/>
          <w:pgSz w:w="11906" w:h="16838"/>
          <w:pgMar w:top="1440" w:right="1800" w:bottom="1440" w:left="1800" w:header="851" w:footer="992" w:gutter="0"/>
          <w:pgNumType w:start="28"/>
          <w:cols w:space="425"/>
          <w:titlePg w:val="0"/>
          <w:docGrid w:type="lines" w:linePitch="312"/>
        </w:sectPr>
      </w:pPr>
      <w:r w:rsidRPr="00D55B24">
        <w:rPr>
          <w:rFonts w:ascii="宋体" w:hAnsi="宋体" w:cstheme="minorBidi"/>
          <w:bCs/>
          <w:kern w:val="2"/>
          <w:szCs w:val="24"/>
          <w:lang w:val="en-US" w:eastAsia="zh-CN" w:bidi="ar-SA"/>
        </w:rPr>
        <w:t>使用费收入应按有关协议或协议规定的收费时间和方法计算拟定。</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房地产</w:t>
      </w:r>
      <w:r w:rsidRPr="00D55B24">
        <w:rPr>
          <w:rFonts w:ascii="宋体" w:hAnsi="宋体" w:cstheme="minorBidi"/>
          <w:kern w:val="2"/>
          <w:szCs w:val="24"/>
          <w:lang w:val="en-US" w:eastAsia="zh-CN" w:bidi="ar-SA"/>
        </w:rPr>
        <w:t>销售</w:t>
      </w:r>
      <w:r w:rsidRPr="00D55B24">
        <w:rPr>
          <w:rFonts w:ascii="宋体" w:hAnsi="宋体" w:cstheme="minorBidi" w:hint="eastAsia"/>
          <w:kern w:val="2"/>
          <w:szCs w:val="24"/>
          <w:lang w:val="en-US" w:eastAsia="zh-CN" w:bidi="ar-SA"/>
        </w:rPr>
        <w:t>收入应在以下条件均能满足时予以确认：</w:t>
      </w:r>
    </w:p>
    <w:p w:rsidR="0073097A" w:rsidRPr="00D55B24" w:rsidP="0019740E">
      <w:pPr>
        <w:pStyle w:val="Normal0"/>
        <w:numPr>
          <w:ilvl w:val="1"/>
          <w:numId w:val="29"/>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双方签署了有效的销售协议；</w:t>
      </w:r>
      <w:r w:rsidRPr="00D55B24">
        <w:rPr>
          <w:rFonts w:ascii="宋体" w:hAnsi="宋体" w:cstheme="minorBidi"/>
          <w:bCs/>
          <w:kern w:val="2"/>
          <w:szCs w:val="24"/>
          <w:lang w:val="en-US" w:eastAsia="zh-CN" w:bidi="ar-SA"/>
        </w:rPr>
        <w:t xml:space="preserve"> </w:t>
      </w:r>
    </w:p>
    <w:p w:rsidR="0073097A" w:rsidRPr="00D55B24" w:rsidP="0019740E">
      <w:pPr>
        <w:pStyle w:val="Normal0"/>
        <w:numPr>
          <w:ilvl w:val="1"/>
          <w:numId w:val="29"/>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已告知业主办理交付入住手续；</w:t>
      </w:r>
    </w:p>
    <w:p w:rsidR="0073097A" w:rsidRPr="00D55B24" w:rsidP="0019740E">
      <w:pPr>
        <w:pStyle w:val="Normal0"/>
        <w:numPr>
          <w:ilvl w:val="1"/>
          <w:numId w:val="29"/>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成本可以可靠地计量。按照项目的结算情况，项目的直接建安成本预算中</w:t>
      </w:r>
      <w:r w:rsidRPr="00D55B24">
        <w:rPr>
          <w:rFonts w:ascii="宋体" w:hAnsi="宋体" w:cstheme="minorBidi"/>
          <w:bCs/>
          <w:kern w:val="2"/>
          <w:szCs w:val="24"/>
          <w:lang w:val="en-US" w:eastAsia="zh-CN" w:bidi="ar-SA"/>
        </w:rPr>
        <w:t>95%</w:t>
      </w:r>
      <w:r w:rsidRPr="00D55B24">
        <w:rPr>
          <w:rFonts w:ascii="宋体" w:hAnsi="宋体" w:cstheme="minorBidi" w:hint="eastAsia"/>
          <w:bCs/>
          <w:kern w:val="2"/>
          <w:szCs w:val="24"/>
          <w:lang w:val="en-US" w:eastAsia="zh-CN" w:bidi="ar-SA"/>
        </w:rPr>
        <w:t>以上的成本支出金额已经拟定，即认为成本可以可靠计量。</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出租</w:t>
      </w:r>
      <w:r w:rsidRPr="00D55B24">
        <w:rPr>
          <w:rFonts w:ascii="宋体" w:hAnsi="宋体" w:cstheme="minorBidi"/>
          <w:kern w:val="2"/>
          <w:szCs w:val="24"/>
          <w:lang w:val="en-US" w:eastAsia="zh-CN" w:bidi="ar-SA"/>
        </w:rPr>
        <w:t>物业收入</w:t>
      </w:r>
      <w:r w:rsidRPr="00D55B24">
        <w:rPr>
          <w:rFonts w:ascii="宋体" w:hAnsi="宋体" w:cstheme="minorBidi" w:hint="eastAsia"/>
          <w:kern w:val="2"/>
          <w:szCs w:val="24"/>
          <w:lang w:val="en-US" w:eastAsia="zh-CN" w:bidi="ar-SA"/>
        </w:rPr>
        <w:t>应在以下条件均能满足时予以确认</w:t>
      </w:r>
      <w:r w:rsidRPr="00D55B24">
        <w:rPr>
          <w:rFonts w:ascii="宋体" w:hAnsi="宋体" w:cstheme="minorBidi"/>
          <w:kern w:val="2"/>
          <w:szCs w:val="24"/>
          <w:lang w:val="en-US" w:eastAsia="zh-CN" w:bidi="ar-SA"/>
        </w:rPr>
        <w:t>：</w:t>
      </w:r>
    </w:p>
    <w:p w:rsidR="0073097A" w:rsidRPr="00D55B24" w:rsidP="0019740E">
      <w:pPr>
        <w:pStyle w:val="Normal0"/>
        <w:numPr>
          <w:ilvl w:val="0"/>
          <w:numId w:val="30"/>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具有承租人认可的租赁协议、协议或其他结算告知书</w:t>
      </w:r>
      <w:r w:rsidRPr="00D55B24">
        <w:rPr>
          <w:rFonts w:ascii="宋体" w:hAnsi="宋体" w:cstheme="minorBidi" w:hint="eastAsia"/>
          <w:bCs/>
          <w:kern w:val="2"/>
          <w:szCs w:val="24"/>
          <w:lang w:val="en-US" w:eastAsia="zh-CN" w:bidi="ar-SA"/>
        </w:rPr>
        <w:t>；</w:t>
      </w:r>
    </w:p>
    <w:p w:rsidR="0073097A" w:rsidRPr="00D55B24" w:rsidP="0019740E">
      <w:pPr>
        <w:pStyle w:val="Normal0"/>
        <w:numPr>
          <w:ilvl w:val="0"/>
          <w:numId w:val="30"/>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履行了协议规定的义务，开具</w:t>
      </w:r>
      <w:r w:rsidR="009E60B6">
        <w:rPr>
          <w:rFonts w:ascii="宋体" w:hAnsi="宋体" w:cstheme="minorBidi" w:hint="eastAsia"/>
          <w:bCs/>
          <w:kern w:val="2"/>
          <w:szCs w:val="24"/>
          <w:lang w:val="en-US" w:eastAsia="zh-CN" w:bidi="ar-SA"/>
        </w:rPr>
        <w:t>租赁</w:t>
      </w:r>
      <w:r w:rsidRPr="00D55B24">
        <w:rPr>
          <w:rFonts w:ascii="宋体" w:hAnsi="宋体" w:cstheme="minorBidi"/>
          <w:bCs/>
          <w:kern w:val="2"/>
          <w:szCs w:val="24"/>
          <w:lang w:val="en-US" w:eastAsia="zh-CN" w:bidi="ar-SA"/>
        </w:rPr>
        <w:t>发票且价款已经取得或确信可以取得</w:t>
      </w:r>
      <w:r w:rsidRPr="00D55B24">
        <w:rPr>
          <w:rFonts w:ascii="宋体" w:hAnsi="宋体" w:cstheme="minorBidi" w:hint="eastAsia"/>
          <w:bCs/>
          <w:kern w:val="2"/>
          <w:szCs w:val="24"/>
          <w:lang w:val="en-US" w:eastAsia="zh-CN" w:bidi="ar-SA"/>
        </w:rPr>
        <w:t>；</w:t>
      </w:r>
    </w:p>
    <w:p w:rsidR="0073097A" w:rsidRPr="00D55B24" w:rsidP="0019740E">
      <w:pPr>
        <w:pStyle w:val="Normal0"/>
        <w:numPr>
          <w:ilvl w:val="0"/>
          <w:numId w:val="30"/>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bCs/>
          <w:kern w:val="2"/>
          <w:szCs w:val="24"/>
          <w:lang w:val="en-US" w:eastAsia="zh-CN" w:bidi="ar-SA"/>
        </w:rPr>
        <w:t>出租开发成本可以可靠地计量。</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经营租赁收入在协议约定的收款日确认为收入。</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劳务收入在协议规定的收款日确认为收入。</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资金使用费收入在协议规定的计息日或收款日确认为收入。</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sectPr w:rsidSect="00A65E41">
          <w:type w:val="nextPage"/>
          <w:pgSz w:w="11906" w:h="16838"/>
          <w:pgMar w:top="1440" w:right="1800" w:bottom="1440" w:left="1800" w:header="851" w:footer="992" w:gutter="0"/>
          <w:pgNumType w:start="29"/>
          <w:cols w:space="425"/>
          <w:titlePg w:val="0"/>
          <w:docGrid w:type="lines" w:linePitch="312"/>
        </w:sectPr>
      </w:pPr>
    </w:p>
    <w:p w:rsidR="0073097A" w:rsidRPr="00D55B24" w:rsidP="0073097A">
      <w:pPr>
        <w:pStyle w:val="Normal0"/>
        <w:numPr>
          <w:ilvl w:val="0"/>
          <w:numId w:val="0"/>
        </w:numPr>
        <w:adjustRightInd w:val="0"/>
        <w:snapToGrid w:val="0"/>
        <w:spacing w:beforeLines="0" w:afterLines="0" w:line="600" w:lineRule="auto"/>
        <w:ind w:left="846"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其他收入按照《公司会计制度》、《公司会计准则》中的相关规定合理加以确认，“标书工本费”所有在营业外收入核算。</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成本</w:t>
      </w:r>
      <w:r w:rsidRPr="00D55B24">
        <w:rPr>
          <w:rFonts w:ascii="宋体" w:hAnsi="宋体" w:cstheme="minorBidi"/>
          <w:kern w:val="2"/>
          <w:szCs w:val="24"/>
          <w:lang w:val="en-US" w:eastAsia="zh-CN" w:bidi="ar-SA"/>
        </w:rPr>
        <w:t>是指公司为生产产品、提供劳务而发生的各种花费。费用是指公司为销售商品、提供劳务等平常活动所发生的经济利益的流出；</w:t>
      </w:r>
      <w:r w:rsidRPr="00D55B24">
        <w:rPr>
          <w:rFonts w:ascii="宋体" w:hAnsi="宋体" w:cstheme="minorBidi" w:hint="eastAsia"/>
          <w:kern w:val="2"/>
          <w:szCs w:val="24"/>
          <w:lang w:val="en-US" w:eastAsia="zh-CN" w:bidi="ar-SA"/>
        </w:rPr>
        <w:t xml:space="preserve"> </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开发成本费用涉及开发成本和开发间接费用。开发成本涉及土地使用权取得费、前期工程费、建筑安装工程费、基础设施建设费、公共配套设施建设费、资本化利息。开发间接费用是指公司所属直接组织、管理开发项目发生的费用，涉及工资、奖金、折旧费、修理费、办公费、水电费、劳动保护费、周转房摊销等。</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对工程项目的成本控制按下列规定执行：</w:t>
      </w:r>
    </w:p>
    <w:p w:rsidR="0073097A" w:rsidRPr="00D55B24" w:rsidP="0019740E">
      <w:pPr>
        <w:pStyle w:val="Normal0"/>
        <w:numPr>
          <w:ilvl w:val="1"/>
          <w:numId w:val="31"/>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参与项目的可行性研究，根据公司的战略目的、利润计划、销售预测、成本预测等资料拟定目的收入、目的利润、目的成本，作为项目规划、设计的根据；</w:t>
      </w:r>
    </w:p>
    <w:p w:rsidR="0073097A" w:rsidRPr="00D55B24" w:rsidP="0019740E">
      <w:pPr>
        <w:pStyle w:val="Normal0"/>
        <w:numPr>
          <w:ilvl w:val="1"/>
          <w:numId w:val="31"/>
        </w:numPr>
        <w:adjustRightInd w:val="0"/>
        <w:snapToGrid w:val="0"/>
        <w:spacing w:beforeLines="0" w:afterLines="0" w:line="600" w:lineRule="auto"/>
        <w:ind w:left="0" w:firstLine="0" w:firstLineChars="0"/>
        <w:rPr>
          <w:rFonts w:ascii="宋体" w:hAnsi="宋体"/>
          <w:bCs/>
          <w:kern w:val="2"/>
          <w:szCs w:val="24"/>
          <w:lang w:val="en-US" w:eastAsia="zh-CN" w:bidi="ar-SA"/>
        </w:rPr>
        <w:sectPr w:rsidSect="00A65E41">
          <w:type w:val="nextPage"/>
          <w:pgSz w:w="11906" w:h="16838"/>
          <w:pgMar w:top="1440" w:right="1800" w:bottom="1440" w:left="1800" w:header="851" w:footer="992" w:gutter="0"/>
          <w:pgNumType w:start="30"/>
          <w:cols w:space="425"/>
          <w:titlePg w:val="0"/>
          <w:docGrid w:type="lines" w:linePitch="312"/>
        </w:sectPr>
      </w:pPr>
      <w:r w:rsidRPr="00D55B24">
        <w:rPr>
          <w:rFonts w:ascii="宋体" w:hAnsi="宋体" w:cstheme="minorBidi" w:hint="eastAsia"/>
          <w:bCs/>
          <w:kern w:val="2"/>
          <w:szCs w:val="24"/>
          <w:lang w:val="en-US" w:eastAsia="zh-CN" w:bidi="ar-SA"/>
        </w:rPr>
        <w:t>严格审核各项工程支出，按照公司授权、协议办理业务，对于不符合协议、付款节点的事项不予支付，并需查明因素；</w:t>
      </w:r>
    </w:p>
    <w:p w:rsidR="0073097A" w:rsidRPr="00D55B24" w:rsidP="0019740E">
      <w:pPr>
        <w:pStyle w:val="Normal0"/>
        <w:numPr>
          <w:ilvl w:val="1"/>
          <w:numId w:val="31"/>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对成本支出进行明细分类核算，及时掌握各成本项目的发生额及余额状</w:t>
      </w:r>
      <w:r w:rsidRPr="00D55B24">
        <w:rPr>
          <w:rFonts w:ascii="宋体" w:hAnsi="宋体" w:cstheme="minorBidi" w:hint="eastAsia"/>
          <w:bCs/>
          <w:kern w:val="2"/>
          <w:szCs w:val="24"/>
          <w:lang w:val="en-US" w:eastAsia="zh-CN" w:bidi="ar-SA"/>
        </w:rPr>
        <w:t>况，准确核算各项产品的成本，进行成本项目分析；</w:t>
      </w:r>
    </w:p>
    <w:p w:rsidR="0073097A" w:rsidRPr="00D55B24" w:rsidP="0019740E">
      <w:pPr>
        <w:pStyle w:val="Normal0"/>
        <w:numPr>
          <w:ilvl w:val="1"/>
          <w:numId w:val="31"/>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各公司财务部负责应同其他相关部门合作完毕竣工决算工作，对的核算各项竣工产品成本。</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材料设备采购成本的管理。</w:t>
      </w:r>
    </w:p>
    <w:p w:rsidR="0073097A" w:rsidRPr="00D55B24" w:rsidP="0019740E">
      <w:pPr>
        <w:pStyle w:val="Normal0"/>
        <w:numPr>
          <w:ilvl w:val="1"/>
          <w:numId w:val="32"/>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严格按照采购管理制度进行采购，对设备和大宗材料的采购进行招投标；</w:t>
      </w:r>
    </w:p>
    <w:p w:rsidR="0073097A" w:rsidRPr="00D55B24" w:rsidP="0019740E">
      <w:pPr>
        <w:pStyle w:val="Normal0"/>
        <w:numPr>
          <w:ilvl w:val="1"/>
          <w:numId w:val="32"/>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所购置的材料设备必须到货并且审验无误后才干凭协议、验货报告、入库单、货运单据等有效原始凭证办理付款手续。协议约定有预付款的按照协议执行，同时及时取得合规发票。</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sectPr w:rsidSect="00A65E41">
          <w:type w:val="nextPage"/>
          <w:pgSz w:w="11906" w:h="16838"/>
          <w:pgMar w:top="1440" w:right="1800" w:bottom="1440" w:left="1800" w:header="851" w:footer="992" w:gutter="0"/>
          <w:pgNumType w:start="31"/>
          <w:cols w:space="425"/>
          <w:titlePg w:val="0"/>
          <w:docGrid w:type="lines" w:linePitch="312"/>
        </w:sectPr>
      </w:pPr>
    </w:p>
    <w:p w:rsidR="0073097A" w:rsidRPr="00D55B24" w:rsidP="0073097A">
      <w:pPr>
        <w:pStyle w:val="Normal0"/>
        <w:numPr>
          <w:ilvl w:val="0"/>
          <w:numId w:val="0"/>
        </w:numPr>
        <w:adjustRightInd w:val="0"/>
        <w:snapToGrid w:val="0"/>
        <w:spacing w:beforeLines="0" w:afterLines="0" w:line="600" w:lineRule="auto"/>
        <w:ind w:left="846"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期间费用涉及销售费用、管理费用和财务费用。销售费用是指公司在销售产品或者提供劳务等过程中发生的各项费用，以及专设销售机构的各项费用。管理费用是指公司行政管理部门为管理和组织经营活动而发生的各项费用。财务费用是指公司为筹集资金而发生的各项费用，涉及应作为期间费用的利息净支出、汇兑净损失、调剂外汇手续费、金融机构手续费，以及公司筹资发生的其它财务费用。期间费用直接记入当期损益。</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公司对管理费用、营业费用、项目管理费实行预算管理。</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公司对管理费用、营业费用、项目管理费进行部门平常核算；对营业费用、项目管理费同时进行项目核算。</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若为多项目，分派原则为如能直接归属，则直接计入；否则应按照各项目最新版目的收入做为分派计算依据；</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项目管理费，月末时全额进行结转，按项目分派到“开发成本</w:t>
      </w:r>
      <w:r w:rsidRPr="00D55B24">
        <w:rPr>
          <w:rFonts w:ascii="宋体" w:hAnsi="宋体" w:cstheme="minorBidi" w:hint="eastAsia"/>
          <w:kern w:val="2"/>
          <w:szCs w:val="24"/>
          <w:lang w:val="en-US" w:eastAsia="zh-CN" w:bidi="ar-SA"/>
        </w:rPr>
        <w:t>-</w:t>
      </w:r>
      <w:r w:rsidRPr="00D55B24">
        <w:rPr>
          <w:rFonts w:ascii="宋体" w:hAnsi="宋体" w:cstheme="minorBidi" w:hint="eastAsia"/>
          <w:kern w:val="2"/>
          <w:szCs w:val="24"/>
          <w:lang w:val="en-US" w:eastAsia="zh-CN" w:bidi="ar-SA"/>
        </w:rPr>
        <w:t>开发间接费</w:t>
      </w:r>
      <w:r w:rsidRPr="00D55B24">
        <w:rPr>
          <w:rFonts w:ascii="宋体" w:hAnsi="宋体" w:cstheme="minorBidi" w:hint="eastAsia"/>
          <w:kern w:val="2"/>
          <w:szCs w:val="24"/>
          <w:lang w:val="en-US" w:eastAsia="zh-CN" w:bidi="ar-SA"/>
        </w:rPr>
        <w:t>-</w:t>
      </w:r>
      <w:r w:rsidRPr="00D55B24">
        <w:rPr>
          <w:rFonts w:ascii="宋体" w:hAnsi="宋体" w:cstheme="minorBidi" w:hint="eastAsia"/>
          <w:kern w:val="2"/>
          <w:szCs w:val="24"/>
          <w:lang w:val="en-US" w:eastAsia="zh-CN" w:bidi="ar-SA"/>
        </w:rPr>
        <w:t>项目”借方。多项目情况下的分派原则</w:t>
      </w:r>
      <w:r w:rsidRPr="00D55B24">
        <w:rPr>
          <w:rFonts w:ascii="宋体" w:hAnsi="宋体" w:cstheme="minorBidi" w:hint="eastAsia"/>
          <w:kern w:val="2"/>
          <w:szCs w:val="24"/>
          <w:lang w:val="en-US" w:eastAsia="zh-CN" w:bidi="ar-SA"/>
        </w:rPr>
        <w:t>:</w:t>
      </w:r>
      <w:r w:rsidRPr="00D55B24">
        <w:rPr>
          <w:rFonts w:ascii="宋体" w:hAnsi="宋体" w:cstheme="minorBidi" w:hint="eastAsia"/>
          <w:kern w:val="2"/>
          <w:szCs w:val="24"/>
          <w:lang w:val="en-US" w:eastAsia="zh-CN" w:bidi="ar-SA"/>
        </w:rPr>
        <w:t>如能直接归属，则直接计入；否则应根据各项目最新招投标版目的成本中的直接成本（不含管理费</w:t>
      </w:r>
      <w:r w:rsidRPr="00D55B24">
        <w:rPr>
          <w:rFonts w:ascii="宋体" w:hAnsi="宋体" w:cstheme="minorBidi" w:hint="eastAsia"/>
          <w:kern w:val="2"/>
          <w:szCs w:val="24"/>
          <w:lang w:val="en-US" w:eastAsia="zh-CN" w:bidi="ar-SA"/>
        </w:rPr>
        <w:t>和销售费）进行分派。</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sectPr w:rsidSect="00A65E41">
          <w:type w:val="nextPage"/>
          <w:pgSz w:w="11906" w:h="16838"/>
          <w:pgMar w:top="1440" w:right="1800" w:bottom="1440" w:left="1800" w:header="851" w:footer="992" w:gutter="0"/>
          <w:pgNumType w:start="32"/>
          <w:cols w:space="425"/>
          <w:titlePg w:val="0"/>
          <w:docGrid w:type="lines" w:linePitch="312"/>
        </w:sectPr>
      </w:pPr>
    </w:p>
    <w:p w:rsidR="0073097A" w:rsidRPr="00D55B24" w:rsidP="0073097A">
      <w:pPr>
        <w:pStyle w:val="Normal0"/>
        <w:numPr>
          <w:ilvl w:val="0"/>
          <w:numId w:val="0"/>
        </w:numPr>
        <w:adjustRightInd w:val="0"/>
        <w:snapToGrid w:val="0"/>
        <w:spacing w:beforeLines="0" w:afterLines="0" w:line="600" w:lineRule="auto"/>
        <w:ind w:left="846"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销售费用、管理费用、项目管理费的付款核算均通过“预付账款—费用类（按供应商核算）”科目进行过渡，然后再列入费用。对于零星费用供应商可不用通过该科目过渡，但经常性（</w:t>
      </w:r>
      <w:r w:rsidRPr="00D55B24">
        <w:rPr>
          <w:rFonts w:ascii="宋体" w:hAnsi="宋体" w:cstheme="minorBidi"/>
          <w:kern w:val="2"/>
          <w:szCs w:val="24"/>
          <w:lang w:val="en-US" w:eastAsia="zh-CN" w:bidi="ar-SA"/>
        </w:rPr>
        <w:t>2</w:t>
      </w:r>
      <w:r w:rsidRPr="00D55B24">
        <w:rPr>
          <w:rFonts w:ascii="宋体" w:hAnsi="宋体" w:cstheme="minorBidi" w:hint="eastAsia"/>
          <w:kern w:val="2"/>
          <w:szCs w:val="24"/>
          <w:lang w:val="en-US" w:eastAsia="zh-CN" w:bidi="ar-SA"/>
        </w:rPr>
        <w:t>次及以上）或者大额费用（</w:t>
      </w:r>
      <w:r w:rsidRPr="00D55B24">
        <w:rPr>
          <w:rFonts w:ascii="宋体" w:hAnsi="宋体" w:cstheme="minorBidi"/>
          <w:kern w:val="2"/>
          <w:szCs w:val="24"/>
          <w:lang w:val="en-US" w:eastAsia="zh-CN" w:bidi="ar-SA"/>
        </w:rPr>
        <w:t>1</w:t>
      </w:r>
      <w:r w:rsidRPr="00D55B24">
        <w:rPr>
          <w:rFonts w:ascii="宋体" w:hAnsi="宋体" w:cstheme="minorBidi" w:hint="eastAsia"/>
          <w:kern w:val="2"/>
          <w:szCs w:val="24"/>
          <w:lang w:val="en-US" w:eastAsia="zh-CN" w:bidi="ar-SA"/>
        </w:rPr>
        <w:t>万元以上）均必须通过该科目核算。</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“销售费用</w:t>
      </w:r>
      <w:r w:rsidRPr="00D55B24">
        <w:rPr>
          <w:rFonts w:ascii="宋体" w:hAnsi="宋体" w:cstheme="minorBidi" w:hint="eastAsia"/>
          <w:kern w:val="2"/>
          <w:szCs w:val="24"/>
          <w:lang w:val="en-US" w:eastAsia="zh-CN" w:bidi="ar-SA"/>
        </w:rPr>
        <w:t>-</w:t>
      </w:r>
      <w:r w:rsidRPr="00D55B24">
        <w:rPr>
          <w:rFonts w:ascii="宋体" w:hAnsi="宋体" w:cstheme="minorBidi" w:hint="eastAsia"/>
          <w:kern w:val="2"/>
          <w:szCs w:val="24"/>
          <w:lang w:val="en-US" w:eastAsia="zh-CN" w:bidi="ar-SA"/>
        </w:rPr>
        <w:t>营销服务费”的计提基数为当月的销售协议额；各</w:t>
      </w:r>
      <w:r w:rsidR="00027246">
        <w:rPr>
          <w:rFonts w:ascii="宋体" w:hAnsi="宋体" w:cstheme="minorBidi" w:hint="eastAsia"/>
          <w:kern w:val="2"/>
          <w:szCs w:val="24"/>
          <w:lang w:val="en-US" w:eastAsia="zh-CN" w:bidi="ar-SA"/>
        </w:rPr>
        <w:t>城市公司</w:t>
      </w:r>
      <w:r w:rsidRPr="00D55B24">
        <w:rPr>
          <w:rFonts w:ascii="宋体" w:hAnsi="宋体" w:cstheme="minorBidi" w:hint="eastAsia"/>
          <w:kern w:val="2"/>
          <w:szCs w:val="24"/>
          <w:lang w:val="en-US" w:eastAsia="zh-CN" w:bidi="ar-SA"/>
        </w:rPr>
        <w:t>财务人员务必按照权责发生制的原则对各公司已发生未支付的营销费用及时预提，如佣金、办证费、物业费减免等。</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销售推介人佣金在按《销售推介人管理办法》规定审批完毕后，可造表发放，财务部门发放时</w:t>
      </w:r>
      <w:r w:rsidRPr="00D55B24">
        <w:rPr>
          <w:rFonts w:ascii="宋体" w:hAnsi="宋体" w:cstheme="minorBidi"/>
          <w:kern w:val="2"/>
          <w:szCs w:val="24"/>
          <w:lang w:val="en-US" w:eastAsia="zh-CN" w:bidi="ar-SA"/>
        </w:rPr>
        <w:t>按劳务报酬所得代扣个人所得税</w:t>
      </w:r>
      <w:r w:rsidRPr="00D55B24">
        <w:rPr>
          <w:rFonts w:ascii="宋体" w:hAnsi="宋体" w:cstheme="minorBidi" w:hint="eastAsia"/>
          <w:kern w:val="2"/>
          <w:szCs w:val="24"/>
          <w:lang w:val="en-US" w:eastAsia="zh-CN" w:bidi="ar-SA"/>
        </w:rPr>
        <w:t>、营业税及附加，并将余额通过转账方式支付给销售推介人，不得通过钞票支付，也不得代领。财务部门集中一个月一次到本地税务局代缴该税金，并代开发票，作为财务附件入账。会计解决统一在“销售费用</w:t>
      </w:r>
      <w:r w:rsidRPr="00D55B24">
        <w:rPr>
          <w:rFonts w:ascii="宋体" w:hAnsi="宋体" w:cstheme="minorBidi" w:hint="eastAsia"/>
          <w:kern w:val="2"/>
          <w:szCs w:val="24"/>
          <w:lang w:val="en-US" w:eastAsia="zh-CN" w:bidi="ar-SA"/>
        </w:rPr>
        <w:t>-</w:t>
      </w:r>
      <w:r w:rsidRPr="00D55B24">
        <w:rPr>
          <w:rFonts w:ascii="宋体" w:hAnsi="宋体" w:cstheme="minorBidi" w:hint="eastAsia"/>
          <w:kern w:val="2"/>
          <w:szCs w:val="24"/>
          <w:lang w:val="en-US" w:eastAsia="zh-CN" w:bidi="ar-SA"/>
        </w:rPr>
        <w:t>项目</w:t>
      </w:r>
      <w:r w:rsidRPr="00D55B24">
        <w:rPr>
          <w:rFonts w:ascii="宋体" w:hAnsi="宋体" w:cstheme="minorBidi" w:hint="eastAsia"/>
          <w:kern w:val="2"/>
          <w:szCs w:val="24"/>
          <w:lang w:val="en-US" w:eastAsia="zh-CN" w:bidi="ar-SA"/>
        </w:rPr>
        <w:t>-</w:t>
      </w:r>
      <w:r w:rsidRPr="00D55B24">
        <w:rPr>
          <w:rFonts w:ascii="宋体" w:hAnsi="宋体" w:cstheme="minorBidi" w:hint="eastAsia"/>
          <w:kern w:val="2"/>
          <w:szCs w:val="24"/>
          <w:lang w:val="en-US" w:eastAsia="zh-CN" w:bidi="ar-SA"/>
        </w:rPr>
        <w:t>销售推广类费用</w:t>
      </w:r>
      <w:r w:rsidRPr="00D55B24">
        <w:rPr>
          <w:rFonts w:ascii="宋体" w:hAnsi="宋体" w:cstheme="minorBidi" w:hint="eastAsia"/>
          <w:kern w:val="2"/>
          <w:szCs w:val="24"/>
          <w:lang w:val="en-US" w:eastAsia="zh-CN" w:bidi="ar-SA"/>
        </w:rPr>
        <w:t>-</w:t>
      </w:r>
      <w:r w:rsidRPr="00D55B24">
        <w:rPr>
          <w:rFonts w:ascii="宋体" w:hAnsi="宋体" w:cstheme="minorBidi" w:hint="eastAsia"/>
          <w:kern w:val="2"/>
          <w:szCs w:val="24"/>
          <w:lang w:val="en-US" w:eastAsia="zh-CN" w:bidi="ar-SA"/>
        </w:rPr>
        <w:t>宣传和活动费”进行核算。</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sectPr w:rsidSect="00A65E41">
          <w:type w:val="nextPage"/>
          <w:pgSz w:w="11906" w:h="16838"/>
          <w:pgMar w:top="1440" w:right="1800" w:bottom="1440" w:left="1800" w:header="851" w:footer="992" w:gutter="0"/>
          <w:pgNumType w:start="33"/>
          <w:cols w:space="425"/>
          <w:titlePg w:val="0"/>
          <w:docGrid w:type="lines" w:linePitch="312"/>
        </w:sectPr>
      </w:pPr>
    </w:p>
    <w:p w:rsidR="0073097A" w:rsidRPr="00D55B24" w:rsidP="0073097A">
      <w:pPr>
        <w:pStyle w:val="Normal0"/>
        <w:numPr>
          <w:ilvl w:val="0"/>
          <w:numId w:val="0"/>
        </w:numPr>
        <w:adjustRightInd w:val="0"/>
        <w:snapToGrid w:val="0"/>
        <w:spacing w:beforeLines="0" w:afterLines="0" w:line="600" w:lineRule="auto"/>
        <w:ind w:left="846"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各公司每年应根据集团公司制定的战略目的、生产经营任务等编制年度利润计划、拟定目的利润，并建立利润分析制度、明确利润的考核指标以及权责归属。</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各公司按</w:t>
      </w:r>
      <w:r w:rsidRPr="00D55B24">
        <w:rPr>
          <w:rFonts w:ascii="宋体" w:hAnsi="宋体" w:cstheme="minorBidi"/>
          <w:kern w:val="2"/>
          <w:szCs w:val="24"/>
          <w:lang w:val="en-US" w:eastAsia="zh-CN" w:bidi="ar-SA"/>
        </w:rPr>
        <w:t>照法律、行政法规的规定按净利润</w:t>
      </w:r>
      <w:r w:rsidRPr="00D55B24">
        <w:rPr>
          <w:rFonts w:ascii="宋体" w:hAnsi="宋体" w:cstheme="minorBidi" w:hint="eastAsia"/>
          <w:kern w:val="2"/>
          <w:szCs w:val="24"/>
          <w:lang w:val="en-US" w:eastAsia="zh-CN" w:bidi="ar-SA"/>
        </w:rPr>
        <w:t>提取</w:t>
      </w:r>
      <w:r w:rsidRPr="00D55B24">
        <w:rPr>
          <w:rFonts w:ascii="宋体" w:hAnsi="宋体" w:cstheme="minorBidi"/>
          <w:kern w:val="2"/>
          <w:szCs w:val="24"/>
          <w:lang w:val="en-US" w:eastAsia="zh-CN" w:bidi="ar-SA"/>
        </w:rPr>
        <w:t>法定盈</w:t>
      </w:r>
      <w:r w:rsidRPr="00D55B24">
        <w:rPr>
          <w:rFonts w:ascii="宋体" w:hAnsi="宋体" w:cstheme="minorBidi" w:hint="eastAsia"/>
          <w:kern w:val="2"/>
          <w:szCs w:val="24"/>
          <w:lang w:val="en-US" w:eastAsia="zh-CN" w:bidi="ar-SA"/>
        </w:rPr>
        <w:t>余公积，按董事会和股东会的决议提取任意盈余公积</w:t>
      </w:r>
      <w:r w:rsidRPr="00D55B24">
        <w:rPr>
          <w:rFonts w:ascii="宋体" w:hAnsi="宋体" w:cstheme="minorBidi"/>
          <w:kern w:val="2"/>
          <w:szCs w:val="24"/>
          <w:lang w:val="en-US" w:eastAsia="zh-CN" w:bidi="ar-SA"/>
        </w:rPr>
        <w:t>等。</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各公司所得税采用债务法进行核算。</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各公司</w:t>
      </w:r>
      <w:r w:rsidRPr="00D55B24">
        <w:rPr>
          <w:rFonts w:ascii="宋体" w:hAnsi="宋体" w:cstheme="minorBidi"/>
          <w:kern w:val="2"/>
          <w:szCs w:val="24"/>
          <w:lang w:val="en-US" w:eastAsia="zh-CN" w:bidi="ar-SA"/>
        </w:rPr>
        <w:t>当期实现的净利润加上年初未分派利润</w:t>
      </w:r>
      <w:r w:rsidRPr="00D55B24">
        <w:rPr>
          <w:rFonts w:ascii="宋体" w:hAnsi="宋体" w:cstheme="minorBidi" w:hint="eastAsia"/>
          <w:kern w:val="2"/>
          <w:szCs w:val="24"/>
          <w:lang w:val="en-US" w:eastAsia="zh-CN" w:bidi="ar-SA"/>
        </w:rPr>
        <w:t>、以前年度损益调整</w:t>
      </w:r>
      <w:r w:rsidRPr="00D55B24">
        <w:rPr>
          <w:rFonts w:ascii="宋体" w:hAnsi="宋体" w:cstheme="minorBidi"/>
          <w:kern w:val="2"/>
          <w:szCs w:val="24"/>
          <w:lang w:val="en-US" w:eastAsia="zh-CN" w:bidi="ar-SA"/>
        </w:rPr>
        <w:t>和其他转入后的余额为可供分派的利润。可供分派的利润减去</w:t>
      </w:r>
      <w:r w:rsidRPr="00D55B24">
        <w:rPr>
          <w:rFonts w:ascii="宋体" w:hAnsi="宋体" w:cstheme="minorBidi" w:hint="eastAsia"/>
          <w:kern w:val="2"/>
          <w:szCs w:val="24"/>
          <w:lang w:val="en-US" w:eastAsia="zh-CN" w:bidi="ar-SA"/>
        </w:rPr>
        <w:t>提取的盈余</w:t>
      </w:r>
      <w:r w:rsidRPr="00D55B24">
        <w:rPr>
          <w:rFonts w:ascii="宋体" w:hAnsi="宋体" w:cstheme="minorBidi" w:hint="eastAsia"/>
          <w:kern w:val="2"/>
          <w:szCs w:val="24"/>
          <w:lang w:val="en-US" w:eastAsia="zh-CN" w:bidi="ar-SA"/>
        </w:rPr>
        <w:t>公积金等</w:t>
      </w:r>
      <w:r w:rsidRPr="00D55B24">
        <w:rPr>
          <w:rFonts w:ascii="宋体" w:hAnsi="宋体" w:cstheme="minorBidi"/>
          <w:kern w:val="2"/>
          <w:szCs w:val="24"/>
          <w:lang w:val="en-US" w:eastAsia="zh-CN" w:bidi="ar-SA"/>
        </w:rPr>
        <w:t>后为可供投资者分派的利润。</w:t>
      </w:r>
    </w:p>
    <w:p w:rsidR="0073097A" w:rsidRPr="00D55B24" w:rsidP="0073097A">
      <w:pPr>
        <w:pStyle w:val="Normal0"/>
        <w:numPr>
          <w:ilvl w:val="0"/>
          <w:numId w:val="3"/>
        </w:numPr>
        <w:adjustRightInd w:val="0"/>
        <w:snapToGrid w:val="0"/>
        <w:spacing w:beforeLines="0" w:afterLines="0" w:line="600" w:lineRule="auto"/>
        <w:ind w:left="562" w:firstLineChars="0"/>
        <w:rPr>
          <w:rFonts w:ascii="宋体" w:hAnsi="宋体"/>
          <w:kern w:val="2"/>
          <w:szCs w:val="24"/>
          <w:lang w:val="en-US" w:eastAsia="zh-CN" w:bidi="ar-SA"/>
        </w:rPr>
      </w:pPr>
      <w:r w:rsidRPr="00D55B24">
        <w:rPr>
          <w:rFonts w:ascii="宋体" w:hAnsi="宋体" w:cstheme="minorBidi" w:hint="eastAsia"/>
          <w:kern w:val="2"/>
          <w:szCs w:val="24"/>
          <w:lang w:val="en-US" w:eastAsia="zh-CN" w:bidi="ar-SA"/>
        </w:rPr>
        <w:t>利润分派按下列原则执行：</w:t>
      </w:r>
    </w:p>
    <w:p w:rsidR="0073097A" w:rsidRPr="00D55B24" w:rsidP="0019740E">
      <w:pPr>
        <w:pStyle w:val="Normal0"/>
        <w:numPr>
          <w:ilvl w:val="1"/>
          <w:numId w:val="33"/>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各公司的年度利润分派方案应由董事会拟订并提请股东会批准；</w:t>
      </w:r>
    </w:p>
    <w:p w:rsidR="0073097A" w:rsidRPr="00D55B24" w:rsidP="0019740E">
      <w:pPr>
        <w:pStyle w:val="Normal0"/>
        <w:numPr>
          <w:ilvl w:val="1"/>
          <w:numId w:val="33"/>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w:t>
      </w:r>
      <w:r w:rsidRPr="00D55B24">
        <w:rPr>
          <w:rFonts w:ascii="宋体" w:hAnsi="宋体" w:cstheme="minorBidi" w:hint="eastAsia"/>
          <w:bCs/>
          <w:kern w:val="2"/>
          <w:szCs w:val="24"/>
          <w:lang w:val="en-US" w:eastAsia="zh-CN" w:bidi="ar-SA"/>
        </w:rPr>
        <w:t>2</w:t>
      </w:r>
      <w:r w:rsidRPr="00D55B24">
        <w:rPr>
          <w:rFonts w:ascii="宋体" w:hAnsi="宋体" w:cstheme="minorBidi" w:hint="eastAsia"/>
          <w:bCs/>
          <w:kern w:val="2"/>
          <w:szCs w:val="24"/>
          <w:lang w:val="en-US" w:eastAsia="zh-CN" w:bidi="ar-SA"/>
        </w:rPr>
        <w:t>）各公司应将根据《公司会计制度》计算拟定的当期净利润与年初未分派利润之和，扣除公司当期提取的盈余公积金后的余额作为当年向股东分派利润的最大限额，在该最大限额内进行利润分派；</w:t>
      </w:r>
    </w:p>
    <w:p w:rsidR="0073097A" w:rsidRPr="00D55B24" w:rsidP="0019740E">
      <w:pPr>
        <w:pStyle w:val="Normal0"/>
        <w:numPr>
          <w:ilvl w:val="1"/>
          <w:numId w:val="33"/>
        </w:numPr>
        <w:adjustRightInd w:val="0"/>
        <w:snapToGrid w:val="0"/>
        <w:spacing w:beforeLines="0" w:afterLines="0" w:line="600" w:lineRule="auto"/>
        <w:ind w:left="0" w:firstLine="0" w:firstLineChars="0"/>
        <w:rPr>
          <w:rFonts w:ascii="宋体" w:hAnsi="宋体"/>
          <w:bCs/>
          <w:kern w:val="2"/>
          <w:szCs w:val="24"/>
          <w:lang w:val="en-US" w:eastAsia="zh-CN" w:bidi="ar-SA"/>
        </w:rPr>
        <w:sectPr w:rsidSect="00A65E41">
          <w:type w:val="nextPage"/>
          <w:pgSz w:w="11906" w:h="16838"/>
          <w:pgMar w:top="1440" w:right="1800" w:bottom="1440" w:left="1800" w:header="851" w:footer="992" w:gutter="0"/>
          <w:pgNumType w:start="34"/>
          <w:cols w:space="425"/>
          <w:titlePg w:val="0"/>
          <w:docGrid w:type="lines" w:linePitch="312"/>
        </w:sectPr>
      </w:pPr>
      <w:r w:rsidRPr="00D55B24">
        <w:rPr>
          <w:rFonts w:ascii="宋体" w:hAnsi="宋体" w:cstheme="minorBidi" w:hint="eastAsia"/>
          <w:bCs/>
          <w:kern w:val="2"/>
          <w:szCs w:val="24"/>
          <w:lang w:val="en-US" w:eastAsia="zh-CN" w:bidi="ar-SA"/>
        </w:rPr>
        <w:t>以前年度的亏损没有填补完，不得提取盈余公积金；</w:t>
      </w:r>
    </w:p>
    <w:p w:rsidR="0073097A" w:rsidRPr="00D55B24" w:rsidP="0019740E">
      <w:pPr>
        <w:pStyle w:val="Normal0"/>
        <w:numPr>
          <w:ilvl w:val="1"/>
          <w:numId w:val="33"/>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各公司不得预分利润，即无赚钱年度不得向投资者分派利润；</w:t>
      </w:r>
    </w:p>
    <w:p w:rsidR="0073097A" w:rsidRPr="00D55B24" w:rsidP="0019740E">
      <w:pPr>
        <w:pStyle w:val="Normal0"/>
        <w:numPr>
          <w:ilvl w:val="1"/>
          <w:numId w:val="33"/>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各公司的利润分派可以采用多种形式发放，如钞票、股票、财产等。</w:t>
      </w:r>
    </w:p>
    <w:p w:rsidR="0073097A" w:rsidRPr="00D55B24" w:rsidP="0019740E">
      <w:pPr>
        <w:pStyle w:val="Normal0"/>
        <w:numPr>
          <w:ilvl w:val="1"/>
          <w:numId w:val="33"/>
        </w:numPr>
        <w:adjustRightInd w:val="0"/>
        <w:snapToGrid w:val="0"/>
        <w:spacing w:beforeLines="0" w:afterLines="0" w:line="600" w:lineRule="auto"/>
        <w:ind w:left="0" w:firstLine="0" w:firstLineChars="0"/>
        <w:rPr>
          <w:rFonts w:ascii="宋体" w:hAnsi="宋体"/>
          <w:bCs/>
          <w:kern w:val="2"/>
          <w:szCs w:val="24"/>
          <w:lang w:val="en-US" w:eastAsia="zh-CN" w:bidi="ar-SA"/>
        </w:rPr>
      </w:pPr>
      <w:r w:rsidRPr="00D55B24">
        <w:rPr>
          <w:rFonts w:ascii="宋体" w:hAnsi="宋体" w:cstheme="minorBidi" w:hint="eastAsia"/>
          <w:bCs/>
          <w:kern w:val="2"/>
          <w:szCs w:val="24"/>
          <w:lang w:val="en-US" w:eastAsia="zh-CN" w:bidi="ar-SA"/>
        </w:rPr>
        <w:t>各公司决定是否分派利润以及以什么形式分派利润时，应充足考虑法律、</w:t>
      </w:r>
      <w:r w:rsidR="00310CC9">
        <w:rPr>
          <w:rFonts w:ascii="宋体" w:hAnsi="宋体" w:cstheme="minorBidi" w:hint="eastAsia"/>
          <w:bCs/>
          <w:kern w:val="2"/>
          <w:szCs w:val="24"/>
          <w:lang w:val="en-US" w:eastAsia="zh-CN" w:bidi="ar-SA"/>
        </w:rPr>
        <w:t>偿还债务</w:t>
      </w:r>
      <w:r w:rsidRPr="00D55B24">
        <w:rPr>
          <w:rFonts w:ascii="宋体" w:hAnsi="宋体" w:cstheme="minorBidi" w:hint="eastAsia"/>
          <w:bCs/>
          <w:kern w:val="2"/>
          <w:szCs w:val="24"/>
          <w:lang w:val="en-US" w:eastAsia="zh-CN" w:bidi="ar-SA"/>
        </w:rPr>
        <w:t>、钞票支付能力、税收政策等的制约。</w:t>
      </w:r>
    </w:p>
    <w:p w:rsidR="0073097A" w:rsidRPr="00961D28" w:rsidP="00961D28">
      <w:pPr>
        <w:pStyle w:val="Normal0"/>
        <w:spacing w:before="156" w:after="156" w:line="600" w:lineRule="auto"/>
        <w:ind w:firstLine="480"/>
        <w:rPr>
          <w:rFonts w:ascii="Times New Roman" w:hAnsi="Times New Roman"/>
          <w:bCs/>
          <w:kern w:val="2"/>
          <w:szCs w:val="24"/>
          <w:lang w:val="en-US" w:eastAsia="zh-CN" w:bidi="ar-SA"/>
        </w:rPr>
      </w:pPr>
      <w:r w:rsidRPr="00961D28">
        <w:rPr>
          <w:rFonts w:ascii="Times New Roman" w:hAnsi="Times New Roman" w:cstheme="minorBidi" w:hint="eastAsia"/>
          <w:bCs/>
          <w:kern w:val="2"/>
          <w:szCs w:val="24"/>
          <w:lang w:val="en-US" w:eastAsia="zh-CN" w:bidi="ar-SA"/>
        </w:rPr>
        <w:t>附表：（</w:t>
      </w:r>
      <w:r w:rsidRPr="00961D28">
        <w:rPr>
          <w:rFonts w:ascii="Times New Roman" w:hAnsi="Times New Roman" w:cstheme="minorBidi"/>
          <w:bCs/>
          <w:kern w:val="2"/>
          <w:szCs w:val="24"/>
          <w:lang w:val="en-US" w:eastAsia="zh-CN" w:bidi="ar-SA"/>
        </w:rPr>
        <w:t>会计</w:t>
      </w:r>
      <w:r w:rsidRPr="00961D28">
        <w:rPr>
          <w:rFonts w:ascii="Times New Roman" w:hAnsi="Times New Roman" w:cstheme="minorBidi" w:hint="eastAsia"/>
          <w:bCs/>
          <w:kern w:val="2"/>
          <w:szCs w:val="24"/>
          <w:lang w:val="en-US" w:eastAsia="zh-CN" w:bidi="ar-SA"/>
        </w:rPr>
        <w:t>核算制度</w:t>
      </w:r>
      <w:r w:rsidRPr="00961D28">
        <w:rPr>
          <w:rFonts w:ascii="Times New Roman" w:hAnsi="Times New Roman" w:cstheme="minorBidi" w:hint="eastAsia"/>
          <w:bCs/>
          <w:kern w:val="2"/>
          <w:szCs w:val="24"/>
          <w:lang w:val="en-US" w:eastAsia="zh-CN" w:bidi="ar-SA"/>
        </w:rPr>
        <w:t>-T001</w:t>
      </w:r>
      <w:r w:rsidRPr="00961D28">
        <w:rPr>
          <w:rFonts w:ascii="Times New Roman" w:hAnsi="Times New Roman" w:cstheme="minorBidi" w:hint="eastAsia"/>
          <w:bCs/>
          <w:kern w:val="2"/>
          <w:szCs w:val="24"/>
          <w:lang w:val="en-US" w:eastAsia="zh-CN" w:bidi="ar-SA"/>
        </w:rPr>
        <w:t>）</w:t>
      </w:r>
      <w:r w:rsidR="00027246">
        <w:rPr>
          <w:rFonts w:ascii="Times New Roman" w:hAnsi="Times New Roman" w:cstheme="minorBidi" w:hint="eastAsia"/>
          <w:bCs/>
          <w:kern w:val="2"/>
          <w:szCs w:val="24"/>
          <w:lang w:val="en-US" w:eastAsia="zh-CN" w:bidi="ar-SA"/>
        </w:rPr>
        <w:t>城市公司</w:t>
      </w:r>
      <w:r w:rsidRPr="00961D28">
        <w:rPr>
          <w:rFonts w:ascii="Times New Roman" w:hAnsi="Times New Roman" w:cstheme="minorBidi" w:hint="eastAsia"/>
          <w:bCs/>
          <w:kern w:val="2"/>
          <w:szCs w:val="24"/>
          <w:lang w:val="en-US" w:eastAsia="zh-CN" w:bidi="ar-SA"/>
        </w:rPr>
        <w:t>结账备忘录</w:t>
      </w:r>
    </w:p>
    <w:tbl>
      <w:tblPr>
        <w:tblStyle w:val="TableNormal"/>
        <w:tblW w:w="0" w:type="auto"/>
        <w:tblInd w:w="108" w:type="dxa"/>
        <w:tblLayout w:type="fixed"/>
        <w:tblLook w:val="0000"/>
      </w:tblPr>
      <w:tblGrid>
        <w:gridCol w:w="1418"/>
        <w:gridCol w:w="2835"/>
        <w:gridCol w:w="850"/>
        <w:gridCol w:w="993"/>
        <w:gridCol w:w="708"/>
        <w:gridCol w:w="1560"/>
      </w:tblGrid>
      <w:tr w:rsidTr="00C3172D">
        <w:tblPrEx>
          <w:tblW w:w="0" w:type="auto"/>
          <w:tblInd w:w="108" w:type="dxa"/>
          <w:tblLayout w:type="fixed"/>
          <w:tblLook w:val="0000"/>
        </w:tblPrEx>
        <w:trPr>
          <w:trHeight w:val="435"/>
        </w:trPr>
        <w:tc>
          <w:tcPr>
            <w:tcW w:w="8364" w:type="dxa"/>
            <w:gridSpan w:val="6"/>
            <w:tcBorders>
              <w:top w:val="nil"/>
              <w:left w:val="nil"/>
              <w:bottom w:val="nil"/>
              <w:right w:val="nil"/>
            </w:tcBorders>
            <w:vAlign w:val="center"/>
          </w:tcPr>
          <w:p w:rsidR="0073097A" w:rsidRPr="0073097A" w:rsidP="0073097A">
            <w:pPr>
              <w:pStyle w:val="Normal0"/>
              <w:widowControl/>
              <w:adjustRightInd w:val="0"/>
              <w:snapToGrid w:val="0"/>
              <w:spacing w:before="156" w:after="156"/>
              <w:ind w:firstLine="400"/>
              <w:jc w:val="center"/>
              <w:rPr>
                <w:rFonts w:cs="宋体"/>
                <w:bCs/>
                <w:kern w:val="0"/>
                <w:sz w:val="20"/>
                <w:szCs w:val="20"/>
                <w:lang w:val="en-US" w:eastAsia="zh-CN" w:bidi="ar-SA"/>
              </w:rPr>
            </w:pPr>
            <w:r w:rsidRPr="0073097A">
              <w:rPr>
                <w:rFonts w:asciiTheme="minorHAnsi" w:hAnsiTheme="minorHAnsi" w:cs="宋体" w:hint="eastAsia"/>
                <w:bCs/>
                <w:kern w:val="0"/>
                <w:sz w:val="20"/>
                <w:szCs w:val="20"/>
                <w:lang w:val="en-US" w:eastAsia="zh-CN" w:bidi="ar-SA"/>
              </w:rPr>
              <w:t>鑫苑（中国）置业公司</w:t>
            </w:r>
            <w:r w:rsidR="00027246">
              <w:rPr>
                <w:rFonts w:asciiTheme="minorHAnsi" w:hAnsiTheme="minorHAnsi" w:cs="宋体" w:hint="eastAsia"/>
                <w:bCs/>
                <w:kern w:val="0"/>
                <w:sz w:val="20"/>
                <w:szCs w:val="20"/>
                <w:lang w:val="en-US" w:eastAsia="zh-CN" w:bidi="ar-SA"/>
              </w:rPr>
              <w:t>城市公司</w:t>
            </w:r>
            <w:r w:rsidRPr="0073097A">
              <w:rPr>
                <w:rFonts w:asciiTheme="minorHAnsi" w:hAnsiTheme="minorHAnsi" w:cs="宋体" w:hint="eastAsia"/>
                <w:bCs/>
                <w:kern w:val="0"/>
                <w:sz w:val="20"/>
                <w:szCs w:val="20"/>
                <w:lang w:val="en-US" w:eastAsia="zh-CN" w:bidi="ar-SA"/>
              </w:rPr>
              <w:t>结帐备忘表</w:t>
            </w:r>
            <w:r w:rsidRPr="0073097A">
              <w:rPr>
                <w:rFonts w:asciiTheme="minorHAnsi" w:hAnsiTheme="minorHAnsi" w:cs="Arial"/>
                <w:bCs/>
                <w:kern w:val="0"/>
                <w:sz w:val="20"/>
                <w:szCs w:val="20"/>
                <w:lang w:val="en-US" w:eastAsia="zh-CN" w:bidi="ar-SA"/>
              </w:rPr>
              <w:t xml:space="preserve">   </w:t>
            </w:r>
          </w:p>
        </w:tc>
      </w:tr>
      <w:tr w:rsidTr="00C3172D">
        <w:tblPrEx>
          <w:tblW w:w="0" w:type="auto"/>
          <w:tblInd w:w="108" w:type="dxa"/>
          <w:tblLayout w:type="fixed"/>
          <w:tblLook w:val="0000"/>
        </w:tblPrEx>
        <w:trPr>
          <w:trHeight w:val="480"/>
        </w:trPr>
        <w:tc>
          <w:tcPr>
            <w:tcW w:w="1418" w:type="dxa"/>
            <w:tcBorders>
              <w:top w:val="single" w:sz="8" w:space="0" w:color="auto"/>
              <w:left w:val="single" w:sz="8" w:space="0" w:color="auto"/>
              <w:bottom w:val="single" w:sz="4" w:space="0" w:color="auto"/>
              <w:right w:val="nil"/>
            </w:tcBorders>
            <w:shd w:val="clear" w:color="auto" w:fill="C0C0C0"/>
            <w:vAlign w:val="center"/>
          </w:tcPr>
          <w:p w:rsidR="0073097A" w:rsidRPr="0073097A" w:rsidP="0073097A">
            <w:pPr>
              <w:pStyle w:val="Normal0"/>
              <w:widowControl/>
              <w:adjustRightInd w:val="0"/>
              <w:snapToGrid w:val="0"/>
              <w:spacing w:before="156" w:after="156"/>
              <w:ind w:firstLine="320"/>
              <w:jc w:val="center"/>
              <w:rPr>
                <w:rFonts w:asciiTheme="minorEastAsia" w:eastAsiaTheme="minorEastAsia" w:hAnsiTheme="minorEastAsia" w:cs="宋体"/>
                <w:bCs/>
                <w:kern w:val="0"/>
                <w:sz w:val="16"/>
                <w:szCs w:val="16"/>
                <w:lang w:val="en-US" w:eastAsia="zh-CN" w:bidi="ar-SA"/>
              </w:rPr>
            </w:pPr>
            <w:r w:rsidRPr="0073097A">
              <w:rPr>
                <w:rFonts w:asciiTheme="minorEastAsia" w:eastAsiaTheme="minorEastAsia" w:hAnsiTheme="minorEastAsia" w:cs="宋体" w:hint="eastAsia"/>
                <w:bCs/>
                <w:kern w:val="0"/>
                <w:sz w:val="16"/>
                <w:szCs w:val="16"/>
                <w:lang w:val="en-US" w:eastAsia="zh-CN" w:bidi="ar-SA"/>
              </w:rPr>
              <w:t>项目</w:t>
            </w:r>
          </w:p>
        </w:tc>
        <w:tc>
          <w:tcPr>
            <w:tcW w:w="2835" w:type="dxa"/>
            <w:tcBorders>
              <w:top w:val="single" w:sz="8" w:space="0" w:color="auto"/>
              <w:left w:val="single" w:sz="4" w:space="0" w:color="auto"/>
              <w:bottom w:val="single" w:sz="4" w:space="0" w:color="auto"/>
              <w:right w:val="nil"/>
            </w:tcBorders>
            <w:shd w:val="clear" w:color="auto" w:fill="C0C0C0"/>
            <w:vAlign w:val="center"/>
          </w:tcPr>
          <w:p w:rsidR="0073097A" w:rsidRPr="0073097A" w:rsidP="0073097A">
            <w:pPr>
              <w:pStyle w:val="Normal0"/>
              <w:widowControl/>
              <w:adjustRightInd w:val="0"/>
              <w:snapToGrid w:val="0"/>
              <w:spacing w:before="156" w:after="156"/>
              <w:ind w:firstLine="320"/>
              <w:jc w:val="center"/>
              <w:rPr>
                <w:rFonts w:asciiTheme="minorEastAsia" w:eastAsiaTheme="minorEastAsia" w:hAnsiTheme="minorEastAsia" w:cs="宋体"/>
                <w:bCs/>
                <w:kern w:val="0"/>
                <w:sz w:val="16"/>
                <w:szCs w:val="16"/>
                <w:lang w:val="en-US" w:eastAsia="zh-CN" w:bidi="ar-SA"/>
              </w:rPr>
            </w:pPr>
            <w:r w:rsidRPr="0073097A">
              <w:rPr>
                <w:rFonts w:asciiTheme="minorEastAsia" w:eastAsiaTheme="minorEastAsia" w:hAnsiTheme="minorEastAsia" w:cs="宋体" w:hint="eastAsia"/>
                <w:bCs/>
                <w:kern w:val="0"/>
                <w:sz w:val="16"/>
                <w:szCs w:val="16"/>
                <w:lang w:val="en-US" w:eastAsia="zh-CN" w:bidi="ar-SA"/>
              </w:rPr>
              <w:t>任务</w:t>
            </w:r>
          </w:p>
        </w:tc>
        <w:tc>
          <w:tcPr>
            <w:tcW w:w="850" w:type="dxa"/>
            <w:tcBorders>
              <w:top w:val="single" w:sz="8" w:space="0" w:color="auto"/>
              <w:left w:val="single" w:sz="4" w:space="0" w:color="auto"/>
              <w:bottom w:val="single" w:sz="4" w:space="0" w:color="auto"/>
              <w:right w:val="nil"/>
            </w:tcBorders>
            <w:shd w:val="clear" w:color="auto" w:fill="C0C0C0"/>
            <w:vAlign w:val="center"/>
          </w:tcPr>
          <w:p w:rsidR="0073097A" w:rsidRPr="0073097A" w:rsidP="0073097A">
            <w:pPr>
              <w:pStyle w:val="Normal0"/>
              <w:widowControl/>
              <w:adjustRightInd w:val="0"/>
              <w:snapToGrid w:val="0"/>
              <w:spacing w:before="156" w:after="156"/>
              <w:ind w:firstLine="0" w:firstLineChars="0"/>
              <w:jc w:val="center"/>
              <w:rPr>
                <w:rFonts w:asciiTheme="minorEastAsia" w:eastAsiaTheme="minorEastAsia" w:hAnsiTheme="minorEastAsia" w:cs="宋体"/>
                <w:bCs/>
                <w:kern w:val="0"/>
                <w:sz w:val="16"/>
                <w:szCs w:val="16"/>
                <w:lang w:val="en-US" w:eastAsia="zh-CN" w:bidi="ar-SA"/>
              </w:rPr>
            </w:pPr>
            <w:r w:rsidRPr="0073097A">
              <w:rPr>
                <w:rFonts w:asciiTheme="minorEastAsia" w:eastAsiaTheme="minorEastAsia" w:hAnsiTheme="minorEastAsia" w:cs="宋体" w:hint="eastAsia"/>
                <w:bCs/>
                <w:kern w:val="0"/>
                <w:sz w:val="16"/>
                <w:szCs w:val="16"/>
                <w:lang w:val="en-US" w:eastAsia="zh-CN" w:bidi="ar-SA"/>
              </w:rPr>
              <w:t>月度结帐合用</w:t>
            </w:r>
          </w:p>
        </w:tc>
        <w:tc>
          <w:tcPr>
            <w:tcW w:w="993" w:type="dxa"/>
            <w:tcBorders>
              <w:top w:val="single" w:sz="8" w:space="0" w:color="auto"/>
              <w:left w:val="single" w:sz="4" w:space="0" w:color="auto"/>
              <w:bottom w:val="single" w:sz="4" w:space="0" w:color="auto"/>
              <w:right w:val="nil"/>
            </w:tcBorders>
            <w:shd w:val="clear" w:color="auto" w:fill="C0C0C0"/>
            <w:vAlign w:val="center"/>
          </w:tcPr>
          <w:p w:rsidR="0073097A" w:rsidRPr="0073097A" w:rsidP="0073097A">
            <w:pPr>
              <w:pStyle w:val="Normal0"/>
              <w:widowControl/>
              <w:adjustRightInd w:val="0"/>
              <w:snapToGrid w:val="0"/>
              <w:spacing w:before="156" w:after="156"/>
              <w:ind w:firstLine="0" w:firstLineChars="0"/>
              <w:jc w:val="center"/>
              <w:rPr>
                <w:rFonts w:asciiTheme="minorEastAsia" w:eastAsiaTheme="minorEastAsia" w:hAnsiTheme="minorEastAsia" w:cs="宋体"/>
                <w:bCs/>
                <w:kern w:val="0"/>
                <w:sz w:val="16"/>
                <w:szCs w:val="16"/>
                <w:lang w:val="en-US" w:eastAsia="zh-CN" w:bidi="ar-SA"/>
              </w:rPr>
            </w:pPr>
            <w:r w:rsidRPr="0073097A">
              <w:rPr>
                <w:rFonts w:asciiTheme="minorEastAsia" w:eastAsiaTheme="minorEastAsia" w:hAnsiTheme="minorEastAsia" w:cs="宋体" w:hint="eastAsia"/>
                <w:bCs/>
                <w:kern w:val="0"/>
                <w:sz w:val="16"/>
                <w:szCs w:val="16"/>
                <w:lang w:val="en-US" w:eastAsia="zh-CN" w:bidi="ar-SA"/>
              </w:rPr>
              <w:t>季度结帐合用</w:t>
            </w:r>
          </w:p>
        </w:tc>
        <w:tc>
          <w:tcPr>
            <w:tcW w:w="708" w:type="dxa"/>
            <w:tcBorders>
              <w:top w:val="single" w:sz="8" w:space="0" w:color="auto"/>
              <w:left w:val="single" w:sz="4" w:space="0" w:color="auto"/>
              <w:bottom w:val="single" w:sz="4" w:space="0" w:color="auto"/>
              <w:right w:val="nil"/>
            </w:tcBorders>
            <w:shd w:val="clear" w:color="auto" w:fill="C0C0C0"/>
            <w:vAlign w:val="center"/>
          </w:tcPr>
          <w:p w:rsidR="0073097A" w:rsidRPr="0073097A" w:rsidP="0073097A">
            <w:pPr>
              <w:pStyle w:val="Normal0"/>
              <w:widowControl/>
              <w:adjustRightInd w:val="0"/>
              <w:snapToGrid w:val="0"/>
              <w:spacing w:before="156" w:after="156"/>
              <w:ind w:firstLine="0" w:firstLineChars="0"/>
              <w:jc w:val="center"/>
              <w:rPr>
                <w:rFonts w:asciiTheme="minorEastAsia" w:eastAsiaTheme="minorEastAsia" w:hAnsiTheme="minorEastAsia" w:cs="宋体"/>
                <w:bCs/>
                <w:kern w:val="0"/>
                <w:sz w:val="16"/>
                <w:szCs w:val="16"/>
                <w:lang w:val="en-US" w:eastAsia="zh-CN" w:bidi="ar-SA"/>
              </w:rPr>
            </w:pPr>
            <w:r w:rsidRPr="0073097A">
              <w:rPr>
                <w:rFonts w:asciiTheme="minorEastAsia" w:eastAsiaTheme="minorEastAsia" w:hAnsiTheme="minorEastAsia" w:cs="宋体" w:hint="eastAsia"/>
                <w:bCs/>
                <w:kern w:val="0"/>
                <w:sz w:val="16"/>
                <w:szCs w:val="16"/>
                <w:lang w:val="en-US" w:eastAsia="zh-CN" w:bidi="ar-SA"/>
              </w:rPr>
              <w:t>年度结帐合用</w:t>
            </w:r>
          </w:p>
        </w:tc>
        <w:tc>
          <w:tcPr>
            <w:tcW w:w="1560" w:type="dxa"/>
            <w:tcBorders>
              <w:top w:val="single" w:sz="8" w:space="0" w:color="auto"/>
              <w:left w:val="single" w:sz="4" w:space="0" w:color="auto"/>
              <w:bottom w:val="single" w:sz="4" w:space="0" w:color="auto"/>
              <w:right w:val="single" w:sz="8" w:space="0" w:color="auto"/>
            </w:tcBorders>
            <w:shd w:val="clear" w:color="auto" w:fill="C0C0C0"/>
            <w:vAlign w:val="center"/>
          </w:tcPr>
          <w:p w:rsidR="0073097A" w:rsidRPr="0073097A" w:rsidP="0073097A">
            <w:pPr>
              <w:pStyle w:val="Normal0"/>
              <w:widowControl/>
              <w:adjustRightInd w:val="0"/>
              <w:snapToGrid w:val="0"/>
              <w:spacing w:before="156" w:after="156"/>
              <w:ind w:firstLine="0" w:firstLineChars="0"/>
              <w:jc w:val="center"/>
              <w:rPr>
                <w:rFonts w:asciiTheme="minorEastAsia" w:eastAsiaTheme="minorEastAsia" w:hAnsiTheme="minorEastAsia" w:cs="宋体"/>
                <w:bCs/>
                <w:kern w:val="0"/>
                <w:sz w:val="16"/>
                <w:szCs w:val="16"/>
                <w:lang w:val="en-US" w:eastAsia="zh-CN" w:bidi="ar-SA"/>
              </w:rPr>
            </w:pPr>
            <w:r w:rsidRPr="0073097A">
              <w:rPr>
                <w:rFonts w:asciiTheme="minorEastAsia" w:eastAsiaTheme="minorEastAsia" w:hAnsiTheme="minorEastAsia" w:cs="宋体" w:hint="eastAsia"/>
                <w:bCs/>
                <w:kern w:val="0"/>
                <w:sz w:val="16"/>
                <w:szCs w:val="16"/>
                <w:lang w:val="en-US" w:eastAsia="zh-CN" w:bidi="ar-SA"/>
              </w:rPr>
              <w:t>各分、</w:t>
            </w:r>
            <w:r w:rsidR="00027246">
              <w:rPr>
                <w:rFonts w:asciiTheme="minorEastAsia" w:eastAsiaTheme="minorEastAsia" w:hAnsiTheme="minorEastAsia" w:cs="宋体" w:hint="eastAsia"/>
                <w:bCs/>
                <w:kern w:val="0"/>
                <w:sz w:val="16"/>
                <w:szCs w:val="16"/>
                <w:lang w:val="en-US" w:eastAsia="zh-CN" w:bidi="ar-SA"/>
              </w:rPr>
              <w:t>城市公司</w:t>
            </w:r>
            <w:r w:rsidRPr="0073097A">
              <w:rPr>
                <w:rFonts w:asciiTheme="minorEastAsia" w:eastAsiaTheme="minorEastAsia" w:hAnsiTheme="minorEastAsia" w:cs="宋体" w:hint="eastAsia"/>
                <w:bCs/>
                <w:kern w:val="0"/>
                <w:sz w:val="16"/>
                <w:szCs w:val="16"/>
                <w:lang w:val="en-US" w:eastAsia="zh-CN" w:bidi="ar-SA"/>
              </w:rPr>
              <w:t>任务负责人</w:t>
            </w:r>
          </w:p>
        </w:tc>
      </w:tr>
      <w:tr w:rsidTr="00C3172D">
        <w:tblPrEx>
          <w:tblW w:w="0" w:type="auto"/>
          <w:tblInd w:w="108" w:type="dxa"/>
          <w:tblLayout w:type="fixed"/>
          <w:tblLook w:val="0000"/>
        </w:tblPrEx>
        <w:trPr>
          <w:trHeight w:val="30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0" w:firstLineChars="0"/>
              <w:rPr>
                <w:rFonts w:asciiTheme="minorEastAsia" w:eastAsiaTheme="minorEastAsia" w:hAnsiTheme="minorEastAsia" w:cs="Arial"/>
                <w:bCs/>
                <w:kern w:val="0"/>
                <w:sz w:val="16"/>
                <w:szCs w:val="16"/>
                <w:lang w:val="en-US" w:eastAsia="zh-CN" w:bidi="ar-SA"/>
              </w:rPr>
            </w:pPr>
            <w:r w:rsidRPr="0073097A">
              <w:rPr>
                <w:rFonts w:asciiTheme="minorEastAsia" w:eastAsiaTheme="minorEastAsia" w:hAnsiTheme="minorEastAsia" w:cs="Arial"/>
                <w:bCs/>
                <w:kern w:val="0"/>
                <w:sz w:val="16"/>
                <w:szCs w:val="16"/>
                <w:lang w:val="en-US" w:eastAsia="zh-CN" w:bidi="ar-SA"/>
              </w:rPr>
              <w:t xml:space="preserve">1.0  </w:t>
            </w:r>
            <w:r w:rsidRPr="0073097A">
              <w:rPr>
                <w:rFonts w:asciiTheme="minorEastAsia" w:eastAsiaTheme="minorEastAsia" w:hAnsiTheme="minorEastAsia" w:cs="Arial" w:hint="eastAsia"/>
                <w:bCs/>
                <w:kern w:val="0"/>
                <w:sz w:val="16"/>
                <w:szCs w:val="16"/>
                <w:lang w:val="en-US" w:eastAsia="zh-CN" w:bidi="ar-SA"/>
              </w:rPr>
              <w:t>一般流程</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bCs/>
                <w:kern w:val="0"/>
                <w:sz w:val="16"/>
                <w:szCs w:val="16"/>
                <w:lang w:val="en-US" w:eastAsia="zh-CN" w:bidi="ar-SA"/>
              </w:rPr>
            </w:pP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bCs/>
                <w:kern w:val="0"/>
                <w:sz w:val="16"/>
                <w:szCs w:val="16"/>
                <w:lang w:val="en-US" w:eastAsia="zh-CN" w:bidi="ar-SA"/>
              </w:rPr>
            </w:pP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bCs/>
                <w:kern w:val="0"/>
                <w:sz w:val="16"/>
                <w:szCs w:val="16"/>
                <w:lang w:val="en-US" w:eastAsia="zh-CN" w:bidi="ar-SA"/>
              </w:rPr>
            </w:pP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bCs/>
                <w:kern w:val="0"/>
                <w:sz w:val="16"/>
                <w:szCs w:val="16"/>
                <w:lang w:val="en-US" w:eastAsia="zh-CN" w:bidi="ar-SA"/>
              </w:rPr>
            </w:pP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bCs/>
                <w:kern w:val="0"/>
                <w:sz w:val="16"/>
                <w:szCs w:val="16"/>
                <w:lang w:val="en-US" w:eastAsia="zh-CN" w:bidi="ar-SA"/>
              </w:rPr>
            </w:pPr>
          </w:p>
        </w:tc>
      </w:tr>
      <w:tr w:rsidTr="00C3172D">
        <w:tblPrEx>
          <w:tblW w:w="0" w:type="auto"/>
          <w:tblInd w:w="108" w:type="dxa"/>
          <w:tblLayout w:type="fixed"/>
          <w:tblLook w:val="0000"/>
        </w:tblPrEx>
        <w:trPr>
          <w:trHeight w:val="357"/>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1.1</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月末最后一天，核对内部往来，保证内部往来核对一致。</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总帐会计</w:t>
            </w:r>
          </w:p>
        </w:tc>
      </w:tr>
      <w:tr w:rsidTr="00C3172D">
        <w:tblPrEx>
          <w:tblW w:w="0" w:type="auto"/>
          <w:tblInd w:w="108" w:type="dxa"/>
          <w:tblLayout w:type="fixed"/>
          <w:tblLook w:val="0000"/>
        </w:tblPrEx>
        <w:trPr>
          <w:trHeight w:val="291"/>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1.2</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检查科目余额表，看有无异常科目</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总帐会计</w:t>
            </w:r>
          </w:p>
        </w:tc>
      </w:tr>
      <w:tr w:rsidTr="00C3172D">
        <w:tblPrEx>
          <w:tblW w:w="0" w:type="auto"/>
          <w:tblInd w:w="108" w:type="dxa"/>
          <w:tblLayout w:type="fixed"/>
          <w:tblLook w:val="0000"/>
        </w:tblPrEx>
        <w:trPr>
          <w:trHeight w:val="34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1.3</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将明细账和总账核对一致。</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总帐会计</w:t>
            </w:r>
          </w:p>
        </w:tc>
      </w:tr>
      <w:tr w:rsidTr="00C3172D">
        <w:tblPrEx>
          <w:tblW w:w="0" w:type="auto"/>
          <w:tblInd w:w="108" w:type="dxa"/>
          <w:tblLayout w:type="fixed"/>
          <w:tblLook w:val="0000"/>
        </w:tblPrEx>
        <w:trPr>
          <w:trHeight w:val="30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bCs/>
                <w:kern w:val="0"/>
                <w:sz w:val="16"/>
                <w:szCs w:val="16"/>
                <w:lang w:val="en-US" w:eastAsia="zh-CN" w:bidi="ar-SA"/>
              </w:rPr>
            </w:pPr>
            <w:r w:rsidRPr="0073097A">
              <w:rPr>
                <w:rFonts w:asciiTheme="minorEastAsia" w:eastAsiaTheme="minorEastAsia" w:hAnsiTheme="minorEastAsia" w:cs="Arial"/>
                <w:bCs/>
                <w:kern w:val="0"/>
                <w:sz w:val="16"/>
                <w:szCs w:val="16"/>
                <w:lang w:val="en-US" w:eastAsia="zh-CN" w:bidi="ar-SA"/>
              </w:rPr>
              <w:t xml:space="preserve">2.0  </w:t>
            </w:r>
            <w:r w:rsidRPr="0073097A">
              <w:rPr>
                <w:rFonts w:asciiTheme="minorEastAsia" w:eastAsiaTheme="minorEastAsia" w:hAnsiTheme="minorEastAsia" w:cs="Arial" w:hint="eastAsia"/>
                <w:bCs/>
                <w:kern w:val="0"/>
                <w:sz w:val="16"/>
                <w:szCs w:val="16"/>
                <w:lang w:val="en-US" w:eastAsia="zh-CN" w:bidi="ar-SA"/>
              </w:rPr>
              <w:t>资产</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 xml:space="preserve">2.1  </w:t>
            </w:r>
            <w:r w:rsidRPr="0073097A">
              <w:rPr>
                <w:rFonts w:asciiTheme="minorEastAsia" w:eastAsiaTheme="minorEastAsia" w:hAnsiTheme="minorEastAsia" w:cs="Arial" w:hint="eastAsia"/>
                <w:kern w:val="0"/>
                <w:sz w:val="16"/>
                <w:szCs w:val="16"/>
                <w:lang w:val="en-US" w:eastAsia="zh-CN" w:bidi="ar-SA"/>
              </w:rPr>
              <w:t>钞票及银行存款</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r>
      <w:tr w:rsidTr="00C3172D">
        <w:tblPrEx>
          <w:tblW w:w="0" w:type="auto"/>
          <w:tblInd w:w="108" w:type="dxa"/>
          <w:tblLayout w:type="fixed"/>
          <w:tblLook w:val="0000"/>
        </w:tblPrEx>
        <w:trPr>
          <w:trHeight w:val="69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2.1.1</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准备银行余额调节表，将银行账与银行对账单核对，如有未达账项，需进行检查并在余额调章表中进行描</w:t>
            </w:r>
            <w:r w:rsidRPr="0073097A">
              <w:rPr>
                <w:rFonts w:asciiTheme="minorEastAsia" w:eastAsiaTheme="minorEastAsia" w:hAnsiTheme="minorEastAsia" w:cs="宋体" w:hint="eastAsia"/>
                <w:kern w:val="0"/>
                <w:sz w:val="16"/>
                <w:szCs w:val="16"/>
                <w:lang w:val="en-US" w:eastAsia="zh-CN" w:bidi="ar-SA"/>
              </w:rPr>
              <w:t>述。</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总帐会计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2.1.2</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准备备用钞票汇总表，进行钞票盘点；</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出纳</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2.1.3</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计算并计提定期存款利息收入。</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总帐会计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p>
        </w:tc>
      </w:tr>
    </w:tbl>
    <w:p>
      <w:pPr>
        <w:sectPr w:rsidSect="00A65E41">
          <w:type w:val="nextPage"/>
          <w:pgSz w:w="11906" w:h="16838"/>
          <w:pgMar w:top="1440" w:right="1800" w:bottom="1440" w:left="1800" w:header="851" w:footer="992" w:gutter="0"/>
          <w:pgNumType w:start="35"/>
          <w:cols w:space="425"/>
          <w:titlePg w:val="0"/>
          <w:docGrid w:type="lines" w:linePitch="312"/>
        </w:sectPr>
      </w:pPr>
    </w:p>
    <w:tbl>
      <w:tblPr>
        <w:tblStyle w:val="TableNormal"/>
        <w:tblW w:w="0" w:type="auto"/>
        <w:tblInd w:w="108" w:type="dxa"/>
        <w:tblLayout w:type="fixed"/>
        <w:tblLook w:val="0000"/>
      </w:tblPr>
      <w:tblGrid>
        <w:gridCol w:w="1418"/>
        <w:gridCol w:w="2835"/>
        <w:gridCol w:w="850"/>
        <w:gridCol w:w="993"/>
        <w:gridCol w:w="708"/>
        <w:gridCol w:w="1560"/>
      </w:tblGrid>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 xml:space="preserve">2.2  </w:t>
            </w:r>
            <w:r w:rsidRPr="0073097A">
              <w:rPr>
                <w:rFonts w:asciiTheme="minorEastAsia" w:eastAsiaTheme="minorEastAsia" w:hAnsiTheme="minorEastAsia" w:cs="Arial" w:hint="eastAsia"/>
                <w:kern w:val="0"/>
                <w:sz w:val="16"/>
                <w:szCs w:val="16"/>
                <w:lang w:val="en-US" w:eastAsia="zh-CN" w:bidi="ar-SA"/>
              </w:rPr>
              <w:t>其它应收款</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r>
      <w:tr w:rsidTr="00C3172D">
        <w:tblPrEx>
          <w:tblW w:w="0" w:type="auto"/>
          <w:tblInd w:w="108" w:type="dxa"/>
          <w:tblLayout w:type="fixed"/>
          <w:tblLook w:val="0000"/>
        </w:tblPrEx>
        <w:trPr>
          <w:trHeight w:val="49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2.2.1</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准备账龄分析表，分析账龄超过</w:t>
            </w:r>
            <w:r w:rsidRPr="0073097A">
              <w:rPr>
                <w:rFonts w:asciiTheme="minorEastAsia" w:eastAsiaTheme="minorEastAsia" w:hAnsiTheme="minorEastAsia" w:cs="Arial"/>
                <w:kern w:val="0"/>
                <w:sz w:val="16"/>
                <w:szCs w:val="16"/>
                <w:lang w:val="en-US" w:eastAsia="zh-CN" w:bidi="ar-SA"/>
              </w:rPr>
              <w:t>1</w:t>
            </w:r>
            <w:r w:rsidRPr="0073097A">
              <w:rPr>
                <w:rFonts w:asciiTheme="minorEastAsia" w:eastAsiaTheme="minorEastAsia" w:hAnsiTheme="minorEastAsia" w:cs="宋体" w:hint="eastAsia"/>
                <w:kern w:val="0"/>
                <w:sz w:val="16"/>
                <w:szCs w:val="16"/>
                <w:lang w:val="en-US" w:eastAsia="zh-CN" w:bidi="ar-SA"/>
              </w:rPr>
              <w:t>年的其他应收款，是否存在坏账。</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hint="eastAsia"/>
                <w:kern w:val="0"/>
                <w:sz w:val="16"/>
                <w:szCs w:val="16"/>
                <w:lang w:val="en-US" w:eastAsia="zh-CN" w:bidi="ar-SA"/>
              </w:rPr>
              <w:t>N</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hint="eastAsia"/>
                <w:kern w:val="0"/>
                <w:sz w:val="16"/>
                <w:szCs w:val="16"/>
                <w:lang w:val="en-US" w:eastAsia="zh-CN" w:bidi="ar-SA"/>
              </w:rPr>
              <w:t>Y</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总帐会计</w:t>
            </w:r>
          </w:p>
        </w:tc>
      </w:tr>
      <w:tr w:rsidTr="00C3172D">
        <w:tblPrEx>
          <w:tblW w:w="0" w:type="auto"/>
          <w:tblInd w:w="108" w:type="dxa"/>
          <w:tblLayout w:type="fixed"/>
          <w:tblLook w:val="0000"/>
        </w:tblPrEx>
        <w:trPr>
          <w:trHeight w:val="48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2.2.2</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考虑是否需要计提坏帐准备，如有需要，获得财务管理部批准后入帐。</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hint="eastAsia"/>
                <w:kern w:val="0"/>
                <w:sz w:val="16"/>
                <w:szCs w:val="16"/>
                <w:lang w:val="en-US" w:eastAsia="zh-CN" w:bidi="ar-SA"/>
              </w:rPr>
              <w:t>N</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hint="eastAsia"/>
                <w:kern w:val="0"/>
                <w:sz w:val="16"/>
                <w:szCs w:val="16"/>
                <w:lang w:val="en-US" w:eastAsia="zh-CN" w:bidi="ar-SA"/>
              </w:rPr>
              <w:t>Y</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总帐会计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2.2.3</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经批准后核销无法收回的坏帐</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hint="eastAsia"/>
                <w:kern w:val="0"/>
                <w:sz w:val="16"/>
                <w:szCs w:val="16"/>
                <w:lang w:val="en-US" w:eastAsia="zh-CN" w:bidi="ar-SA"/>
              </w:rPr>
              <w:t>N</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hint="eastAsia"/>
                <w:kern w:val="0"/>
                <w:sz w:val="16"/>
                <w:szCs w:val="16"/>
                <w:lang w:val="en-US" w:eastAsia="zh-CN" w:bidi="ar-SA"/>
              </w:rPr>
              <w:t>Y</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总帐会计</w:t>
            </w:r>
          </w:p>
        </w:tc>
      </w:tr>
      <w:tr w:rsidTr="00C3172D">
        <w:tblPrEx>
          <w:tblW w:w="0" w:type="auto"/>
          <w:tblInd w:w="108" w:type="dxa"/>
          <w:tblLayout w:type="fixed"/>
          <w:tblLook w:val="0000"/>
        </w:tblPrEx>
        <w:trPr>
          <w:trHeight w:val="48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2.2.4</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审核个人借款、个人备用金情况是否符合制度规定，对不符合规定的进行催收清理。</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费用会计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2.2.5</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清理各内部公司之间社保往来款</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费用会计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2.2.6</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检查是否存在需报销的费用，应进行预提。</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总帐会计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 xml:space="preserve">2.3  </w:t>
            </w:r>
            <w:r w:rsidRPr="0073097A">
              <w:rPr>
                <w:rFonts w:asciiTheme="minorEastAsia" w:eastAsiaTheme="minorEastAsia" w:hAnsiTheme="minorEastAsia" w:cs="Arial" w:hint="eastAsia"/>
                <w:kern w:val="0"/>
                <w:sz w:val="16"/>
                <w:szCs w:val="16"/>
                <w:lang w:val="en-US" w:eastAsia="zh-CN" w:bidi="ar-SA"/>
              </w:rPr>
              <w:t>应收帐款</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r>
      <w:tr w:rsidTr="00C3172D">
        <w:tblPrEx>
          <w:tblW w:w="0" w:type="auto"/>
          <w:tblInd w:w="108" w:type="dxa"/>
          <w:tblLayout w:type="fixed"/>
          <w:tblLook w:val="0000"/>
        </w:tblPrEx>
        <w:trPr>
          <w:trHeight w:val="49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2.3.1</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准备账龄分析表，分析账龄超过</w:t>
            </w:r>
            <w:r w:rsidRPr="0073097A">
              <w:rPr>
                <w:rFonts w:asciiTheme="minorEastAsia" w:eastAsiaTheme="minorEastAsia" w:hAnsiTheme="minorEastAsia" w:cs="Arial"/>
                <w:kern w:val="0"/>
                <w:sz w:val="16"/>
                <w:szCs w:val="16"/>
                <w:lang w:val="en-US" w:eastAsia="zh-CN" w:bidi="ar-SA"/>
              </w:rPr>
              <w:t>1</w:t>
            </w:r>
            <w:r w:rsidRPr="0073097A">
              <w:rPr>
                <w:rFonts w:asciiTheme="minorEastAsia" w:eastAsiaTheme="minorEastAsia" w:hAnsiTheme="minorEastAsia" w:cs="宋体" w:hint="eastAsia"/>
                <w:kern w:val="0"/>
                <w:sz w:val="16"/>
                <w:szCs w:val="16"/>
                <w:lang w:val="en-US" w:eastAsia="zh-CN" w:bidi="ar-SA"/>
              </w:rPr>
              <w:t>年的应收账款，是否存在坏账。</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hint="eastAsia"/>
                <w:kern w:val="0"/>
                <w:sz w:val="16"/>
                <w:szCs w:val="16"/>
                <w:lang w:val="en-US" w:eastAsia="zh-CN" w:bidi="ar-SA"/>
              </w:rPr>
              <w:t>N</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hint="eastAsia"/>
                <w:kern w:val="0"/>
                <w:sz w:val="16"/>
                <w:szCs w:val="16"/>
                <w:lang w:val="en-US" w:eastAsia="zh-CN" w:bidi="ar-SA"/>
              </w:rPr>
              <w:t>Y</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销售会计</w:t>
            </w:r>
          </w:p>
        </w:tc>
      </w:tr>
      <w:tr w:rsidTr="00C3172D">
        <w:tblPrEx>
          <w:tblW w:w="0" w:type="auto"/>
          <w:tblInd w:w="108" w:type="dxa"/>
          <w:tblLayout w:type="fixed"/>
          <w:tblLook w:val="0000"/>
        </w:tblPrEx>
        <w:trPr>
          <w:trHeight w:val="48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2.3.2</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考虑是否需要计提坏帐准备，如有需要，获得财务管理部批准后入帐。</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hint="eastAsia"/>
                <w:kern w:val="0"/>
                <w:sz w:val="16"/>
                <w:szCs w:val="16"/>
                <w:lang w:val="en-US" w:eastAsia="zh-CN" w:bidi="ar-SA"/>
              </w:rPr>
              <w:t>N</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hint="eastAsia"/>
                <w:kern w:val="0"/>
                <w:sz w:val="16"/>
                <w:szCs w:val="16"/>
                <w:lang w:val="en-US" w:eastAsia="zh-CN" w:bidi="ar-SA"/>
              </w:rPr>
              <w:t>Y</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销售会计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2.3.3</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经批准后核销无法收回的坏帐</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hint="eastAsia"/>
                <w:kern w:val="0"/>
                <w:sz w:val="16"/>
                <w:szCs w:val="16"/>
                <w:lang w:val="en-US" w:eastAsia="zh-CN" w:bidi="ar-SA"/>
              </w:rPr>
              <w:t>N</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hint="eastAsia"/>
                <w:kern w:val="0"/>
                <w:sz w:val="16"/>
                <w:szCs w:val="16"/>
                <w:lang w:val="en-US" w:eastAsia="zh-CN" w:bidi="ar-SA"/>
              </w:rPr>
              <w:t>Y</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总帐会计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2.3.4</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检查是否存在因款项未能收回而未确认的应收款。</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销售会计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 xml:space="preserve">2.4  </w:t>
            </w:r>
            <w:r w:rsidRPr="0073097A">
              <w:rPr>
                <w:rFonts w:asciiTheme="minorEastAsia" w:eastAsiaTheme="minorEastAsia" w:hAnsiTheme="minorEastAsia" w:cs="Arial" w:hint="eastAsia"/>
                <w:kern w:val="0"/>
                <w:sz w:val="16"/>
                <w:szCs w:val="16"/>
                <w:lang w:val="en-US" w:eastAsia="zh-CN" w:bidi="ar-SA"/>
              </w:rPr>
              <w:t>预付帐款</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p>
        </w:tc>
      </w:tr>
      <w:tr w:rsidTr="00C3172D">
        <w:tblPrEx>
          <w:tblW w:w="0" w:type="auto"/>
          <w:tblInd w:w="108" w:type="dxa"/>
          <w:tblLayout w:type="fixed"/>
          <w:tblLook w:val="0000"/>
        </w:tblPrEx>
        <w:trPr>
          <w:trHeight w:val="49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2.4.1</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准备账龄分析表，分析账龄超过</w:t>
            </w:r>
            <w:r w:rsidRPr="0073097A">
              <w:rPr>
                <w:rFonts w:asciiTheme="minorEastAsia" w:eastAsiaTheme="minorEastAsia" w:hAnsiTheme="minorEastAsia" w:cs="Arial"/>
                <w:kern w:val="0"/>
                <w:sz w:val="16"/>
                <w:szCs w:val="16"/>
                <w:lang w:val="en-US" w:eastAsia="zh-CN" w:bidi="ar-SA"/>
              </w:rPr>
              <w:t>1</w:t>
            </w:r>
            <w:r w:rsidRPr="0073097A">
              <w:rPr>
                <w:rFonts w:asciiTheme="minorEastAsia" w:eastAsiaTheme="minorEastAsia" w:hAnsiTheme="minorEastAsia" w:cs="宋体" w:hint="eastAsia"/>
                <w:kern w:val="0"/>
                <w:sz w:val="16"/>
                <w:szCs w:val="16"/>
                <w:lang w:val="en-US" w:eastAsia="zh-CN" w:bidi="ar-SA"/>
              </w:rPr>
              <w:t>年的预付账款，是否存在坏账。</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hint="eastAsia"/>
                <w:kern w:val="0"/>
                <w:sz w:val="16"/>
                <w:szCs w:val="16"/>
                <w:lang w:val="en-US" w:eastAsia="zh-CN" w:bidi="ar-SA"/>
              </w:rPr>
              <w:t>N</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hint="eastAsia"/>
                <w:kern w:val="0"/>
                <w:sz w:val="16"/>
                <w:szCs w:val="16"/>
                <w:lang w:val="en-US" w:eastAsia="zh-CN" w:bidi="ar-SA"/>
              </w:rPr>
              <w:t>Y</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成本会计</w:t>
            </w:r>
          </w:p>
        </w:tc>
      </w:tr>
      <w:tr w:rsidTr="00C3172D">
        <w:tblPrEx>
          <w:tblW w:w="0" w:type="auto"/>
          <w:tblInd w:w="108" w:type="dxa"/>
          <w:tblLayout w:type="fixed"/>
          <w:tblLook w:val="0000"/>
        </w:tblPrEx>
        <w:trPr>
          <w:trHeight w:val="48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2.4.2</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考虑是否需要计提坏帐准备，如有需要，获得财务管理部批准后入帐。</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hint="eastAsia"/>
                <w:kern w:val="0"/>
                <w:sz w:val="16"/>
                <w:szCs w:val="16"/>
                <w:lang w:val="en-US" w:eastAsia="zh-CN" w:bidi="ar-SA"/>
              </w:rPr>
              <w:t>N</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hint="eastAsia"/>
                <w:kern w:val="0"/>
                <w:sz w:val="16"/>
                <w:szCs w:val="16"/>
                <w:lang w:val="en-US" w:eastAsia="zh-CN" w:bidi="ar-SA"/>
              </w:rPr>
              <w:t>Y</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成本会计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2.4.3</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经批准后核销无法收回的坏帐</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hint="eastAsia"/>
                <w:kern w:val="0"/>
                <w:sz w:val="16"/>
                <w:szCs w:val="16"/>
                <w:lang w:val="en-US" w:eastAsia="zh-CN" w:bidi="ar-SA"/>
              </w:rPr>
              <w:t>N</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hint="eastAsia"/>
                <w:kern w:val="0"/>
                <w:sz w:val="16"/>
                <w:szCs w:val="16"/>
                <w:lang w:val="en-US" w:eastAsia="zh-CN" w:bidi="ar-SA"/>
              </w:rPr>
              <w:t>Y</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总帐会计</w:t>
            </w:r>
          </w:p>
        </w:tc>
      </w:tr>
      <w:tr w:rsidTr="00C3172D">
        <w:tblPrEx>
          <w:tblW w:w="0" w:type="auto"/>
          <w:tblInd w:w="108" w:type="dxa"/>
          <w:tblLayout w:type="fixed"/>
          <w:tblLook w:val="0000"/>
        </w:tblPrEx>
        <w:trPr>
          <w:trHeight w:val="48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2.4.4</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考虑是否存在劳务已发生，但因发票未到而未进行计提的事项。</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成本会计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2.5</w:t>
            </w:r>
            <w:r w:rsidRPr="0073097A">
              <w:rPr>
                <w:rFonts w:asciiTheme="minorEastAsia" w:eastAsiaTheme="minorEastAsia" w:hAnsiTheme="minorEastAsia" w:cs="Arial" w:hint="eastAsia"/>
                <w:kern w:val="0"/>
                <w:sz w:val="16"/>
                <w:szCs w:val="16"/>
                <w:lang w:val="en-US" w:eastAsia="zh-CN" w:bidi="ar-SA"/>
              </w:rPr>
              <w:t>存货</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p>
        </w:tc>
      </w:tr>
    </w:tbl>
    <w:p>
      <w:pPr>
        <w:sectPr w:rsidSect="00A65E41">
          <w:type w:val="nextPage"/>
          <w:pgSz w:w="11906" w:h="16838"/>
          <w:pgMar w:top="1440" w:right="1800" w:bottom="1440" w:left="1800" w:header="851" w:footer="992" w:gutter="0"/>
          <w:pgNumType w:start="36"/>
          <w:cols w:space="425"/>
          <w:titlePg w:val="0"/>
          <w:docGrid w:type="lines" w:linePitch="312"/>
        </w:sectPr>
      </w:pPr>
    </w:p>
    <w:tbl>
      <w:tblPr>
        <w:tblStyle w:val="TableNormal"/>
        <w:tblW w:w="0" w:type="auto"/>
        <w:tblInd w:w="108" w:type="dxa"/>
        <w:tblLayout w:type="fixed"/>
        <w:tblLook w:val="0000"/>
      </w:tblPr>
      <w:tblGrid>
        <w:gridCol w:w="1418"/>
        <w:gridCol w:w="2835"/>
        <w:gridCol w:w="850"/>
        <w:gridCol w:w="993"/>
        <w:gridCol w:w="708"/>
        <w:gridCol w:w="1560"/>
      </w:tblGrid>
      <w:tr w:rsidTr="00C3172D">
        <w:tblPrEx>
          <w:tblW w:w="0" w:type="auto"/>
          <w:tblInd w:w="108" w:type="dxa"/>
          <w:tblLayout w:type="fixed"/>
          <w:tblLook w:val="0000"/>
        </w:tblPrEx>
        <w:trPr>
          <w:trHeight w:val="48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2.5.1</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根据工程实际投入情况，按工程量确认存货成本；对未收到发票部分计入暂估。</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成本会计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2.5.2</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与成本系统核对一致。</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成本会计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2.5.3</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准备存货盘点表，对各工程项目进行盘点。</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成本会计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2.5.4</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检查存货有无毁损、报废情况，如有需及时解决。</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成本会计</w:t>
            </w:r>
          </w:p>
        </w:tc>
      </w:tr>
      <w:tr w:rsidTr="00C3172D">
        <w:tblPrEx>
          <w:tblW w:w="0" w:type="auto"/>
          <w:tblInd w:w="108" w:type="dxa"/>
          <w:tblLayout w:type="fixed"/>
          <w:tblLook w:val="0000"/>
        </w:tblPrEx>
        <w:trPr>
          <w:trHeight w:val="48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2.5.5</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根据其可变现价值考虑是否需要计提存货跌价准备。</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hint="eastAsia"/>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hint="eastAsia"/>
                <w:kern w:val="0"/>
                <w:sz w:val="16"/>
                <w:szCs w:val="16"/>
                <w:lang w:val="en-US" w:eastAsia="zh-CN" w:bidi="ar-SA"/>
              </w:rPr>
              <w:t>Y</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总账会计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 xml:space="preserve">2.6 </w:t>
            </w:r>
            <w:r w:rsidRPr="0073097A">
              <w:rPr>
                <w:rFonts w:asciiTheme="minorEastAsia" w:eastAsiaTheme="minorEastAsia" w:hAnsiTheme="minorEastAsia" w:cs="Arial" w:hint="eastAsia"/>
                <w:kern w:val="0"/>
                <w:sz w:val="16"/>
                <w:szCs w:val="16"/>
                <w:lang w:val="en-US" w:eastAsia="zh-CN" w:bidi="ar-SA"/>
              </w:rPr>
              <w:t>待摊费用</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2.6.1</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检查是否对的摊销。</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总帐会计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2.6.2</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检查是否根据其受益期间对的归类在长短期资产</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总帐会计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 xml:space="preserve">2.7 </w:t>
            </w:r>
            <w:r w:rsidRPr="0073097A">
              <w:rPr>
                <w:rFonts w:asciiTheme="minorEastAsia" w:eastAsiaTheme="minorEastAsia" w:hAnsiTheme="minorEastAsia" w:cs="Arial" w:hint="eastAsia"/>
                <w:kern w:val="0"/>
                <w:sz w:val="16"/>
                <w:szCs w:val="16"/>
                <w:lang w:val="en-US" w:eastAsia="zh-CN" w:bidi="ar-SA"/>
              </w:rPr>
              <w:t>长期投资</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2.7.1</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检查被投资单位财务状况，考虑是否存在减值</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总帐会计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 xml:space="preserve">2.8  </w:t>
            </w:r>
            <w:r w:rsidRPr="0073097A">
              <w:rPr>
                <w:rFonts w:asciiTheme="minorEastAsia" w:eastAsiaTheme="minorEastAsia" w:hAnsiTheme="minorEastAsia" w:cs="Arial" w:hint="eastAsia"/>
                <w:kern w:val="0"/>
                <w:sz w:val="16"/>
                <w:szCs w:val="16"/>
                <w:lang w:val="en-US" w:eastAsia="zh-CN" w:bidi="ar-SA"/>
              </w:rPr>
              <w:t>固定资产</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2.8.1</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检查是否对的计提折旧</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资产费用会计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2.8.2</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按资产类别准备固定资产原值和累计折旧变动表</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资产费用会计</w:t>
            </w:r>
          </w:p>
        </w:tc>
      </w:tr>
      <w:tr w:rsidTr="00C3172D">
        <w:tblPrEx>
          <w:tblW w:w="0" w:type="auto"/>
          <w:tblInd w:w="108" w:type="dxa"/>
          <w:tblLayout w:type="fixed"/>
          <w:tblLook w:val="0000"/>
        </w:tblPrEx>
        <w:trPr>
          <w:trHeight w:val="48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2.8.3</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将固定资产累计折旧的增长和总折旧费用核对一致。</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资产费用会计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2.8.4</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评估资产价值，决定是否存在资产减值损失。</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资产费用会计</w:t>
            </w:r>
          </w:p>
        </w:tc>
      </w:tr>
      <w:tr w:rsidTr="00C3172D">
        <w:tblPrEx>
          <w:tblW w:w="0" w:type="auto"/>
          <w:tblInd w:w="108" w:type="dxa"/>
          <w:tblLayout w:type="fixed"/>
          <w:tblLook w:val="0000"/>
        </w:tblPrEx>
        <w:trPr>
          <w:trHeight w:val="48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2.8.5</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盘点固定资产，如有盘盈盘亏及时解决。（半年一次）</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资产费用会计</w:t>
            </w:r>
          </w:p>
        </w:tc>
      </w:tr>
      <w:tr w:rsidTr="00C3172D">
        <w:tblPrEx>
          <w:tblW w:w="0" w:type="auto"/>
          <w:tblInd w:w="108" w:type="dxa"/>
          <w:tblLayout w:type="fixed"/>
          <w:tblLook w:val="0000"/>
        </w:tblPrEx>
        <w:trPr>
          <w:trHeight w:val="48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2.8.6</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检查固定资产使用状况，如有毁损报废及时解决（半年）</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资产费用会计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 xml:space="preserve">2.9  </w:t>
            </w:r>
            <w:r w:rsidRPr="0073097A">
              <w:rPr>
                <w:rFonts w:asciiTheme="minorEastAsia" w:eastAsiaTheme="minorEastAsia" w:hAnsiTheme="minorEastAsia" w:cs="Arial" w:hint="eastAsia"/>
                <w:kern w:val="0"/>
                <w:sz w:val="16"/>
                <w:szCs w:val="16"/>
                <w:lang w:val="en-US" w:eastAsia="zh-CN" w:bidi="ar-SA"/>
              </w:rPr>
              <w:t>无形资</w:t>
            </w:r>
            <w:r w:rsidRPr="0073097A">
              <w:rPr>
                <w:rFonts w:asciiTheme="minorEastAsia" w:eastAsiaTheme="minorEastAsia" w:hAnsiTheme="minorEastAsia" w:cs="Arial" w:hint="eastAsia"/>
                <w:kern w:val="0"/>
                <w:sz w:val="16"/>
                <w:szCs w:val="16"/>
                <w:lang w:val="en-US" w:eastAsia="zh-CN" w:bidi="ar-SA"/>
              </w:rPr>
              <w:t>产</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2.9.1</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检查无形资产摊销是否对的。</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总帐会计</w:t>
            </w:r>
          </w:p>
        </w:tc>
      </w:tr>
    </w:tbl>
    <w:p>
      <w:pPr>
        <w:sectPr w:rsidSect="00A65E41">
          <w:type w:val="nextPage"/>
          <w:pgSz w:w="11906" w:h="16838"/>
          <w:pgMar w:top="1440" w:right="1800" w:bottom="1440" w:left="1800" w:header="851" w:footer="992" w:gutter="0"/>
          <w:pgNumType w:start="37"/>
          <w:cols w:space="425"/>
          <w:titlePg w:val="0"/>
          <w:docGrid w:type="lines" w:linePitch="312"/>
        </w:sectPr>
      </w:pPr>
    </w:p>
    <w:tbl>
      <w:tblPr>
        <w:tblStyle w:val="TableNormal"/>
        <w:tblW w:w="0" w:type="auto"/>
        <w:tblInd w:w="108" w:type="dxa"/>
        <w:tblLayout w:type="fixed"/>
        <w:tblLook w:val="0000"/>
      </w:tblPr>
      <w:tblGrid>
        <w:gridCol w:w="1418"/>
        <w:gridCol w:w="2835"/>
        <w:gridCol w:w="850"/>
        <w:gridCol w:w="993"/>
        <w:gridCol w:w="708"/>
        <w:gridCol w:w="1560"/>
      </w:tblGrid>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2.9.2</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检查是否存在减值损失</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bCs/>
                <w:kern w:val="0"/>
                <w:sz w:val="16"/>
                <w:szCs w:val="16"/>
                <w:lang w:val="en-US" w:eastAsia="zh-CN" w:bidi="ar-SA"/>
              </w:rPr>
            </w:pPr>
            <w:r w:rsidRPr="0073097A">
              <w:rPr>
                <w:rFonts w:asciiTheme="minorEastAsia" w:eastAsiaTheme="minorEastAsia" w:hAnsiTheme="minorEastAsia" w:cs="Arial"/>
                <w:bCs/>
                <w:kern w:val="0"/>
                <w:sz w:val="16"/>
                <w:szCs w:val="16"/>
                <w:lang w:val="en-US" w:eastAsia="zh-CN" w:bidi="ar-SA"/>
              </w:rPr>
              <w:t xml:space="preserve">3.0  </w:t>
            </w:r>
            <w:r w:rsidRPr="0073097A">
              <w:rPr>
                <w:rFonts w:asciiTheme="minorEastAsia" w:eastAsiaTheme="minorEastAsia" w:hAnsiTheme="minorEastAsia" w:cs="Arial" w:hint="eastAsia"/>
                <w:bCs/>
                <w:kern w:val="0"/>
                <w:sz w:val="16"/>
                <w:szCs w:val="16"/>
                <w:lang w:val="en-US" w:eastAsia="zh-CN" w:bidi="ar-SA"/>
              </w:rPr>
              <w:t>负债和所有者权益</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 xml:space="preserve">3.1 </w:t>
            </w:r>
            <w:r w:rsidRPr="0073097A">
              <w:rPr>
                <w:rFonts w:asciiTheme="minorEastAsia" w:eastAsiaTheme="minorEastAsia" w:hAnsiTheme="minorEastAsia" w:cs="Arial" w:hint="eastAsia"/>
                <w:kern w:val="0"/>
                <w:sz w:val="16"/>
                <w:szCs w:val="16"/>
                <w:lang w:val="en-US" w:eastAsia="zh-CN" w:bidi="ar-SA"/>
              </w:rPr>
              <w:t>短期借款</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r>
      <w:tr w:rsidTr="00C3172D">
        <w:tblPrEx>
          <w:tblW w:w="0" w:type="auto"/>
          <w:tblInd w:w="108" w:type="dxa"/>
          <w:tblLayout w:type="fixed"/>
          <w:tblLook w:val="0000"/>
        </w:tblPrEx>
        <w:trPr>
          <w:trHeight w:val="48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3.1.1</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检查已入帐借款的完整性和准确性，计算并计提利息费用。</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总帐会计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3.1.2</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检查是否按照借款时间对的归类在长短期负债。</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总帐会计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 xml:space="preserve">3.2  </w:t>
            </w:r>
            <w:r w:rsidRPr="0073097A">
              <w:rPr>
                <w:rFonts w:asciiTheme="minorEastAsia" w:eastAsiaTheme="minorEastAsia" w:hAnsiTheme="minorEastAsia" w:cs="Arial" w:hint="eastAsia"/>
                <w:kern w:val="0"/>
                <w:sz w:val="16"/>
                <w:szCs w:val="16"/>
                <w:lang w:val="en-US" w:eastAsia="zh-CN" w:bidi="ar-SA"/>
              </w:rPr>
              <w:t>应付帐款</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3.2.1</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考虑未决诉讼的影响，是否需要进行暂估入账</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总帐会计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3.2.2</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考虑是否存在不用支付的款项，及时进行解决。</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hint="eastAsia"/>
                <w:kern w:val="0"/>
                <w:sz w:val="16"/>
                <w:szCs w:val="16"/>
                <w:lang w:val="en-US" w:eastAsia="zh-CN" w:bidi="ar-SA"/>
              </w:rPr>
              <w:t>N</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hint="eastAsia"/>
                <w:kern w:val="0"/>
                <w:sz w:val="16"/>
                <w:szCs w:val="16"/>
                <w:lang w:val="en-US" w:eastAsia="zh-CN" w:bidi="ar-SA"/>
              </w:rPr>
              <w:t>Y</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总帐会计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 xml:space="preserve">3.3  </w:t>
            </w:r>
            <w:r w:rsidRPr="0073097A">
              <w:rPr>
                <w:rFonts w:asciiTheme="minorEastAsia" w:eastAsiaTheme="minorEastAsia" w:hAnsiTheme="minorEastAsia" w:cs="Arial" w:hint="eastAsia"/>
                <w:kern w:val="0"/>
                <w:sz w:val="16"/>
                <w:szCs w:val="16"/>
                <w:lang w:val="en-US" w:eastAsia="zh-CN" w:bidi="ar-SA"/>
              </w:rPr>
              <w:t>应付职工薪酬</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r>
      <w:tr w:rsidTr="00C3172D">
        <w:tblPrEx>
          <w:tblW w:w="0" w:type="auto"/>
          <w:tblInd w:w="108" w:type="dxa"/>
          <w:tblLayout w:type="fixed"/>
          <w:tblLook w:val="0000"/>
        </w:tblPrEx>
        <w:trPr>
          <w:trHeight w:val="48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3.3.1</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计算并入帐各项工资和社保费用，涉及工资、社会保险、教育经费、其它特殊项目等。</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费用会计</w:t>
            </w:r>
          </w:p>
        </w:tc>
      </w:tr>
      <w:tr w:rsidTr="00C3172D">
        <w:tblPrEx>
          <w:tblW w:w="0" w:type="auto"/>
          <w:tblInd w:w="108" w:type="dxa"/>
          <w:tblLayout w:type="fixed"/>
          <w:tblLook w:val="0000"/>
        </w:tblPrEx>
        <w:trPr>
          <w:trHeight w:val="48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3.3.2</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 xml:space="preserve">计提月度、季度、半年度和年度奖金， </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费用会计</w:t>
            </w:r>
          </w:p>
        </w:tc>
      </w:tr>
      <w:tr w:rsidTr="00C3172D">
        <w:tblPrEx>
          <w:tblW w:w="0" w:type="auto"/>
          <w:tblInd w:w="108" w:type="dxa"/>
          <w:tblLayout w:type="fixed"/>
          <w:tblLook w:val="0000"/>
        </w:tblPrEx>
        <w:trPr>
          <w:trHeight w:val="48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3.3.3</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计算按本地劳动法规应缴纳的各项社会保险，根据该金额与实际支付的金额进行补提。</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费用会计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 xml:space="preserve">3.4  </w:t>
            </w:r>
            <w:r w:rsidRPr="0073097A">
              <w:rPr>
                <w:rFonts w:asciiTheme="minorEastAsia" w:eastAsiaTheme="minorEastAsia" w:hAnsiTheme="minorEastAsia" w:cs="Arial" w:hint="eastAsia"/>
                <w:kern w:val="0"/>
                <w:sz w:val="16"/>
                <w:szCs w:val="16"/>
                <w:lang w:val="en-US" w:eastAsia="zh-CN" w:bidi="ar-SA"/>
              </w:rPr>
              <w:t>预提费用</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r>
      <w:tr w:rsidTr="00C3172D">
        <w:tblPrEx>
          <w:tblW w:w="0" w:type="auto"/>
          <w:tblInd w:w="108" w:type="dxa"/>
          <w:tblLayout w:type="fixed"/>
          <w:tblLook w:val="0000"/>
        </w:tblPrEx>
        <w:trPr>
          <w:trHeight w:val="48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3.4.1</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与行政部门沟通，计算并计提征询、审计、律师、房租、物业费等费用，保证费用的完整性。</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总账会计</w:t>
            </w:r>
          </w:p>
        </w:tc>
      </w:tr>
      <w:tr w:rsidTr="00C3172D">
        <w:tblPrEx>
          <w:tblW w:w="0" w:type="auto"/>
          <w:tblInd w:w="108" w:type="dxa"/>
          <w:tblLayout w:type="fixed"/>
          <w:tblLook w:val="0000"/>
        </w:tblPrEx>
        <w:trPr>
          <w:trHeight w:val="48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3.4.2</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与销售部门沟通，计提各项佣金、销售代理费、推广费等营销费用。</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总账会计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 xml:space="preserve">3.5  </w:t>
            </w:r>
            <w:r w:rsidRPr="0073097A">
              <w:rPr>
                <w:rFonts w:asciiTheme="minorEastAsia" w:eastAsiaTheme="minorEastAsia" w:hAnsiTheme="minorEastAsia" w:cs="Arial" w:hint="eastAsia"/>
                <w:kern w:val="0"/>
                <w:sz w:val="16"/>
                <w:szCs w:val="16"/>
                <w:lang w:val="en-US" w:eastAsia="zh-CN" w:bidi="ar-SA"/>
              </w:rPr>
              <w:t>应交税费</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r>
      <w:tr w:rsidTr="00C3172D">
        <w:tblPrEx>
          <w:tblW w:w="0" w:type="auto"/>
          <w:tblInd w:w="108" w:type="dxa"/>
          <w:tblLayout w:type="fixed"/>
          <w:tblLook w:val="0000"/>
        </w:tblPrEx>
        <w:trPr>
          <w:trHeight w:val="49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3.5.1</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计算和预提营业税</w:t>
            </w:r>
            <w:r w:rsidRPr="0073097A">
              <w:rPr>
                <w:rFonts w:asciiTheme="minorEastAsia" w:eastAsiaTheme="minorEastAsia" w:hAnsiTheme="minorEastAsia" w:cs="Arial"/>
                <w:kern w:val="0"/>
                <w:sz w:val="16"/>
                <w:szCs w:val="16"/>
                <w:lang w:val="en-US" w:eastAsia="zh-CN" w:bidi="ar-SA"/>
              </w:rPr>
              <w:t xml:space="preserve">, </w:t>
            </w:r>
            <w:r w:rsidRPr="0073097A">
              <w:rPr>
                <w:rFonts w:asciiTheme="minorEastAsia" w:eastAsiaTheme="minorEastAsia" w:hAnsiTheme="minorEastAsia" w:cs="宋体" w:hint="eastAsia"/>
                <w:kern w:val="0"/>
                <w:sz w:val="16"/>
                <w:szCs w:val="16"/>
                <w:lang w:val="en-US" w:eastAsia="zh-CN" w:bidi="ar-SA"/>
              </w:rPr>
              <w:t>城建税，教育费附加，土地增值税。</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税务会计</w:t>
            </w:r>
          </w:p>
        </w:tc>
      </w:tr>
    </w:tbl>
    <w:p>
      <w:pPr>
        <w:sectPr w:rsidSect="00A65E41">
          <w:type w:val="nextPage"/>
          <w:pgSz w:w="11906" w:h="16838"/>
          <w:pgMar w:top="1440" w:right="1800" w:bottom="1440" w:left="1800" w:header="851" w:footer="992" w:gutter="0"/>
          <w:pgNumType w:start="38"/>
          <w:cols w:space="425"/>
          <w:titlePg w:val="0"/>
          <w:docGrid w:type="lines" w:linePitch="312"/>
        </w:sectPr>
      </w:pPr>
    </w:p>
    <w:tbl>
      <w:tblPr>
        <w:tblStyle w:val="TableNormal"/>
        <w:tblW w:w="0" w:type="auto"/>
        <w:tblInd w:w="108" w:type="dxa"/>
        <w:tblLayout w:type="fixed"/>
        <w:tblLook w:val="0000"/>
      </w:tblPr>
      <w:tblGrid>
        <w:gridCol w:w="1418"/>
        <w:gridCol w:w="2835"/>
        <w:gridCol w:w="850"/>
        <w:gridCol w:w="993"/>
        <w:gridCol w:w="708"/>
        <w:gridCol w:w="1560"/>
      </w:tblGrid>
      <w:tr w:rsidTr="00C3172D">
        <w:tblPrEx>
          <w:tblW w:w="0" w:type="auto"/>
          <w:tblInd w:w="108" w:type="dxa"/>
          <w:tblLayout w:type="fixed"/>
          <w:tblLook w:val="0000"/>
        </w:tblPrEx>
        <w:trPr>
          <w:trHeight w:val="76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3.5.2</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核对本年支付以前已经预提的各项税费后，应交税金余额是否为零，即核对是否将以前年度多提或者少提税费在今年进行调整。</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税务会计</w:t>
            </w:r>
          </w:p>
        </w:tc>
      </w:tr>
      <w:tr w:rsidTr="00C3172D">
        <w:tblPrEx>
          <w:tblW w:w="0" w:type="auto"/>
          <w:tblInd w:w="108" w:type="dxa"/>
          <w:tblLayout w:type="fixed"/>
          <w:tblLook w:val="0000"/>
        </w:tblPrEx>
        <w:trPr>
          <w:trHeight w:val="48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3.5.3</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公司所得税汇算清缴后，及时根据汇算结果调整应交公司所得税。</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税务会计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3.5.4</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是否准确计算代扣代缴个人所得税</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税务会计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 xml:space="preserve">3.6  </w:t>
            </w:r>
            <w:r w:rsidRPr="0073097A">
              <w:rPr>
                <w:rFonts w:asciiTheme="minorEastAsia" w:eastAsiaTheme="minorEastAsia" w:hAnsiTheme="minorEastAsia" w:cs="Arial" w:hint="eastAsia"/>
                <w:kern w:val="0"/>
                <w:sz w:val="16"/>
                <w:szCs w:val="16"/>
                <w:lang w:val="en-US" w:eastAsia="zh-CN" w:bidi="ar-SA"/>
              </w:rPr>
              <w:t>预收账款</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p>
        </w:tc>
      </w:tr>
      <w:tr w:rsidTr="00C3172D">
        <w:tblPrEx>
          <w:tblW w:w="0" w:type="auto"/>
          <w:tblInd w:w="108" w:type="dxa"/>
          <w:tblLayout w:type="fixed"/>
          <w:tblLook w:val="0000"/>
        </w:tblPrEx>
        <w:trPr>
          <w:trHeight w:val="48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3.6.1</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检查预收款的完整性和准确性，与销售系统相核对无误。</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销售会计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 xml:space="preserve">3.7 </w:t>
            </w:r>
            <w:r w:rsidRPr="0073097A">
              <w:rPr>
                <w:rFonts w:asciiTheme="minorEastAsia" w:eastAsiaTheme="minorEastAsia" w:hAnsiTheme="minorEastAsia" w:cs="Arial" w:hint="eastAsia"/>
                <w:kern w:val="0"/>
                <w:sz w:val="16"/>
                <w:szCs w:val="16"/>
                <w:lang w:val="en-US" w:eastAsia="zh-CN" w:bidi="ar-SA"/>
              </w:rPr>
              <w:t>长期借款</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r>
      <w:tr w:rsidTr="00C3172D">
        <w:tblPrEx>
          <w:tblW w:w="0" w:type="auto"/>
          <w:tblInd w:w="108" w:type="dxa"/>
          <w:tblLayout w:type="fixed"/>
          <w:tblLook w:val="0000"/>
        </w:tblPrEx>
        <w:trPr>
          <w:trHeight w:val="48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3.7.1</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检查已入帐借款的完整性和准确性，保证借款长期和短期划分的准确性，计算并计提利息费用。</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总帐会计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 xml:space="preserve">3.8  </w:t>
            </w:r>
            <w:r w:rsidRPr="0073097A">
              <w:rPr>
                <w:rFonts w:asciiTheme="minorEastAsia" w:eastAsiaTheme="minorEastAsia" w:hAnsiTheme="minorEastAsia" w:cs="Arial" w:hint="eastAsia"/>
                <w:kern w:val="0"/>
                <w:sz w:val="16"/>
                <w:szCs w:val="16"/>
                <w:lang w:val="en-US" w:eastAsia="zh-CN" w:bidi="ar-SA"/>
              </w:rPr>
              <w:t>所有者权益</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r>
      <w:tr w:rsidTr="00C3172D">
        <w:tblPrEx>
          <w:tblW w:w="0" w:type="auto"/>
          <w:tblInd w:w="108" w:type="dxa"/>
          <w:tblLayout w:type="fixed"/>
          <w:tblLook w:val="0000"/>
        </w:tblPrEx>
        <w:trPr>
          <w:trHeight w:val="48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3.8.1</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检查注册资本与实收资本是否一致；注册资本如有变动是否均有合法凭据支持。</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总帐会计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3.8.2</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分析资本公积的变化，检查是否有合法凭据</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总帐会计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3.8.3</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检查是否按规定计提盈余公积</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p>
        </w:tc>
      </w:tr>
      <w:tr w:rsidTr="00C3172D">
        <w:tblPrEx>
          <w:tblW w:w="0" w:type="auto"/>
          <w:tblInd w:w="108" w:type="dxa"/>
          <w:tblLayout w:type="fixed"/>
          <w:tblLook w:val="0000"/>
        </w:tblPrEx>
        <w:trPr>
          <w:trHeight w:val="48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3.8.4</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检查是否有应在本年列支的费用在以前年度损益科目列支。</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总帐会计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bCs/>
                <w:kern w:val="0"/>
                <w:sz w:val="16"/>
                <w:szCs w:val="16"/>
                <w:lang w:val="en-US" w:eastAsia="zh-CN" w:bidi="ar-SA"/>
              </w:rPr>
            </w:pPr>
            <w:r w:rsidRPr="0073097A">
              <w:rPr>
                <w:rFonts w:asciiTheme="minorEastAsia" w:eastAsiaTheme="minorEastAsia" w:hAnsiTheme="minorEastAsia" w:cs="Arial"/>
                <w:bCs/>
                <w:kern w:val="0"/>
                <w:sz w:val="16"/>
                <w:szCs w:val="16"/>
                <w:lang w:val="en-US" w:eastAsia="zh-CN" w:bidi="ar-SA"/>
              </w:rPr>
              <w:t xml:space="preserve">4.0  </w:t>
            </w:r>
            <w:r w:rsidRPr="0073097A">
              <w:rPr>
                <w:rFonts w:asciiTheme="minorEastAsia" w:eastAsiaTheme="minorEastAsia" w:hAnsiTheme="minorEastAsia" w:cs="Arial" w:hint="eastAsia"/>
                <w:bCs/>
                <w:kern w:val="0"/>
                <w:sz w:val="16"/>
                <w:szCs w:val="16"/>
                <w:lang w:val="en-US" w:eastAsia="zh-CN" w:bidi="ar-SA"/>
              </w:rPr>
              <w:t>收入</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 xml:space="preserve">4.1  </w:t>
            </w:r>
            <w:r w:rsidRPr="0073097A">
              <w:rPr>
                <w:rFonts w:asciiTheme="minorEastAsia" w:eastAsiaTheme="minorEastAsia" w:hAnsiTheme="minorEastAsia" w:cs="Arial" w:hint="eastAsia"/>
                <w:kern w:val="0"/>
                <w:sz w:val="16"/>
                <w:szCs w:val="16"/>
                <w:lang w:val="en-US" w:eastAsia="zh-CN" w:bidi="ar-SA"/>
              </w:rPr>
              <w:t>主营业务收入</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4.1.1</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检查项目整体是否符合公司结转收入条件</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销售会计</w:t>
            </w:r>
          </w:p>
        </w:tc>
      </w:tr>
      <w:tr w:rsidTr="00C3172D">
        <w:tblPrEx>
          <w:tblW w:w="0" w:type="auto"/>
          <w:tblInd w:w="108" w:type="dxa"/>
          <w:tblLayout w:type="fixed"/>
          <w:tblLook w:val="0000"/>
        </w:tblPrEx>
        <w:trPr>
          <w:trHeight w:val="480"/>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4.1.2</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与销售系统里销售协议额相核对，是否将所有的符合结转条件的销售协议均进行结转收入。</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销售会计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4.1.3</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检查租赁收入是否按协议约定期间进行确认。</w:t>
            </w: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销售会计</w:t>
            </w:r>
          </w:p>
        </w:tc>
      </w:tr>
      <w:tr w:rsidTr="00C3172D">
        <w:tblPrEx>
          <w:tblW w:w="0" w:type="auto"/>
          <w:tblInd w:w="108" w:type="dxa"/>
          <w:tblLayout w:type="fixed"/>
          <w:tblLook w:val="0000"/>
        </w:tblPrEx>
        <w:trPr>
          <w:trHeight w:val="285"/>
        </w:trPr>
        <w:tc>
          <w:tcPr>
            <w:tcW w:w="1418" w:type="dxa"/>
            <w:tcBorders>
              <w:top w:val="nil"/>
              <w:left w:val="single" w:sz="8"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4.1.4</w:t>
            </w:r>
          </w:p>
        </w:tc>
        <w:tc>
          <w:tcPr>
            <w:tcW w:w="2835" w:type="dxa"/>
            <w:tcBorders>
              <w:top w:val="nil"/>
              <w:left w:val="nil"/>
              <w:bottom w:val="single" w:sz="4" w:space="0" w:color="auto"/>
              <w:right w:val="nil"/>
            </w:tcBorders>
            <w:vAlign w:val="center"/>
          </w:tcPr>
          <w:p w:rsidR="0073097A" w:rsidRPr="0073097A" w:rsidP="0073097A">
            <w:pPr>
              <w:pStyle w:val="Normal0"/>
              <w:widowControl/>
              <w:adjustRightInd w:val="0"/>
              <w:snapToGrid w:val="0"/>
              <w:spacing w:before="156" w:after="0"/>
              <w:ind w:firstLine="320"/>
              <w:rPr>
                <w:rFonts w:asciiTheme="minorEastAsia" w:eastAsiaTheme="minorEastAsia" w:hAnsiTheme="minorEastAsia" w:cs="宋体"/>
                <w:kern w:val="0"/>
                <w:sz w:val="16"/>
                <w:szCs w:val="16"/>
                <w:lang w:val="en-US" w:eastAsia="zh-CN" w:bidi="ar-SA"/>
              </w:rPr>
            </w:pPr>
          </w:p>
        </w:tc>
        <w:tc>
          <w:tcPr>
            <w:tcW w:w="850" w:type="dxa"/>
            <w:tcBorders>
              <w:top w:val="nil"/>
              <w:left w:val="single" w:sz="4" w:space="0" w:color="auto"/>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Y</w:t>
            </w:r>
          </w:p>
        </w:tc>
        <w:tc>
          <w:tcPr>
            <w:tcW w:w="993"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708" w:type="dxa"/>
            <w:tcBorders>
              <w:top w:val="nil"/>
              <w:left w:val="nil"/>
              <w:bottom w:val="single" w:sz="4" w:space="0" w:color="auto"/>
              <w:right w:val="single" w:sz="4"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Arial"/>
                <w:kern w:val="0"/>
                <w:sz w:val="16"/>
                <w:szCs w:val="16"/>
                <w:lang w:val="en-US" w:eastAsia="zh-CN" w:bidi="ar-SA"/>
              </w:rPr>
            </w:pPr>
            <w:r w:rsidRPr="0073097A">
              <w:rPr>
                <w:rFonts w:asciiTheme="minorEastAsia" w:eastAsiaTheme="minorEastAsia" w:hAnsiTheme="minorEastAsia" w:cs="Arial"/>
                <w:kern w:val="0"/>
                <w:sz w:val="16"/>
                <w:szCs w:val="16"/>
                <w:lang w:val="en-US" w:eastAsia="zh-CN" w:bidi="ar-SA"/>
              </w:rPr>
              <w:t>N</w:t>
            </w:r>
          </w:p>
        </w:tc>
        <w:tc>
          <w:tcPr>
            <w:tcW w:w="1560" w:type="dxa"/>
            <w:tcBorders>
              <w:top w:val="nil"/>
              <w:left w:val="nil"/>
              <w:bottom w:val="single" w:sz="4" w:space="0" w:color="auto"/>
              <w:right w:val="single" w:sz="8" w:space="0" w:color="auto"/>
            </w:tcBorders>
            <w:vAlign w:val="center"/>
          </w:tcPr>
          <w:p w:rsidR="0073097A" w:rsidRPr="0073097A" w:rsidP="0073097A">
            <w:pPr>
              <w:pStyle w:val="Normal0"/>
              <w:widowControl/>
              <w:adjustRightInd w:val="0"/>
              <w:snapToGrid w:val="0"/>
              <w:spacing w:before="156" w:after="156"/>
              <w:ind w:firstLine="320"/>
              <w:rPr>
                <w:rFonts w:asciiTheme="minorEastAsia" w:eastAsiaTheme="minorEastAsia" w:hAnsiTheme="minorEastAsia" w:cs="宋体"/>
                <w:kern w:val="0"/>
                <w:sz w:val="16"/>
                <w:szCs w:val="16"/>
                <w:lang w:val="en-US" w:eastAsia="zh-CN" w:bidi="ar-SA"/>
              </w:rPr>
            </w:pPr>
            <w:r w:rsidRPr="0073097A">
              <w:rPr>
                <w:rFonts w:asciiTheme="minorEastAsia" w:eastAsiaTheme="minorEastAsia" w:hAnsiTheme="minorEastAsia" w:cs="宋体" w:hint="eastAsia"/>
                <w:kern w:val="0"/>
                <w:sz w:val="16"/>
                <w:szCs w:val="16"/>
                <w:lang w:val="en-US" w:eastAsia="zh-CN" w:bidi="ar-SA"/>
              </w:rPr>
              <w:t>销售会计</w:t>
            </w:r>
          </w:p>
        </w:tc>
      </w:tr>
    </w:tbl>
    <w:p>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https://d.book118.com/608143054040006025</w:t>
        </w:r>
      </w:hyperlink>
    </w:p>
    <w:p/>
    <w:sectPr w:rsidSect="00A65E41">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仿宋_GB2312">
    <w:altName w:val="Arial Unicode MS"/>
    <w:charset w:val="86"/>
    <w:family w:val="modern"/>
    <w:pitch w:val="fixed"/>
    <w:sig w:usb0="00000000"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华文楷体">
    <w:panose1 w:val="02010600040101010101"/>
    <w:charset w:val="86"/>
    <w:family w:val="auto"/>
    <w:pitch w:val="variable"/>
    <w:sig w:usb0="00000287" w:usb1="080F0000" w:usb2="00000010" w:usb3="00000000" w:csb0="0004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C"/>
    <w:multiLevelType w:val="multilevel"/>
    <w:tmpl w:val="0000000C"/>
    <w:lvl w:ilvl="0">
      <w:start w:val="1"/>
      <w:numFmt w:val="decimal"/>
      <w:lvlText w:val="（%1）"/>
      <w:lvlJc w:val="left"/>
      <w:pPr>
        <w:ind w:left="1020" w:hanging="420"/>
      </w:pPr>
      <w:rPr>
        <w:rFonts w:hint="default"/>
      </w:rPr>
    </w:lvl>
    <w:lvl w:ilvl="1">
      <w:start w:val="1"/>
      <w:numFmt w:val="decimal"/>
      <w:lvlText w:val="（%2）"/>
      <w:lvlJc w:val="left"/>
      <w:pPr>
        <w:ind w:left="1440" w:hanging="420"/>
      </w:pPr>
      <w:rPr>
        <w:rFonts w:hint="default"/>
      </w:r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1">
    <w:nsid w:val="0000000E"/>
    <w:multiLevelType w:val="multilevel"/>
    <w:tmpl w:val="0000000E"/>
    <w:lvl w:ilvl="0">
      <w:start w:val="1"/>
      <w:numFmt w:val="chineseCountingThousand"/>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
    <w:nsid w:val="0000001A"/>
    <w:multiLevelType w:val="multilevel"/>
    <w:tmpl w:val="0000001A"/>
    <w:lvl w:ilvl="0">
      <w:start w:val="1"/>
      <w:numFmt w:val="chineseCountingThousand"/>
      <w:lvlText w:val="(%1)"/>
      <w:lvlJc w:val="left"/>
      <w:pPr>
        <w:ind w:left="1440" w:hanging="420"/>
      </w:pPr>
    </w:lvl>
    <w:lvl w:ilvl="1">
      <w:start w:val="1"/>
      <w:numFmt w:val="lowerLetter"/>
      <w:lvlText w:val="%2)"/>
      <w:lvlJc w:val="left"/>
      <w:pPr>
        <w:ind w:left="1860" w:hanging="420"/>
      </w:pPr>
    </w:lvl>
    <w:lvl w:ilvl="2">
      <w:start w:val="1"/>
      <w:numFmt w:val="lowerRoman"/>
      <w:lvlText w:val="%3."/>
      <w:lvlJc w:val="right"/>
      <w:pPr>
        <w:ind w:left="2280" w:hanging="420"/>
      </w:pPr>
    </w:lvl>
    <w:lvl w:ilvl="3">
      <w:start w:val="1"/>
      <w:numFmt w:val="decimal"/>
      <w:lvlText w:val="%4."/>
      <w:lvlJc w:val="left"/>
      <w:pPr>
        <w:ind w:left="2700" w:hanging="420"/>
      </w:pPr>
    </w:lvl>
    <w:lvl w:ilvl="4">
      <w:start w:val="1"/>
      <w:numFmt w:val="lowerLetter"/>
      <w:lvlText w:val="%5)"/>
      <w:lvlJc w:val="left"/>
      <w:pPr>
        <w:ind w:left="3120" w:hanging="420"/>
      </w:pPr>
    </w:lvl>
    <w:lvl w:ilvl="5">
      <w:start w:val="1"/>
      <w:numFmt w:val="lowerRoman"/>
      <w:lvlText w:val="%6."/>
      <w:lvlJc w:val="right"/>
      <w:pPr>
        <w:ind w:left="3540" w:hanging="420"/>
      </w:pPr>
    </w:lvl>
    <w:lvl w:ilvl="6">
      <w:start w:val="1"/>
      <w:numFmt w:val="decimal"/>
      <w:lvlText w:val="%7."/>
      <w:lvlJc w:val="left"/>
      <w:pPr>
        <w:ind w:left="3960" w:hanging="420"/>
      </w:pPr>
    </w:lvl>
    <w:lvl w:ilvl="7">
      <w:start w:val="1"/>
      <w:numFmt w:val="lowerLetter"/>
      <w:lvlText w:val="%8)"/>
      <w:lvlJc w:val="left"/>
      <w:pPr>
        <w:ind w:left="4380" w:hanging="420"/>
      </w:pPr>
    </w:lvl>
    <w:lvl w:ilvl="8">
      <w:start w:val="1"/>
      <w:numFmt w:val="lowerRoman"/>
      <w:lvlText w:val="%9."/>
      <w:lvlJc w:val="right"/>
      <w:pPr>
        <w:ind w:left="4800" w:hanging="420"/>
      </w:pPr>
    </w:lvl>
  </w:abstractNum>
  <w:abstractNum w:abstractNumId="3">
    <w:nsid w:val="0000001E"/>
    <w:multiLevelType w:val="multilevel"/>
    <w:tmpl w:val="0000001E"/>
    <w:lvl w:ilvl="0">
      <w:start w:val="1"/>
      <w:numFmt w:val="japaneseCounting"/>
      <w:lvlText w:val="（%1）"/>
      <w:lvlJc w:val="left"/>
      <w:pPr>
        <w:ind w:left="562" w:hanging="420"/>
      </w:pPr>
      <w:rPr>
        <w:rFonts w:hint="default"/>
      </w:rPr>
    </w:lvl>
    <w:lvl w:ilvl="1">
      <w:start w:val="1"/>
      <w:numFmt w:val="chineseCountingThousand"/>
      <w:lvlText w:val="(%2)"/>
      <w:lvlJc w:val="left"/>
      <w:pPr>
        <w:ind w:left="988"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4">
    <w:nsid w:val="00000023"/>
    <w:multiLevelType w:val="multilevel"/>
    <w:tmpl w:val="00000023"/>
    <w:lvl w:ilvl="0">
      <w:start w:val="1"/>
      <w:numFmt w:val="chineseCountingThousand"/>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5">
    <w:nsid w:val="00000029"/>
    <w:multiLevelType w:val="multilevel"/>
    <w:tmpl w:val="00000029"/>
    <w:lvl w:ilvl="0">
      <w:start w:val="1"/>
      <w:numFmt w:val="chineseCountingThousand"/>
      <w:lvlText w:val="(%1)"/>
      <w:lvlJc w:val="left"/>
      <w:pPr>
        <w:ind w:left="1020" w:hanging="420"/>
      </w:pPr>
    </w:lvl>
    <w:lvl w:ilvl="1">
      <w:start w:val="1"/>
      <w:numFmt w:val="chineseCountingThousand"/>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6">
    <w:nsid w:val="00000033"/>
    <w:multiLevelType w:val="multilevel"/>
    <w:tmpl w:val="00000033"/>
    <w:lvl w:ilvl="0">
      <w:start w:val="1"/>
      <w:numFmt w:val="chineseCountingThousand"/>
      <w:lvlText w:val="(%1)"/>
      <w:lvlJc w:val="left"/>
      <w:pPr>
        <w:ind w:left="1020" w:hanging="420"/>
      </w:pPr>
    </w:lvl>
    <w:lvl w:ilvl="1">
      <w:start w:val="1"/>
      <w:numFmt w:val="chineseCountingThousand"/>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7">
    <w:nsid w:val="00000035"/>
    <w:multiLevelType w:val="multilevel"/>
    <w:tmpl w:val="00000035"/>
    <w:lvl w:ilvl="0">
      <w:start w:val="1"/>
      <w:numFmt w:val="chineseCountingThousand"/>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8">
    <w:nsid w:val="00000037"/>
    <w:multiLevelType w:val="multilevel"/>
    <w:tmpl w:val="00000037"/>
    <w:lvl w:ilvl="0">
      <w:start w:val="1"/>
      <w:numFmt w:val="chineseCountingThousand"/>
      <w:lvlText w:val="(%1)"/>
      <w:lvlJc w:val="left"/>
      <w:pPr>
        <w:ind w:left="1020" w:hanging="420"/>
      </w:pPr>
    </w:lvl>
    <w:lvl w:ilvl="1">
      <w:start w:val="1"/>
      <w:numFmt w:val="chineseCountingThousand"/>
      <w:lvlText w:val="(%2)"/>
      <w:lvlJc w:val="left"/>
      <w:pPr>
        <w:ind w:left="1440" w:hanging="420"/>
      </w:pPr>
    </w:lvl>
    <w:lvl w:ilvl="2">
      <w:start w:val="1"/>
      <w:numFmt w:val="upperLetter"/>
      <w:lvlText w:val="%3、"/>
      <w:lvlJc w:val="left"/>
      <w:pPr>
        <w:ind w:left="2160" w:hanging="720"/>
      </w:pPr>
      <w:rPr>
        <w:rFonts w:hint="default"/>
      </w:r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9">
    <w:nsid w:val="00000038"/>
    <w:multiLevelType w:val="multilevel"/>
    <w:tmpl w:val="00000038"/>
    <w:lvl w:ilvl="0">
      <w:start w:val="1"/>
      <w:numFmt w:val="chineseCountingThousand"/>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10">
    <w:nsid w:val="00000039"/>
    <w:multiLevelType w:val="multilevel"/>
    <w:tmpl w:val="00000039"/>
    <w:lvl w:ilvl="0">
      <w:start w:val="1"/>
      <w:numFmt w:val="chineseCountingThousand"/>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11">
    <w:nsid w:val="0000003B"/>
    <w:multiLevelType w:val="multilevel"/>
    <w:tmpl w:val="0000003B"/>
    <w:lvl w:ilvl="0">
      <w:start w:val="1"/>
      <w:numFmt w:val="chineseCountingThousand"/>
      <w:lvlText w:val="(%1)"/>
      <w:lvlJc w:val="left"/>
      <w:pPr>
        <w:ind w:left="1020" w:hanging="420"/>
      </w:pPr>
    </w:lvl>
    <w:lvl w:ilvl="1">
      <w:start w:val="1"/>
      <w:numFmt w:val="chineseCountingThousand"/>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12">
    <w:nsid w:val="00000040"/>
    <w:multiLevelType w:val="multilevel"/>
    <w:tmpl w:val="00000040"/>
    <w:lvl w:ilvl="0">
      <w:start w:val="1"/>
      <w:numFmt w:val="chineseCountingThousand"/>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13">
    <w:nsid w:val="00000049"/>
    <w:multiLevelType w:val="multilevel"/>
    <w:tmpl w:val="00000049"/>
    <w:lvl w:ilvl="0">
      <w:start w:val="1"/>
      <w:numFmt w:val="decimal"/>
      <w:lvlText w:val="%1."/>
      <w:lvlJc w:val="left"/>
      <w:pPr>
        <w:ind w:left="1020" w:hanging="420"/>
      </w:pPr>
      <w:rPr>
        <w:rFonts w:hint="eastAsia"/>
        <w:lang w:val="en-US"/>
      </w:rPr>
    </w:lvl>
    <w:lvl w:ilvl="1">
      <w:start w:val="1"/>
      <w:numFmt w:val="lowerLetter"/>
      <w:lvlText w:val="%2)"/>
      <w:lvlJc w:val="left"/>
      <w:pPr>
        <w:ind w:left="1440" w:hanging="420"/>
      </w:pPr>
    </w:lvl>
    <w:lvl w:ilvl="2">
      <w:start w:val="1"/>
      <w:numFmt w:val="decimal"/>
      <w:lvlText w:val="%3."/>
      <w:lvlJc w:val="lef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14">
    <w:nsid w:val="0000004F"/>
    <w:multiLevelType w:val="multilevel"/>
    <w:tmpl w:val="0000004F"/>
    <w:lvl w:ilvl="0">
      <w:start w:val="1"/>
      <w:numFmt w:val="chineseCountingThousand"/>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15">
    <w:nsid w:val="0000005F"/>
    <w:multiLevelType w:val="multilevel"/>
    <w:tmpl w:val="0000005F"/>
    <w:lvl w:ilvl="0">
      <w:start w:val="1"/>
      <w:numFmt w:val="decimal"/>
      <w:lvlText w:val="第%1条"/>
      <w:lvlJc w:val="left"/>
      <w:pPr>
        <w:ind w:left="846" w:hanging="420"/>
      </w:pPr>
      <w:rPr>
        <w:rFonts w:hint="eastAsia"/>
        <w:b/>
      </w:rPr>
    </w:lvl>
    <w:lvl w:ilvl="1">
      <w:start w:val="4"/>
      <w:numFmt w:val="japaneseCounting"/>
      <w:lvlText w:val="第%2章"/>
      <w:lvlJc w:val="left"/>
      <w:pPr>
        <w:ind w:left="1040" w:hanging="1080"/>
      </w:pPr>
      <w:rPr>
        <w:rFonts w:hint="eastAsia"/>
      </w:rPr>
    </w:lvl>
    <w:lvl w:ilvl="2">
      <w:start w:val="1"/>
      <w:numFmt w:val="lowerRoman"/>
      <w:lvlText w:val="%3."/>
      <w:lvlJc w:val="right"/>
      <w:pPr>
        <w:ind w:left="800" w:hanging="420"/>
      </w:pPr>
      <w:rPr>
        <w:rFonts w:hint="eastAsia"/>
      </w:rPr>
    </w:lvl>
    <w:lvl w:ilvl="3">
      <w:start w:val="1"/>
      <w:numFmt w:val="decimal"/>
      <w:lvlText w:val="%4."/>
      <w:lvlJc w:val="left"/>
      <w:pPr>
        <w:ind w:left="1220" w:hanging="420"/>
      </w:pPr>
      <w:rPr>
        <w:rFonts w:hint="eastAsia"/>
      </w:rPr>
    </w:lvl>
    <w:lvl w:ilvl="4">
      <w:start w:val="1"/>
      <w:numFmt w:val="lowerLetter"/>
      <w:lvlText w:val="%5)"/>
      <w:lvlJc w:val="left"/>
      <w:pPr>
        <w:ind w:left="1640" w:hanging="420"/>
      </w:pPr>
      <w:rPr>
        <w:rFonts w:hint="eastAsia"/>
      </w:rPr>
    </w:lvl>
    <w:lvl w:ilvl="5">
      <w:start w:val="1"/>
      <w:numFmt w:val="lowerRoman"/>
      <w:lvlText w:val="%6."/>
      <w:lvlJc w:val="right"/>
      <w:pPr>
        <w:ind w:left="2060" w:hanging="420"/>
      </w:pPr>
      <w:rPr>
        <w:rFonts w:hint="eastAsia"/>
      </w:rPr>
    </w:lvl>
    <w:lvl w:ilvl="6">
      <w:start w:val="1"/>
      <w:numFmt w:val="decimal"/>
      <w:lvlText w:val="%7."/>
      <w:lvlJc w:val="left"/>
      <w:pPr>
        <w:ind w:left="2480" w:hanging="420"/>
      </w:pPr>
      <w:rPr>
        <w:rFonts w:hint="eastAsia"/>
      </w:rPr>
    </w:lvl>
    <w:lvl w:ilvl="7">
      <w:start w:val="1"/>
      <w:numFmt w:val="lowerLetter"/>
      <w:lvlText w:val="%8)"/>
      <w:lvlJc w:val="left"/>
      <w:pPr>
        <w:ind w:left="2900" w:hanging="420"/>
      </w:pPr>
      <w:rPr>
        <w:rFonts w:hint="eastAsia"/>
      </w:rPr>
    </w:lvl>
    <w:lvl w:ilvl="8">
      <w:start w:val="1"/>
      <w:numFmt w:val="lowerRoman"/>
      <w:lvlText w:val="%9."/>
      <w:lvlJc w:val="right"/>
      <w:pPr>
        <w:ind w:left="3320" w:hanging="420"/>
      </w:pPr>
      <w:rPr>
        <w:rFonts w:hint="eastAsia"/>
      </w:rPr>
    </w:lvl>
  </w:abstractNum>
  <w:abstractNum w:abstractNumId="16">
    <w:nsid w:val="00000066"/>
    <w:multiLevelType w:val="multilevel"/>
    <w:tmpl w:val="00000066"/>
    <w:lvl w:ilvl="0">
      <w:start w:val="1"/>
      <w:numFmt w:val="chineseCountingThousand"/>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17">
    <w:nsid w:val="0000006F"/>
    <w:multiLevelType w:val="multilevel"/>
    <w:tmpl w:val="0000006F"/>
    <w:lvl w:ilvl="0">
      <w:start w:val="1"/>
      <w:numFmt w:val="chineseCountingThousand"/>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18">
    <w:nsid w:val="00000074"/>
    <w:multiLevelType w:val="multilevel"/>
    <w:tmpl w:val="00000074"/>
    <w:lvl w:ilvl="0">
      <w:start w:val="1"/>
      <w:numFmt w:val="chineseCountingThousand"/>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19">
    <w:nsid w:val="00000077"/>
    <w:multiLevelType w:val="multilevel"/>
    <w:tmpl w:val="00000077"/>
    <w:lvl w:ilvl="0">
      <w:start w:val="1"/>
      <w:numFmt w:val="decimal"/>
      <w:lvlText w:val="%1."/>
      <w:lvlJc w:val="left"/>
      <w:pPr>
        <w:ind w:left="1020" w:hanging="420"/>
      </w:pPr>
    </w:lvl>
    <w:lvl w:ilvl="1">
      <w:start w:val="1"/>
      <w:numFmt w:val="lowerLetter"/>
      <w:lvlText w:val="%2)"/>
      <w:lvlJc w:val="left"/>
      <w:pPr>
        <w:ind w:left="1440" w:hanging="420"/>
      </w:pPr>
    </w:lvl>
    <w:lvl w:ilvl="2">
      <w:start w:val="1"/>
      <w:numFmt w:val="decimal"/>
      <w:lvlText w:val="%3."/>
      <w:lvlJc w:val="lef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0">
    <w:nsid w:val="00000079"/>
    <w:multiLevelType w:val="multilevel"/>
    <w:tmpl w:val="00000079"/>
    <w:lvl w:ilvl="0">
      <w:start w:val="1"/>
      <w:numFmt w:val="chineseCountingThousand"/>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1">
    <w:nsid w:val="0000008B"/>
    <w:multiLevelType w:val="multilevel"/>
    <w:tmpl w:val="0000008B"/>
    <w:lvl w:ilvl="0">
      <w:start w:val="1"/>
      <w:numFmt w:val="japaneseCounting"/>
      <w:lvlText w:val="（%1）"/>
      <w:lvlJc w:val="left"/>
      <w:pPr>
        <w:ind w:left="980" w:hanging="420"/>
      </w:pPr>
      <w:rPr>
        <w:rFonts w:hint="default"/>
        <w:sz w:val="28"/>
        <w:szCs w:val="28"/>
        <w:lang w:val="en-US"/>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2">
    <w:nsid w:val="0000008D"/>
    <w:multiLevelType w:val="multilevel"/>
    <w:tmpl w:val="0000008D"/>
    <w:lvl w:ilvl="0">
      <w:start w:val="1"/>
      <w:numFmt w:val="chineseCountingThousand"/>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3">
    <w:nsid w:val="0000009C"/>
    <w:multiLevelType w:val="multilevel"/>
    <w:tmpl w:val="0000009C"/>
    <w:lvl w:ilvl="0">
      <w:start w:val="1"/>
      <w:numFmt w:val="chineseCountingThousand"/>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4">
    <w:nsid w:val="000000A0"/>
    <w:multiLevelType w:val="multilevel"/>
    <w:tmpl w:val="000000A0"/>
    <w:lvl w:ilvl="0">
      <w:start w:val="1"/>
      <w:numFmt w:val="chineseCountingThousand"/>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5">
    <w:nsid w:val="000000A8"/>
    <w:multiLevelType w:val="multilevel"/>
    <w:tmpl w:val="000000A8"/>
    <w:lvl w:ilvl="0">
      <w:start w:val="1"/>
      <w:numFmt w:val="chineseCountingThousand"/>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6">
    <w:nsid w:val="000000A9"/>
    <w:multiLevelType w:val="multilevel"/>
    <w:tmpl w:val="000000A9"/>
    <w:lvl w:ilvl="0">
      <w:start w:val="1"/>
      <w:numFmt w:val="chineseCountingThousand"/>
      <w:lvlText w:val="第%1条"/>
      <w:lvlJc w:val="left"/>
      <w:pPr>
        <w:ind w:left="846" w:hanging="420"/>
      </w:pPr>
      <w:rPr>
        <w:rFonts w:ascii="仿宋_GB2312" w:eastAsia="仿宋_GB2312" w:hint="eastAsia"/>
        <w:sz w:val="32"/>
        <w:szCs w:val="32"/>
      </w:rPr>
    </w:lvl>
    <w:lvl w:ilvl="1">
      <w:start w:val="1"/>
      <w:numFmt w:val="japaneseCounting"/>
      <w:suff w:val="space"/>
      <w:lvlText w:val="（%2）"/>
      <w:lvlJc w:val="left"/>
      <w:pPr>
        <w:ind w:left="426" w:firstLine="0"/>
      </w:pPr>
      <w:rPr>
        <w:rFonts w:ascii="仿宋_GB2312" w:eastAsia="仿宋_GB2312" w:hAnsi="Calibri" w:cs="Times New Roman"/>
      </w:rPr>
    </w:lvl>
    <w:lvl w:ilvl="2">
      <w:start w:val="1"/>
      <w:numFmt w:val="chineseCountingThousand"/>
      <w:lvlText w:val="(%3)"/>
      <w:lvlJc w:val="left"/>
      <w:pPr>
        <w:ind w:left="2326" w:hanging="420"/>
      </w:pPr>
    </w:lvl>
    <w:lvl w:ilvl="3">
      <w:start w:val="1"/>
      <w:numFmt w:val="decimal"/>
      <w:lvlText w:val="%4."/>
      <w:lvlJc w:val="left"/>
      <w:pPr>
        <w:ind w:left="2746" w:hanging="420"/>
      </w:pPr>
    </w:lvl>
    <w:lvl w:ilvl="4">
      <w:start w:val="1"/>
      <w:numFmt w:val="lowerLetter"/>
      <w:lvlText w:val="%5)"/>
      <w:lvlJc w:val="left"/>
      <w:pPr>
        <w:ind w:left="3166" w:hanging="420"/>
      </w:pPr>
    </w:lvl>
    <w:lvl w:ilvl="5">
      <w:start w:val="1"/>
      <w:numFmt w:val="lowerRoman"/>
      <w:lvlText w:val="%6."/>
      <w:lvlJc w:val="right"/>
      <w:pPr>
        <w:ind w:left="3586" w:hanging="420"/>
      </w:pPr>
    </w:lvl>
    <w:lvl w:ilvl="6">
      <w:start w:val="1"/>
      <w:numFmt w:val="decimal"/>
      <w:lvlText w:val="%7."/>
      <w:lvlJc w:val="left"/>
      <w:pPr>
        <w:ind w:left="4006" w:hanging="420"/>
      </w:pPr>
    </w:lvl>
    <w:lvl w:ilvl="7">
      <w:start w:val="1"/>
      <w:numFmt w:val="lowerLetter"/>
      <w:lvlText w:val="%8)"/>
      <w:lvlJc w:val="left"/>
      <w:pPr>
        <w:ind w:left="4426" w:hanging="420"/>
      </w:pPr>
    </w:lvl>
    <w:lvl w:ilvl="8">
      <w:start w:val="1"/>
      <w:numFmt w:val="lowerRoman"/>
      <w:lvlText w:val="%9."/>
      <w:lvlJc w:val="right"/>
      <w:pPr>
        <w:ind w:left="4846" w:hanging="420"/>
      </w:pPr>
    </w:lvl>
  </w:abstractNum>
  <w:abstractNum w:abstractNumId="27">
    <w:nsid w:val="000000AE"/>
    <w:multiLevelType w:val="multilevel"/>
    <w:tmpl w:val="000000AE"/>
    <w:lvl w:ilvl="0">
      <w:start w:val="1"/>
      <w:numFmt w:val="chineseCountingThousand"/>
      <w:lvlText w:val="(%1)"/>
      <w:lvlJc w:val="left"/>
      <w:pPr>
        <w:ind w:left="1020" w:hanging="420"/>
      </w:pPr>
    </w:lvl>
    <w:lvl w:ilvl="1">
      <w:start w:val="1"/>
      <w:numFmt w:val="chineseCountingThousand"/>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8">
    <w:nsid w:val="000000B2"/>
    <w:multiLevelType w:val="multilevel"/>
    <w:tmpl w:val="000000B2"/>
    <w:lvl w:ilvl="0">
      <w:start w:val="1"/>
      <w:numFmt w:val="chineseCountingThousand"/>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9">
    <w:nsid w:val="000000B7"/>
    <w:multiLevelType w:val="multilevel"/>
    <w:tmpl w:val="000000B7"/>
    <w:lvl w:ilvl="0">
      <w:start w:val="1"/>
      <w:numFmt w:val="japaneseCounting"/>
      <w:lvlText w:val="（%1）"/>
      <w:lvlJc w:val="left"/>
      <w:pPr>
        <w:ind w:left="846" w:hanging="420"/>
      </w:pPr>
      <w:rPr>
        <w:rFonts w:hint="default"/>
        <w:sz w:val="28"/>
        <w:szCs w:val="28"/>
        <w:lang w:val="en-US"/>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30">
    <w:nsid w:val="000000B8"/>
    <w:multiLevelType w:val="multilevel"/>
    <w:tmpl w:val="000000B8"/>
    <w:lvl w:ilvl="0">
      <w:start w:val="1"/>
      <w:numFmt w:val="japaneseCounting"/>
      <w:lvlText w:val="（%1）"/>
      <w:lvlJc w:val="left"/>
      <w:pPr>
        <w:ind w:left="1020" w:hanging="420"/>
      </w:pPr>
      <w:rPr>
        <w:rFonts w:hint="default"/>
      </w:rPr>
    </w:lvl>
    <w:lvl w:ilvl="1">
      <w:start w:val="1"/>
      <w:numFmt w:val="chineseCountingThousand"/>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31">
    <w:nsid w:val="000000BC"/>
    <w:multiLevelType w:val="multilevel"/>
    <w:tmpl w:val="000000BC"/>
    <w:lvl w:ilvl="0">
      <w:start w:val="1"/>
      <w:numFmt w:val="chineseCountingThousand"/>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32">
    <w:nsid w:val="00E211B1"/>
    <w:multiLevelType w:val="hybridMultilevel"/>
    <w:tmpl w:val="E5E2CC86"/>
    <w:lvl w:ilvl="0">
      <w:start w:val="1"/>
      <w:numFmt w:val="decimal"/>
      <w:lvlText w:val="(%1)"/>
      <w:lvlJc w:val="left"/>
      <w:pPr>
        <w:ind w:left="900" w:hanging="420"/>
      </w:pPr>
      <w:rPr>
        <w:rFonts w:hint="eastAsia"/>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start w:val="1"/>
      <w:numFmt w:val="decimal"/>
      <w:lvlText w:val="(%4)"/>
      <w:lvlJc w:val="left"/>
      <w:pPr>
        <w:ind w:left="2405" w:hanging="420"/>
      </w:pPr>
      <w:rPr>
        <w:rFonts w:hint="eastAsia"/>
      </w:r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3">
    <w:nsid w:val="02936073"/>
    <w:multiLevelType w:val="hybridMultilevel"/>
    <w:tmpl w:val="AB321D70"/>
    <w:lvl w:ilvl="0">
      <w:start w:val="1"/>
      <w:numFmt w:val="decimal"/>
      <w:lvlText w:val="(%1)"/>
      <w:lvlJc w:val="left"/>
      <w:pPr>
        <w:ind w:left="980" w:hanging="420"/>
      </w:pPr>
      <w:rPr>
        <w:rFonts w:hint="eastAsia"/>
      </w:rPr>
    </w:lvl>
    <w:lvl w:ilvl="1">
      <w:start w:val="0"/>
      <w:numFmt w:val="decimal"/>
      <w:lvlText w:val="%2"/>
      <w:lvlJc w:val="left"/>
      <w:pPr>
        <w:ind w:left="1340" w:hanging="360"/>
      </w:pPr>
      <w:rPr>
        <w:rFonts w:hint="default"/>
      </w:rPr>
    </w:lvl>
    <w:lvl w:ilvl="2">
      <w:start w:val="1"/>
      <w:numFmt w:val="decimal"/>
      <w:lvlText w:val="(%3)"/>
      <w:lvlJc w:val="left"/>
      <w:pPr>
        <w:ind w:left="1820" w:hanging="420"/>
      </w:pPr>
      <w:rPr>
        <w:rFonts w:hint="eastAsia"/>
      </w:r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abstractNum w:abstractNumId="34">
    <w:nsid w:val="06797940"/>
    <w:multiLevelType w:val="multilevel"/>
    <w:tmpl w:val="A666FFB2"/>
    <w:lvl w:ilvl="0">
      <w:start w:val="1"/>
      <w:numFmt w:val="upperLetter"/>
      <w:lvlText w:val="%1."/>
      <w:lvlJc w:val="left"/>
      <w:pPr>
        <w:ind w:left="765" w:hanging="765"/>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nsid w:val="0ABA3C28"/>
    <w:multiLevelType w:val="multilevel"/>
    <w:tmpl w:val="199A9996"/>
    <w:lvl w:ilvl="0">
      <w:start w:val="1"/>
      <w:numFmt w:val="decimal"/>
      <w:lvlText w:val="%1."/>
      <w:lvlJc w:val="left"/>
      <w:pPr>
        <w:ind w:left="1020" w:hanging="420"/>
      </w:pPr>
      <w:rPr>
        <w:rFonts w:hint="eastAsia"/>
      </w:rPr>
    </w:lvl>
    <w:lvl w:ilvl="1">
      <w:start w:val="1"/>
      <w:numFmt w:val="decimal"/>
      <w:lvlText w:val="(%2)"/>
      <w:lvlJc w:val="left"/>
      <w:pPr>
        <w:ind w:left="1440" w:hanging="420"/>
      </w:pPr>
      <w:rPr>
        <w:rFonts w:hint="eastAsia"/>
      </w:r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36">
    <w:nsid w:val="0D2B533D"/>
    <w:multiLevelType w:val="multilevel"/>
    <w:tmpl w:val="49E6652A"/>
    <w:lvl w:ilvl="0">
      <w:start w:val="1"/>
      <w:numFmt w:val="decimal"/>
      <w:lvlText w:val="(%1)"/>
      <w:lvlJc w:val="left"/>
      <w:pPr>
        <w:ind w:left="126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37">
    <w:nsid w:val="14AE1613"/>
    <w:multiLevelType w:val="multilevel"/>
    <w:tmpl w:val="3B00035A"/>
    <w:lvl w:ilvl="0">
      <w:start w:val="1"/>
      <w:numFmt w:val="decimal"/>
      <w:lvlText w:val="%1."/>
      <w:lvlJc w:val="left"/>
      <w:pPr>
        <w:ind w:left="1020" w:hanging="420"/>
      </w:pPr>
      <w:rPr>
        <w:rFonts w:hint="eastAsia"/>
      </w:rPr>
    </w:lvl>
    <w:lvl w:ilvl="1">
      <w:start w:val="1"/>
      <w:numFmt w:val="decimal"/>
      <w:lvlText w:val="(%2)"/>
      <w:lvlJc w:val="left"/>
      <w:pPr>
        <w:ind w:left="1440" w:hanging="420"/>
      </w:pPr>
      <w:rPr>
        <w:rFonts w:hint="eastAsia"/>
      </w:r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38">
    <w:nsid w:val="180A70DA"/>
    <w:multiLevelType w:val="hybridMultilevel"/>
    <w:tmpl w:val="4F806FBA"/>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start w:val="1"/>
      <w:numFmt w:val="decimal"/>
      <w:lvlText w:val="(%4)"/>
      <w:lvlJc w:val="left"/>
      <w:pPr>
        <w:ind w:left="2160" w:hanging="420"/>
      </w:pPr>
      <w:rPr>
        <w:rFonts w:hint="eastAsia"/>
      </w:r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9">
    <w:nsid w:val="19A455C3"/>
    <w:multiLevelType w:val="hybridMultilevel"/>
    <w:tmpl w:val="BBAE9240"/>
    <w:lvl w:ilvl="0">
      <w:start w:val="1"/>
      <w:numFmt w:val="decimal"/>
      <w:lvlText w:val="(%1)"/>
      <w:lvlJc w:val="left"/>
      <w:pPr>
        <w:ind w:left="42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0">
    <w:nsid w:val="225E1ED7"/>
    <w:multiLevelType w:val="hybridMultilevel"/>
    <w:tmpl w:val="C4A20D84"/>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1">
    <w:nsid w:val="248F42BF"/>
    <w:multiLevelType w:val="multilevel"/>
    <w:tmpl w:val="AA5C3272"/>
    <w:lvl w:ilvl="0">
      <w:start w:val="1"/>
      <w:numFmt w:val="decimal"/>
      <w:lvlText w:val="%1)"/>
      <w:lvlJc w:val="left"/>
      <w:pPr>
        <w:ind w:left="704" w:hanging="420"/>
      </w:pPr>
      <w:rPr>
        <w:rFonts w:hint="eastAsia"/>
        <w:b/>
        <w:lang w:val="en-US"/>
      </w:rPr>
    </w:lvl>
    <w:lvl w:ilvl="1">
      <w:start w:val="4"/>
      <w:numFmt w:val="japaneseCounting"/>
      <w:lvlText w:val="第%2章"/>
      <w:lvlJc w:val="left"/>
      <w:pPr>
        <w:ind w:left="1500" w:hanging="108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nsid w:val="270077B4"/>
    <w:multiLevelType w:val="hybridMultilevel"/>
    <w:tmpl w:val="F4B8C780"/>
    <w:lvl w:ilvl="0">
      <w:start w:val="1"/>
      <w:numFmt w:val="decimal"/>
      <w:lvlText w:val="%1)"/>
      <w:lvlJc w:val="left"/>
      <w:pPr>
        <w:ind w:left="420" w:hanging="420"/>
      </w:pPr>
    </w:lvl>
    <w:lvl w:ilvl="1" w:tentative="1">
      <w:start w:val="1"/>
      <w:numFmt w:val="lowerLetter"/>
      <w:lvlText w:val="%2)"/>
      <w:lvlJc w:val="left"/>
      <w:pPr>
        <w:ind w:left="840" w:hanging="420"/>
      </w:pPr>
    </w:lvl>
    <w:lvl w:ilvl="2">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3">
    <w:nsid w:val="2B534327"/>
    <w:multiLevelType w:val="hybridMultilevel"/>
    <w:tmpl w:val="C284CFD4"/>
    <w:lvl w:ilvl="0">
      <w:start w:val="1"/>
      <w:numFmt w:val="decimal"/>
      <w:lvlText w:val="(%1)"/>
      <w:lvlJc w:val="left"/>
      <w:pPr>
        <w:ind w:left="900" w:hanging="420"/>
      </w:pPr>
      <w:rPr>
        <w:rFonts w:hint="eastAsia"/>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start w:val="1"/>
      <w:numFmt w:val="decimal"/>
      <w:lvlText w:val="(%4)"/>
      <w:lvlJc w:val="left"/>
      <w:pPr>
        <w:ind w:left="1555" w:hanging="420"/>
      </w:pPr>
      <w:rPr>
        <w:rFonts w:hint="eastAsia"/>
      </w:r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44">
    <w:nsid w:val="2C0F7400"/>
    <w:multiLevelType w:val="hybridMultilevel"/>
    <w:tmpl w:val="D5E06F2E"/>
    <w:lvl w:ilvl="0">
      <w:start w:val="1"/>
      <w:numFmt w:val="decimal"/>
      <w:lvlText w:val="(%1)"/>
      <w:lvlJc w:val="left"/>
      <w:pPr>
        <w:ind w:left="980" w:hanging="420"/>
      </w:pPr>
      <w:rPr>
        <w:rFonts w:hint="eastAsia"/>
      </w:rPr>
    </w:lvl>
    <w:lvl w:ilvl="1" w:tentative="1">
      <w:start w:val="1"/>
      <w:numFmt w:val="lowerLetter"/>
      <w:lvlText w:val="%2)"/>
      <w:lvlJc w:val="left"/>
      <w:pPr>
        <w:ind w:left="1400" w:hanging="420"/>
      </w:pPr>
    </w:lvl>
    <w:lvl w:ilvl="2">
      <w:start w:val="1"/>
      <w:numFmt w:val="decimal"/>
      <w:lvlText w:val="(%3)"/>
      <w:lvlJc w:val="left"/>
      <w:pPr>
        <w:ind w:left="1820" w:hanging="420"/>
      </w:pPr>
      <w:rPr>
        <w:rFonts w:hint="eastAsia"/>
      </w:r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abstractNum w:abstractNumId="45">
    <w:nsid w:val="3081765C"/>
    <w:multiLevelType w:val="multilevel"/>
    <w:tmpl w:val="86562388"/>
    <w:lvl w:ilvl="0">
      <w:start w:val="1"/>
      <w:numFmt w:val="decimal"/>
      <w:pStyle w:val="Heading1"/>
      <w:lvlText w:val="%1"/>
      <w:lvlJc w:val="left"/>
      <w:pPr>
        <w:ind w:left="432" w:hanging="432"/>
      </w:pPr>
    </w:lvl>
    <w:lvl w:ilvl="1">
      <w:start w:val="1"/>
      <w:numFmt w:val="decimal"/>
      <w:pStyle w:val="Heading2"/>
      <w:lvlText w:val="%1.%2"/>
      <w:lvlJc w:val="left"/>
      <w:pPr>
        <w:ind w:left="576" w:hanging="576"/>
      </w:pPr>
      <w:rPr>
        <w:b w:val="0"/>
        <w:bCs w:val="0"/>
        <w:i w:val="0"/>
        <w:iCs w:val="0"/>
        <w:caps w:val="0"/>
        <w:smallCaps w:val="0"/>
        <w:strike w:val="0"/>
        <w:dstrike w:val="0"/>
        <w:outline w:val="0"/>
        <w:shadow w:val="0"/>
        <w:emboss w:val="0"/>
        <w:imprint w:val="0"/>
        <w:noProof w:val="0"/>
        <w:vanish w:val="0"/>
        <w:spacing w:val="0"/>
        <w:position w:val="0"/>
        <w:u w:val="none"/>
        <w:vertAlign w:val="baseline"/>
      </w:rPr>
    </w:lvl>
    <w:lvl w:ilvl="2">
      <w:start w:val="1"/>
      <w:numFmt w:val="decimal"/>
      <w:pStyle w:val="Heading3"/>
      <w:lvlText w:val="%1.%2.%3"/>
      <w:lvlJc w:val="left"/>
      <w:pPr>
        <w:ind w:left="1004" w:hanging="720"/>
      </w:pPr>
      <w:rPr>
        <w:b w:val="0"/>
        <w:bCs w:val="0"/>
        <w:i w:val="0"/>
        <w:iCs w:val="0"/>
        <w:caps w:val="0"/>
        <w:smallCaps w:val="0"/>
        <w:strike w:val="0"/>
        <w:dstrike w:val="0"/>
        <w:outline w:val="0"/>
        <w:shadow w:val="0"/>
        <w:emboss w:val="0"/>
        <w:imprint w:val="0"/>
        <w:noProof w:val="0"/>
        <w:vanish w:val="0"/>
        <w:spacing w:val="0"/>
        <w:position w:val="0"/>
        <w:u w:val="none"/>
        <w:vertAlign w:val="baseline"/>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6">
    <w:nsid w:val="314C7DF2"/>
    <w:multiLevelType w:val="hybridMultilevel"/>
    <w:tmpl w:val="EAD0C026"/>
    <w:lvl w:ilvl="0">
      <w:start w:val="1"/>
      <w:numFmt w:val="decimal"/>
      <w:lvlText w:val="(%1)"/>
      <w:lvlJc w:val="left"/>
      <w:pPr>
        <w:ind w:left="2160" w:hanging="420"/>
      </w:pPr>
      <w:rPr>
        <w:rFonts w:hint="eastAsia"/>
      </w:rPr>
    </w:lvl>
    <w:lvl w:ilvl="1" w:tentative="1">
      <w:start w:val="1"/>
      <w:numFmt w:val="lowerLetter"/>
      <w:lvlText w:val="%2)"/>
      <w:lvlJc w:val="left"/>
      <w:pPr>
        <w:ind w:left="2580" w:hanging="420"/>
      </w:pPr>
    </w:lvl>
    <w:lvl w:ilvl="2" w:tentative="1">
      <w:start w:val="1"/>
      <w:numFmt w:val="lowerRoman"/>
      <w:lvlText w:val="%3."/>
      <w:lvlJc w:val="right"/>
      <w:pPr>
        <w:ind w:left="3000" w:hanging="420"/>
      </w:pPr>
    </w:lvl>
    <w:lvl w:ilvl="3" w:tentative="1">
      <w:start w:val="1"/>
      <w:numFmt w:val="decimal"/>
      <w:lvlText w:val="%4."/>
      <w:lvlJc w:val="left"/>
      <w:pPr>
        <w:ind w:left="3420" w:hanging="420"/>
      </w:pPr>
    </w:lvl>
    <w:lvl w:ilvl="4" w:tentative="1">
      <w:start w:val="1"/>
      <w:numFmt w:val="lowerLetter"/>
      <w:lvlText w:val="%5)"/>
      <w:lvlJc w:val="left"/>
      <w:pPr>
        <w:ind w:left="3840" w:hanging="420"/>
      </w:pPr>
    </w:lvl>
    <w:lvl w:ilvl="5" w:tentative="1">
      <w:start w:val="1"/>
      <w:numFmt w:val="lowerRoman"/>
      <w:lvlText w:val="%6."/>
      <w:lvlJc w:val="right"/>
      <w:pPr>
        <w:ind w:left="4260" w:hanging="420"/>
      </w:pPr>
    </w:lvl>
    <w:lvl w:ilvl="6" w:tentative="1">
      <w:start w:val="1"/>
      <w:numFmt w:val="decimal"/>
      <w:lvlText w:val="%7."/>
      <w:lvlJc w:val="left"/>
      <w:pPr>
        <w:ind w:left="4680" w:hanging="420"/>
      </w:pPr>
    </w:lvl>
    <w:lvl w:ilvl="7" w:tentative="1">
      <w:start w:val="1"/>
      <w:numFmt w:val="lowerLetter"/>
      <w:lvlText w:val="%8)"/>
      <w:lvlJc w:val="left"/>
      <w:pPr>
        <w:ind w:left="5100" w:hanging="420"/>
      </w:pPr>
    </w:lvl>
    <w:lvl w:ilvl="8" w:tentative="1">
      <w:start w:val="1"/>
      <w:numFmt w:val="lowerRoman"/>
      <w:lvlText w:val="%9."/>
      <w:lvlJc w:val="right"/>
      <w:pPr>
        <w:ind w:left="5520" w:hanging="420"/>
      </w:pPr>
    </w:lvl>
  </w:abstractNum>
  <w:abstractNum w:abstractNumId="47">
    <w:nsid w:val="31583C9B"/>
    <w:multiLevelType w:val="multilevel"/>
    <w:tmpl w:val="000000A9"/>
    <w:lvl w:ilvl="0">
      <w:start w:val="1"/>
      <w:numFmt w:val="chineseCountingThousand"/>
      <w:lvlText w:val="第%1条"/>
      <w:lvlJc w:val="left"/>
      <w:pPr>
        <w:ind w:left="846" w:hanging="420"/>
      </w:pPr>
      <w:rPr>
        <w:rFonts w:ascii="仿宋_GB2312" w:eastAsia="仿宋_GB2312" w:hint="eastAsia"/>
        <w:sz w:val="32"/>
        <w:szCs w:val="32"/>
      </w:rPr>
    </w:lvl>
    <w:lvl w:ilvl="1">
      <w:start w:val="1"/>
      <w:numFmt w:val="japaneseCounting"/>
      <w:suff w:val="space"/>
      <w:lvlText w:val="（%2）"/>
      <w:lvlJc w:val="left"/>
      <w:pPr>
        <w:ind w:left="426" w:firstLine="0"/>
      </w:pPr>
      <w:rPr>
        <w:rFonts w:ascii="仿宋_GB2312" w:eastAsia="仿宋_GB2312" w:hAnsi="Calibri" w:cs="Times New Roman"/>
      </w:rPr>
    </w:lvl>
    <w:lvl w:ilvl="2">
      <w:start w:val="1"/>
      <w:numFmt w:val="chineseCountingThousand"/>
      <w:lvlText w:val="(%3)"/>
      <w:lvlJc w:val="left"/>
      <w:pPr>
        <w:ind w:left="2326" w:hanging="420"/>
      </w:pPr>
    </w:lvl>
    <w:lvl w:ilvl="3">
      <w:start w:val="1"/>
      <w:numFmt w:val="decimal"/>
      <w:lvlText w:val="%4."/>
      <w:lvlJc w:val="left"/>
      <w:pPr>
        <w:ind w:left="2746" w:hanging="420"/>
      </w:pPr>
    </w:lvl>
    <w:lvl w:ilvl="4">
      <w:start w:val="1"/>
      <w:numFmt w:val="lowerLetter"/>
      <w:lvlText w:val="%5)"/>
      <w:lvlJc w:val="left"/>
      <w:pPr>
        <w:ind w:left="3166" w:hanging="420"/>
      </w:pPr>
    </w:lvl>
    <w:lvl w:ilvl="5">
      <w:start w:val="1"/>
      <w:numFmt w:val="lowerRoman"/>
      <w:lvlText w:val="%6."/>
      <w:lvlJc w:val="right"/>
      <w:pPr>
        <w:ind w:left="3586" w:hanging="420"/>
      </w:pPr>
    </w:lvl>
    <w:lvl w:ilvl="6">
      <w:start w:val="1"/>
      <w:numFmt w:val="decimal"/>
      <w:lvlText w:val="%7."/>
      <w:lvlJc w:val="left"/>
      <w:pPr>
        <w:ind w:left="4006" w:hanging="420"/>
      </w:pPr>
    </w:lvl>
    <w:lvl w:ilvl="7">
      <w:start w:val="1"/>
      <w:numFmt w:val="lowerLetter"/>
      <w:lvlText w:val="%8)"/>
      <w:lvlJc w:val="left"/>
      <w:pPr>
        <w:ind w:left="4426" w:hanging="420"/>
      </w:pPr>
    </w:lvl>
    <w:lvl w:ilvl="8">
      <w:start w:val="1"/>
      <w:numFmt w:val="lowerRoman"/>
      <w:lvlText w:val="%9."/>
      <w:lvlJc w:val="right"/>
      <w:pPr>
        <w:ind w:left="4846" w:hanging="420"/>
      </w:pPr>
    </w:lvl>
  </w:abstractNum>
  <w:abstractNum w:abstractNumId="48">
    <w:nsid w:val="3A4AF2D5"/>
    <w:multiLevelType w:val="multilevel"/>
    <w:tmpl w:val="0000000C"/>
    <w:lvl w:ilvl="0">
      <w:start w:val="1"/>
      <w:numFmt w:val="decimal"/>
      <w:lvlText w:val="（%1）"/>
      <w:lvlJc w:val="left"/>
      <w:pPr>
        <w:ind w:left="1020" w:hanging="420"/>
      </w:pPr>
      <w:rPr>
        <w:rFonts w:hint="default"/>
      </w:rPr>
    </w:lvl>
    <w:lvl w:ilvl="1">
      <w:start w:val="1"/>
      <w:numFmt w:val="decimal"/>
      <w:lvlText w:val="（%2）"/>
      <w:lvlJc w:val="left"/>
      <w:pPr>
        <w:ind w:left="1440" w:hanging="420"/>
      </w:pPr>
      <w:rPr>
        <w:rFonts w:hint="default"/>
      </w:r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49">
    <w:nsid w:val="410D5502"/>
    <w:multiLevelType w:val="multilevel"/>
    <w:tmpl w:val="C9405A68"/>
    <w:lvl w:ilvl="0">
      <w:start w:val="1"/>
      <w:numFmt w:val="decimal"/>
      <w:lvlText w:val="%1)"/>
      <w:lvlJc w:val="left"/>
      <w:pPr>
        <w:ind w:left="704" w:hanging="420"/>
      </w:pPr>
      <w:rPr>
        <w:rFonts w:hint="eastAsia"/>
        <w:b/>
        <w:lang w:val="en-US"/>
      </w:rPr>
    </w:lvl>
    <w:lvl w:ilvl="1">
      <w:start w:val="4"/>
      <w:numFmt w:val="japaneseCounting"/>
      <w:lvlText w:val="第%2章"/>
      <w:lvlJc w:val="left"/>
      <w:pPr>
        <w:ind w:left="1500" w:hanging="108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46073121"/>
    <w:multiLevelType w:val="hybridMultilevel"/>
    <w:tmpl w:val="0D8ABE8E"/>
    <w:lvl w:ilvl="0">
      <w:start w:val="1"/>
      <w:numFmt w:val="decimal"/>
      <w:lvlText w:val="(%1)"/>
      <w:lvlJc w:val="left"/>
      <w:pPr>
        <w:ind w:left="2400" w:hanging="720"/>
      </w:pPr>
      <w:rPr>
        <w:rFonts w:hint="eastAsia"/>
      </w:rPr>
    </w:lvl>
    <w:lvl w:ilvl="1" w:tentative="1">
      <w:start w:val="1"/>
      <w:numFmt w:val="lowerLetter"/>
      <w:lvlText w:val="%2)"/>
      <w:lvlJc w:val="left"/>
      <w:pPr>
        <w:ind w:left="2520" w:hanging="420"/>
      </w:pPr>
    </w:lvl>
    <w:lvl w:ilvl="2" w:tentative="1">
      <w:start w:val="1"/>
      <w:numFmt w:val="lowerRoman"/>
      <w:lvlText w:val="%3."/>
      <w:lvlJc w:val="right"/>
      <w:pPr>
        <w:ind w:left="2940" w:hanging="420"/>
      </w:pPr>
    </w:lvl>
    <w:lvl w:ilvl="3" w:tentative="1">
      <w:start w:val="1"/>
      <w:numFmt w:val="decimal"/>
      <w:lvlText w:val="%4."/>
      <w:lvlJc w:val="left"/>
      <w:pPr>
        <w:ind w:left="3360" w:hanging="420"/>
      </w:pPr>
    </w:lvl>
    <w:lvl w:ilvl="4" w:tentative="1">
      <w:start w:val="1"/>
      <w:numFmt w:val="lowerLetter"/>
      <w:lvlText w:val="%5)"/>
      <w:lvlJc w:val="left"/>
      <w:pPr>
        <w:ind w:left="3780" w:hanging="420"/>
      </w:pPr>
    </w:lvl>
    <w:lvl w:ilvl="5" w:tentative="1">
      <w:start w:val="1"/>
      <w:numFmt w:val="lowerRoman"/>
      <w:lvlText w:val="%6."/>
      <w:lvlJc w:val="right"/>
      <w:pPr>
        <w:ind w:left="4200" w:hanging="420"/>
      </w:pPr>
    </w:lvl>
    <w:lvl w:ilvl="6" w:tentative="1">
      <w:start w:val="1"/>
      <w:numFmt w:val="decimal"/>
      <w:lvlText w:val="%7."/>
      <w:lvlJc w:val="left"/>
      <w:pPr>
        <w:ind w:left="4620" w:hanging="420"/>
      </w:pPr>
    </w:lvl>
    <w:lvl w:ilvl="7" w:tentative="1">
      <w:start w:val="1"/>
      <w:numFmt w:val="lowerLetter"/>
      <w:lvlText w:val="%8)"/>
      <w:lvlJc w:val="left"/>
      <w:pPr>
        <w:ind w:left="5040" w:hanging="420"/>
      </w:pPr>
    </w:lvl>
    <w:lvl w:ilvl="8" w:tentative="1">
      <w:start w:val="1"/>
      <w:numFmt w:val="lowerRoman"/>
      <w:lvlText w:val="%9."/>
      <w:lvlJc w:val="right"/>
      <w:pPr>
        <w:ind w:left="5460" w:hanging="420"/>
      </w:pPr>
    </w:lvl>
  </w:abstractNum>
  <w:abstractNum w:abstractNumId="51">
    <w:nsid w:val="48D42951"/>
    <w:multiLevelType w:val="multilevel"/>
    <w:tmpl w:val="9A289568"/>
    <w:lvl w:ilvl="0">
      <w:start w:val="1"/>
      <w:numFmt w:val="decimal"/>
      <w:lvlText w:val="%1)"/>
      <w:lvlJc w:val="left"/>
      <w:pPr>
        <w:ind w:left="704" w:hanging="420"/>
      </w:pPr>
      <w:rPr>
        <w:rFonts w:hint="eastAsia"/>
        <w:b/>
        <w:lang w:val="en-US"/>
      </w:rPr>
    </w:lvl>
    <w:lvl w:ilvl="1">
      <w:start w:val="4"/>
      <w:numFmt w:val="japaneseCounting"/>
      <w:lvlText w:val="第%2章"/>
      <w:lvlJc w:val="left"/>
      <w:pPr>
        <w:ind w:left="1500" w:hanging="108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4BE14236"/>
    <w:multiLevelType w:val="hybridMultilevel"/>
    <w:tmpl w:val="A7D41BD0"/>
    <w:lvl w:ilvl="0">
      <w:start w:val="1"/>
      <w:numFmt w:val="decimal"/>
      <w:lvlText w:val="(%1)"/>
      <w:lvlJc w:val="left"/>
      <w:pPr>
        <w:ind w:left="900" w:hanging="420"/>
      </w:pPr>
      <w:rPr>
        <w:rFonts w:hint="eastAsia"/>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start w:val="1"/>
      <w:numFmt w:val="decimal"/>
      <w:lvlText w:val="(%4)"/>
      <w:lvlJc w:val="left"/>
      <w:pPr>
        <w:ind w:left="2160" w:hanging="420"/>
      </w:pPr>
      <w:rPr>
        <w:rFonts w:hint="eastAsia"/>
      </w:r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53">
    <w:nsid w:val="4C592E01"/>
    <w:multiLevelType w:val="hybridMultilevel"/>
    <w:tmpl w:val="CBB6BEF8"/>
    <w:lvl w:ilvl="0">
      <w:start w:val="1"/>
      <w:numFmt w:val="chineseCountingThousand"/>
      <w:lvlText w:val="(%1)"/>
      <w:lvlJc w:val="left"/>
      <w:pPr>
        <w:ind w:left="420" w:hanging="420"/>
      </w:pPr>
    </w:lvl>
    <w:lvl w:ilvl="1">
      <w:start w:val="1"/>
      <w:numFmt w:val="chineseCountingThousand"/>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2535" w:hanging="1275"/>
      </w:pPr>
      <w:rPr>
        <w:rFonts w:hint="default"/>
      </w:r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4">
    <w:nsid w:val="4F0941CA"/>
    <w:multiLevelType w:val="multilevel"/>
    <w:tmpl w:val="000000A9"/>
    <w:lvl w:ilvl="0">
      <w:start w:val="1"/>
      <w:numFmt w:val="chineseCountingThousand"/>
      <w:lvlText w:val="第%1条"/>
      <w:lvlJc w:val="left"/>
      <w:pPr>
        <w:ind w:left="846" w:hanging="420"/>
      </w:pPr>
      <w:rPr>
        <w:rFonts w:ascii="仿宋_GB2312" w:eastAsia="仿宋_GB2312" w:hint="eastAsia"/>
        <w:sz w:val="32"/>
        <w:szCs w:val="32"/>
      </w:rPr>
    </w:lvl>
    <w:lvl w:ilvl="1">
      <w:start w:val="1"/>
      <w:numFmt w:val="japaneseCounting"/>
      <w:suff w:val="space"/>
      <w:lvlText w:val="（%2）"/>
      <w:lvlJc w:val="left"/>
      <w:pPr>
        <w:ind w:left="426" w:firstLine="0"/>
      </w:pPr>
      <w:rPr>
        <w:rFonts w:ascii="仿宋_GB2312" w:eastAsia="仿宋_GB2312" w:hAnsi="Calibri" w:cs="Times New Roman"/>
      </w:rPr>
    </w:lvl>
    <w:lvl w:ilvl="2">
      <w:start w:val="1"/>
      <w:numFmt w:val="chineseCountingThousand"/>
      <w:lvlText w:val="(%3)"/>
      <w:lvlJc w:val="left"/>
      <w:pPr>
        <w:ind w:left="2326" w:hanging="420"/>
      </w:pPr>
    </w:lvl>
    <w:lvl w:ilvl="3">
      <w:start w:val="1"/>
      <w:numFmt w:val="decimal"/>
      <w:lvlText w:val="%4."/>
      <w:lvlJc w:val="left"/>
      <w:pPr>
        <w:ind w:left="2746" w:hanging="420"/>
      </w:pPr>
    </w:lvl>
    <w:lvl w:ilvl="4">
      <w:start w:val="1"/>
      <w:numFmt w:val="lowerLetter"/>
      <w:lvlText w:val="%5)"/>
      <w:lvlJc w:val="left"/>
      <w:pPr>
        <w:ind w:left="3166" w:hanging="420"/>
      </w:pPr>
    </w:lvl>
    <w:lvl w:ilvl="5">
      <w:start w:val="1"/>
      <w:numFmt w:val="lowerRoman"/>
      <w:lvlText w:val="%6."/>
      <w:lvlJc w:val="right"/>
      <w:pPr>
        <w:ind w:left="3586" w:hanging="420"/>
      </w:pPr>
    </w:lvl>
    <w:lvl w:ilvl="6">
      <w:start w:val="1"/>
      <w:numFmt w:val="decimal"/>
      <w:lvlText w:val="%7."/>
      <w:lvlJc w:val="left"/>
      <w:pPr>
        <w:ind w:left="4006" w:hanging="420"/>
      </w:pPr>
    </w:lvl>
    <w:lvl w:ilvl="7">
      <w:start w:val="1"/>
      <w:numFmt w:val="lowerLetter"/>
      <w:lvlText w:val="%8)"/>
      <w:lvlJc w:val="left"/>
      <w:pPr>
        <w:ind w:left="4426" w:hanging="420"/>
      </w:pPr>
    </w:lvl>
    <w:lvl w:ilvl="8">
      <w:start w:val="1"/>
      <w:numFmt w:val="lowerRoman"/>
      <w:lvlText w:val="%9."/>
      <w:lvlJc w:val="right"/>
      <w:pPr>
        <w:ind w:left="4846" w:hanging="420"/>
      </w:pPr>
    </w:lvl>
  </w:abstractNum>
  <w:abstractNum w:abstractNumId="55">
    <w:nsid w:val="54673484"/>
    <w:multiLevelType w:val="multilevel"/>
    <w:tmpl w:val="EBA6E3A2"/>
    <w:lvl w:ilvl="0">
      <w:start w:val="1"/>
      <w:numFmt w:val="decimal"/>
      <w:lvlText w:val="(%1)"/>
      <w:lvlJc w:val="left"/>
      <w:pPr>
        <w:tabs>
          <w:tab w:val="num" w:pos="1320"/>
        </w:tabs>
        <w:ind w:left="1320" w:hanging="720"/>
      </w:pPr>
      <w:rPr>
        <w:rFonts w:hint="eastAsia"/>
      </w:rPr>
    </w:lvl>
    <w:lvl w:ilvl="1">
      <w:start w:val="1"/>
      <w:numFmt w:val="lowerLetter"/>
      <w:lvlText w:val="%2)"/>
      <w:lvlJc w:val="left"/>
      <w:pPr>
        <w:tabs>
          <w:tab w:val="num" w:pos="1440"/>
        </w:tabs>
        <w:ind w:left="1440" w:hanging="420"/>
      </w:pPr>
    </w:lvl>
    <w:lvl w:ilvl="2">
      <w:start w:val="1"/>
      <w:numFmt w:val="lowerRoman"/>
      <w:lvlText w:val="%3."/>
      <w:lvlJc w:val="right"/>
      <w:pPr>
        <w:tabs>
          <w:tab w:val="num" w:pos="1860"/>
        </w:tabs>
        <w:ind w:left="1860" w:hanging="420"/>
      </w:pPr>
    </w:lvl>
    <w:lvl w:ilvl="3">
      <w:start w:val="1"/>
      <w:numFmt w:val="decimal"/>
      <w:lvlText w:val="%4."/>
      <w:lvlJc w:val="left"/>
      <w:pPr>
        <w:tabs>
          <w:tab w:val="num" w:pos="2280"/>
        </w:tabs>
        <w:ind w:left="2280" w:hanging="420"/>
      </w:pPr>
    </w:lvl>
    <w:lvl w:ilvl="4">
      <w:start w:val="1"/>
      <w:numFmt w:val="lowerLetter"/>
      <w:lvlText w:val="%5)"/>
      <w:lvlJc w:val="left"/>
      <w:pPr>
        <w:tabs>
          <w:tab w:val="num" w:pos="2700"/>
        </w:tabs>
        <w:ind w:left="2700" w:hanging="420"/>
      </w:pPr>
    </w:lvl>
    <w:lvl w:ilvl="5">
      <w:start w:val="1"/>
      <w:numFmt w:val="lowerRoman"/>
      <w:lvlText w:val="%6."/>
      <w:lvlJc w:val="right"/>
      <w:pPr>
        <w:tabs>
          <w:tab w:val="num" w:pos="3120"/>
        </w:tabs>
        <w:ind w:left="3120" w:hanging="420"/>
      </w:pPr>
    </w:lvl>
    <w:lvl w:ilvl="6">
      <w:start w:val="1"/>
      <w:numFmt w:val="decimal"/>
      <w:lvlText w:val="%7."/>
      <w:lvlJc w:val="left"/>
      <w:pPr>
        <w:tabs>
          <w:tab w:val="num" w:pos="3540"/>
        </w:tabs>
        <w:ind w:left="3540" w:hanging="420"/>
      </w:pPr>
    </w:lvl>
    <w:lvl w:ilvl="7">
      <w:start w:val="1"/>
      <w:numFmt w:val="lowerLetter"/>
      <w:lvlText w:val="%8)"/>
      <w:lvlJc w:val="left"/>
      <w:pPr>
        <w:tabs>
          <w:tab w:val="num" w:pos="3960"/>
        </w:tabs>
        <w:ind w:left="3960" w:hanging="420"/>
      </w:pPr>
    </w:lvl>
    <w:lvl w:ilvl="8">
      <w:start w:val="1"/>
      <w:numFmt w:val="lowerRoman"/>
      <w:lvlText w:val="%9."/>
      <w:lvlJc w:val="right"/>
      <w:pPr>
        <w:tabs>
          <w:tab w:val="num" w:pos="4380"/>
        </w:tabs>
        <w:ind w:left="4380" w:hanging="420"/>
      </w:pPr>
    </w:lvl>
  </w:abstractNum>
  <w:abstractNum w:abstractNumId="56">
    <w:nsid w:val="561C348F"/>
    <w:multiLevelType w:val="multilevel"/>
    <w:tmpl w:val="000000A9"/>
    <w:lvl w:ilvl="0">
      <w:start w:val="1"/>
      <w:numFmt w:val="chineseCountingThousand"/>
      <w:lvlText w:val="第%1条"/>
      <w:lvlJc w:val="left"/>
      <w:pPr>
        <w:ind w:left="846" w:hanging="420"/>
      </w:pPr>
      <w:rPr>
        <w:rFonts w:ascii="仿宋_GB2312" w:eastAsia="仿宋_GB2312" w:hint="eastAsia"/>
        <w:sz w:val="32"/>
        <w:szCs w:val="32"/>
      </w:rPr>
    </w:lvl>
    <w:lvl w:ilvl="1">
      <w:start w:val="1"/>
      <w:numFmt w:val="japaneseCounting"/>
      <w:suff w:val="space"/>
      <w:lvlText w:val="（%2）"/>
      <w:lvlJc w:val="left"/>
      <w:pPr>
        <w:ind w:left="426" w:firstLine="0"/>
      </w:pPr>
      <w:rPr>
        <w:rFonts w:ascii="仿宋_GB2312" w:eastAsia="仿宋_GB2312" w:hAnsi="Calibri" w:cs="Times New Roman"/>
      </w:rPr>
    </w:lvl>
    <w:lvl w:ilvl="2">
      <w:start w:val="1"/>
      <w:numFmt w:val="chineseCountingThousand"/>
      <w:lvlText w:val="(%3)"/>
      <w:lvlJc w:val="left"/>
      <w:pPr>
        <w:ind w:left="2326" w:hanging="420"/>
      </w:pPr>
    </w:lvl>
    <w:lvl w:ilvl="3">
      <w:start w:val="1"/>
      <w:numFmt w:val="decimal"/>
      <w:lvlText w:val="%4."/>
      <w:lvlJc w:val="left"/>
      <w:pPr>
        <w:ind w:left="2746" w:hanging="420"/>
      </w:pPr>
    </w:lvl>
    <w:lvl w:ilvl="4">
      <w:start w:val="1"/>
      <w:numFmt w:val="lowerLetter"/>
      <w:lvlText w:val="%5)"/>
      <w:lvlJc w:val="left"/>
      <w:pPr>
        <w:ind w:left="3166" w:hanging="420"/>
      </w:pPr>
    </w:lvl>
    <w:lvl w:ilvl="5">
      <w:start w:val="1"/>
      <w:numFmt w:val="lowerRoman"/>
      <w:lvlText w:val="%6."/>
      <w:lvlJc w:val="right"/>
      <w:pPr>
        <w:ind w:left="3586" w:hanging="420"/>
      </w:pPr>
    </w:lvl>
    <w:lvl w:ilvl="6">
      <w:start w:val="1"/>
      <w:numFmt w:val="decimal"/>
      <w:lvlText w:val="%7."/>
      <w:lvlJc w:val="left"/>
      <w:pPr>
        <w:ind w:left="4006" w:hanging="420"/>
      </w:pPr>
    </w:lvl>
    <w:lvl w:ilvl="7">
      <w:start w:val="1"/>
      <w:numFmt w:val="lowerLetter"/>
      <w:lvlText w:val="%8)"/>
      <w:lvlJc w:val="left"/>
      <w:pPr>
        <w:ind w:left="4426" w:hanging="420"/>
      </w:pPr>
    </w:lvl>
    <w:lvl w:ilvl="8">
      <w:start w:val="1"/>
      <w:numFmt w:val="lowerRoman"/>
      <w:lvlText w:val="%9."/>
      <w:lvlJc w:val="right"/>
      <w:pPr>
        <w:ind w:left="4846" w:hanging="420"/>
      </w:pPr>
    </w:lvl>
  </w:abstractNum>
  <w:abstractNum w:abstractNumId="57">
    <w:nsid w:val="5E7905B0"/>
    <w:multiLevelType w:val="hybridMultilevel"/>
    <w:tmpl w:val="E2C41292"/>
    <w:lvl w:ilvl="0">
      <w:start w:val="1"/>
      <w:numFmt w:val="decimal"/>
      <w:lvlText w:val="(%1)"/>
      <w:lvlJc w:val="left"/>
      <w:pPr>
        <w:ind w:left="420" w:hanging="420"/>
      </w:pPr>
      <w:rPr>
        <w:rFonts w:hint="eastAsia"/>
      </w:rPr>
    </w:lvl>
    <w:lvl w:ilvl="1" w:tentative="1">
      <w:start w:val="1"/>
      <w:numFmt w:val="lowerLetter"/>
      <w:lvlText w:val="%2)"/>
      <w:lvlJc w:val="left"/>
      <w:pPr>
        <w:ind w:left="840" w:hanging="420"/>
      </w:pPr>
    </w:lvl>
    <w:lvl w:ilvl="2">
      <w:start w:val="1"/>
      <w:numFmt w:val="decimal"/>
      <w:lvlText w:val="%3)"/>
      <w:lvlJc w:val="left"/>
      <w:pPr>
        <w:ind w:left="1260" w:hanging="420"/>
      </w:pPr>
      <w:rPr>
        <w:rFonts w:hint="eastAsia"/>
      </w:r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8">
    <w:nsid w:val="63CC4743"/>
    <w:multiLevelType w:val="multilevel"/>
    <w:tmpl w:val="000000A9"/>
    <w:lvl w:ilvl="0">
      <w:start w:val="1"/>
      <w:numFmt w:val="chineseCountingThousand"/>
      <w:lvlText w:val="第%1条"/>
      <w:lvlJc w:val="left"/>
      <w:pPr>
        <w:ind w:left="846" w:hanging="420"/>
      </w:pPr>
      <w:rPr>
        <w:rFonts w:ascii="仿宋_GB2312" w:eastAsia="仿宋_GB2312" w:hint="eastAsia"/>
        <w:sz w:val="32"/>
        <w:szCs w:val="32"/>
      </w:rPr>
    </w:lvl>
    <w:lvl w:ilvl="1">
      <w:start w:val="1"/>
      <w:numFmt w:val="japaneseCounting"/>
      <w:suff w:val="space"/>
      <w:lvlText w:val="（%2）"/>
      <w:lvlJc w:val="left"/>
      <w:pPr>
        <w:ind w:left="426" w:firstLine="0"/>
      </w:pPr>
      <w:rPr>
        <w:rFonts w:ascii="仿宋_GB2312" w:eastAsia="仿宋_GB2312" w:hAnsi="Calibri" w:cs="Times New Roman"/>
      </w:rPr>
    </w:lvl>
    <w:lvl w:ilvl="2">
      <w:start w:val="1"/>
      <w:numFmt w:val="chineseCountingThousand"/>
      <w:lvlText w:val="(%3)"/>
      <w:lvlJc w:val="left"/>
      <w:pPr>
        <w:ind w:left="2326" w:hanging="420"/>
      </w:pPr>
    </w:lvl>
    <w:lvl w:ilvl="3">
      <w:start w:val="1"/>
      <w:numFmt w:val="decimal"/>
      <w:lvlText w:val="%4."/>
      <w:lvlJc w:val="left"/>
      <w:pPr>
        <w:ind w:left="2746" w:hanging="420"/>
      </w:pPr>
    </w:lvl>
    <w:lvl w:ilvl="4">
      <w:start w:val="1"/>
      <w:numFmt w:val="lowerLetter"/>
      <w:lvlText w:val="%5)"/>
      <w:lvlJc w:val="left"/>
      <w:pPr>
        <w:ind w:left="3166" w:hanging="420"/>
      </w:pPr>
    </w:lvl>
    <w:lvl w:ilvl="5">
      <w:start w:val="1"/>
      <w:numFmt w:val="lowerRoman"/>
      <w:lvlText w:val="%6."/>
      <w:lvlJc w:val="right"/>
      <w:pPr>
        <w:ind w:left="3586" w:hanging="420"/>
      </w:pPr>
    </w:lvl>
    <w:lvl w:ilvl="6">
      <w:start w:val="1"/>
      <w:numFmt w:val="decimal"/>
      <w:lvlText w:val="%7."/>
      <w:lvlJc w:val="left"/>
      <w:pPr>
        <w:ind w:left="4006" w:hanging="420"/>
      </w:pPr>
    </w:lvl>
    <w:lvl w:ilvl="7">
      <w:start w:val="1"/>
      <w:numFmt w:val="lowerLetter"/>
      <w:lvlText w:val="%8)"/>
      <w:lvlJc w:val="left"/>
      <w:pPr>
        <w:ind w:left="4426" w:hanging="420"/>
      </w:pPr>
    </w:lvl>
    <w:lvl w:ilvl="8">
      <w:start w:val="1"/>
      <w:numFmt w:val="lowerRoman"/>
      <w:lvlText w:val="%9."/>
      <w:lvlJc w:val="right"/>
      <w:pPr>
        <w:ind w:left="4846" w:hanging="420"/>
      </w:pPr>
    </w:lvl>
  </w:abstractNum>
  <w:abstractNum w:abstractNumId="59">
    <w:nsid w:val="662C04DA"/>
    <w:multiLevelType w:val="hybridMultilevel"/>
    <w:tmpl w:val="4FF0040C"/>
    <w:lvl w:ilvl="0">
      <w:start w:val="1"/>
      <w:numFmt w:val="chineseCountingThousand"/>
      <w:lvlText w:val="(%1)"/>
      <w:lvlJc w:val="left"/>
      <w:pPr>
        <w:ind w:left="988" w:hanging="420"/>
      </w:pPr>
    </w:lvl>
    <w:lvl w:ilvl="1">
      <w:start w:val="1"/>
      <w:numFmt w:val="decimal"/>
      <w:lvlText w:val="（%2）"/>
      <w:lvlJc w:val="left"/>
      <w:pPr>
        <w:ind w:left="2255" w:hanging="1275"/>
      </w:pPr>
      <w:rPr>
        <w:rFonts w:hint="default"/>
      </w:rPr>
    </w:lvl>
    <w:lvl w:ilvl="2">
      <w:start w:val="1"/>
      <w:numFmt w:val="lowerRoman"/>
      <w:lvlText w:val="%3."/>
      <w:lvlJc w:val="right"/>
      <w:pPr>
        <w:ind w:left="1820" w:hanging="420"/>
      </w:pPr>
    </w:lvl>
    <w:lvl w:ilvl="3">
      <w:start w:val="1"/>
      <w:numFmt w:val="decimal"/>
      <w:lvlText w:val="%4."/>
      <w:lvlJc w:val="left"/>
      <w:pPr>
        <w:ind w:left="198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abstractNum w:abstractNumId="60">
    <w:nsid w:val="67061522"/>
    <w:multiLevelType w:val="hybridMultilevel"/>
    <w:tmpl w:val="EABA7B0E"/>
    <w:lvl w:ilvl="0">
      <w:start w:val="1"/>
      <w:numFmt w:val="decimal"/>
      <w:lvlText w:val="(%1)"/>
      <w:lvlJc w:val="left"/>
      <w:pPr>
        <w:ind w:left="900" w:hanging="420"/>
      </w:pPr>
      <w:rPr>
        <w:rFonts w:hint="eastAsia"/>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start w:val="1"/>
      <w:numFmt w:val="decimal"/>
      <w:lvlText w:val="(%4)"/>
      <w:lvlJc w:val="left"/>
      <w:pPr>
        <w:ind w:left="2160" w:hanging="420"/>
      </w:pPr>
      <w:rPr>
        <w:rFonts w:hint="eastAsia"/>
      </w:r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61">
    <w:nsid w:val="67D94A7A"/>
    <w:multiLevelType w:val="multilevel"/>
    <w:tmpl w:val="000000A9"/>
    <w:lvl w:ilvl="0">
      <w:start w:val="1"/>
      <w:numFmt w:val="chineseCountingThousand"/>
      <w:lvlText w:val="第%1条"/>
      <w:lvlJc w:val="left"/>
      <w:pPr>
        <w:ind w:left="846" w:hanging="420"/>
      </w:pPr>
      <w:rPr>
        <w:rFonts w:ascii="仿宋_GB2312" w:eastAsia="仿宋_GB2312" w:hint="eastAsia"/>
        <w:sz w:val="32"/>
        <w:szCs w:val="32"/>
      </w:rPr>
    </w:lvl>
    <w:lvl w:ilvl="1">
      <w:start w:val="1"/>
      <w:numFmt w:val="japaneseCounting"/>
      <w:suff w:val="space"/>
      <w:lvlText w:val="（%2）"/>
      <w:lvlJc w:val="left"/>
      <w:pPr>
        <w:ind w:left="426" w:firstLine="0"/>
      </w:pPr>
      <w:rPr>
        <w:rFonts w:ascii="仿宋_GB2312" w:eastAsia="仿宋_GB2312" w:hAnsi="Calibri" w:cs="Times New Roman"/>
      </w:rPr>
    </w:lvl>
    <w:lvl w:ilvl="2">
      <w:start w:val="1"/>
      <w:numFmt w:val="chineseCountingThousand"/>
      <w:lvlText w:val="(%3)"/>
      <w:lvlJc w:val="left"/>
      <w:pPr>
        <w:ind w:left="2326" w:hanging="420"/>
      </w:pPr>
    </w:lvl>
    <w:lvl w:ilvl="3">
      <w:start w:val="1"/>
      <w:numFmt w:val="decimal"/>
      <w:lvlText w:val="%4."/>
      <w:lvlJc w:val="left"/>
      <w:pPr>
        <w:ind w:left="2746" w:hanging="420"/>
      </w:pPr>
    </w:lvl>
    <w:lvl w:ilvl="4">
      <w:start w:val="1"/>
      <w:numFmt w:val="lowerLetter"/>
      <w:lvlText w:val="%5)"/>
      <w:lvlJc w:val="left"/>
      <w:pPr>
        <w:ind w:left="3166" w:hanging="420"/>
      </w:pPr>
    </w:lvl>
    <w:lvl w:ilvl="5">
      <w:start w:val="1"/>
      <w:numFmt w:val="lowerRoman"/>
      <w:lvlText w:val="%6."/>
      <w:lvlJc w:val="right"/>
      <w:pPr>
        <w:ind w:left="3586" w:hanging="420"/>
      </w:pPr>
    </w:lvl>
    <w:lvl w:ilvl="6">
      <w:start w:val="1"/>
      <w:numFmt w:val="decimal"/>
      <w:lvlText w:val="%7."/>
      <w:lvlJc w:val="left"/>
      <w:pPr>
        <w:ind w:left="4006" w:hanging="420"/>
      </w:pPr>
    </w:lvl>
    <w:lvl w:ilvl="7">
      <w:start w:val="1"/>
      <w:numFmt w:val="lowerLetter"/>
      <w:lvlText w:val="%8)"/>
      <w:lvlJc w:val="left"/>
      <w:pPr>
        <w:ind w:left="4426" w:hanging="420"/>
      </w:pPr>
    </w:lvl>
    <w:lvl w:ilvl="8">
      <w:start w:val="1"/>
      <w:numFmt w:val="lowerRoman"/>
      <w:lvlText w:val="%9."/>
      <w:lvlJc w:val="right"/>
      <w:pPr>
        <w:ind w:left="4846" w:hanging="420"/>
      </w:pPr>
    </w:lvl>
  </w:abstractNum>
  <w:abstractNum w:abstractNumId="62">
    <w:nsid w:val="6A657E53"/>
    <w:multiLevelType w:val="hybridMultilevel"/>
    <w:tmpl w:val="0CEE49A6"/>
    <w:lvl w:ilvl="0">
      <w:start w:val="1"/>
      <w:numFmt w:val="decimal"/>
      <w:lvlText w:val="(%1)"/>
      <w:lvlJc w:val="left"/>
      <w:pPr>
        <w:ind w:left="2400" w:hanging="720"/>
      </w:pPr>
      <w:rPr>
        <w:rFonts w:hint="eastAsia"/>
      </w:rPr>
    </w:lvl>
    <w:lvl w:ilvl="1" w:tentative="1">
      <w:start w:val="1"/>
      <w:numFmt w:val="lowerLetter"/>
      <w:lvlText w:val="%2)"/>
      <w:lvlJc w:val="left"/>
      <w:pPr>
        <w:ind w:left="2520" w:hanging="420"/>
      </w:pPr>
    </w:lvl>
    <w:lvl w:ilvl="2" w:tentative="1">
      <w:start w:val="1"/>
      <w:numFmt w:val="lowerRoman"/>
      <w:lvlText w:val="%3."/>
      <w:lvlJc w:val="right"/>
      <w:pPr>
        <w:ind w:left="2940" w:hanging="420"/>
      </w:pPr>
    </w:lvl>
    <w:lvl w:ilvl="3" w:tentative="1">
      <w:start w:val="1"/>
      <w:numFmt w:val="decimal"/>
      <w:lvlText w:val="%4."/>
      <w:lvlJc w:val="left"/>
      <w:pPr>
        <w:ind w:left="3360" w:hanging="420"/>
      </w:pPr>
    </w:lvl>
    <w:lvl w:ilvl="4" w:tentative="1">
      <w:start w:val="1"/>
      <w:numFmt w:val="lowerLetter"/>
      <w:lvlText w:val="%5)"/>
      <w:lvlJc w:val="left"/>
      <w:pPr>
        <w:ind w:left="3780" w:hanging="420"/>
      </w:pPr>
    </w:lvl>
    <w:lvl w:ilvl="5" w:tentative="1">
      <w:start w:val="1"/>
      <w:numFmt w:val="lowerRoman"/>
      <w:lvlText w:val="%6."/>
      <w:lvlJc w:val="right"/>
      <w:pPr>
        <w:ind w:left="4200" w:hanging="420"/>
      </w:pPr>
    </w:lvl>
    <w:lvl w:ilvl="6" w:tentative="1">
      <w:start w:val="1"/>
      <w:numFmt w:val="decimal"/>
      <w:lvlText w:val="%7."/>
      <w:lvlJc w:val="left"/>
      <w:pPr>
        <w:ind w:left="4620" w:hanging="420"/>
      </w:pPr>
    </w:lvl>
    <w:lvl w:ilvl="7" w:tentative="1">
      <w:start w:val="1"/>
      <w:numFmt w:val="lowerLetter"/>
      <w:lvlText w:val="%8)"/>
      <w:lvlJc w:val="left"/>
      <w:pPr>
        <w:ind w:left="5040" w:hanging="420"/>
      </w:pPr>
    </w:lvl>
    <w:lvl w:ilvl="8" w:tentative="1">
      <w:start w:val="1"/>
      <w:numFmt w:val="lowerRoman"/>
      <w:lvlText w:val="%9."/>
      <w:lvlJc w:val="right"/>
      <w:pPr>
        <w:ind w:left="5460" w:hanging="420"/>
      </w:pPr>
    </w:lvl>
  </w:abstractNum>
  <w:abstractNum w:abstractNumId="63">
    <w:nsid w:val="6E480891"/>
    <w:multiLevelType w:val="hybridMultilevel"/>
    <w:tmpl w:val="A08EE262"/>
    <w:lvl w:ilvl="0">
      <w:start w:val="1"/>
      <w:numFmt w:val="decimal"/>
      <w:lvlText w:val="(%1)"/>
      <w:lvlJc w:val="left"/>
      <w:pPr>
        <w:ind w:left="900" w:hanging="420"/>
      </w:pPr>
      <w:rPr>
        <w:rFonts w:hint="eastAsia"/>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start w:val="1"/>
      <w:numFmt w:val="decimal"/>
      <w:lvlText w:val="(%4)"/>
      <w:lvlJc w:val="left"/>
      <w:pPr>
        <w:ind w:left="2160" w:hanging="420"/>
      </w:pPr>
      <w:rPr>
        <w:rFonts w:hint="eastAsia"/>
      </w:r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64">
    <w:nsid w:val="6FBC5C46"/>
    <w:multiLevelType w:val="multilevel"/>
    <w:tmpl w:val="41908B3A"/>
    <w:lvl w:ilvl="0">
      <w:start w:val="1"/>
      <w:numFmt w:val="decimal"/>
      <w:lvlText w:val="（%1）"/>
      <w:lvlJc w:val="left"/>
      <w:pPr>
        <w:ind w:left="1020" w:hanging="420"/>
      </w:pPr>
      <w:rPr>
        <w:rFonts w:hint="default"/>
        <w:lang w:val="en-US"/>
      </w:rPr>
    </w:lvl>
    <w:lvl w:ilvl="1">
      <w:start w:val="1"/>
      <w:numFmt w:val="lowerLetter"/>
      <w:lvlText w:val="%2)"/>
      <w:lvlJc w:val="left"/>
      <w:pPr>
        <w:ind w:left="1440" w:hanging="420"/>
      </w:pPr>
      <w:rPr>
        <w:rFonts w:hint="eastAsia"/>
        <w:lang w:val="en-US"/>
      </w:r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65">
    <w:nsid w:val="72A44732"/>
    <w:multiLevelType w:val="hybridMultilevel"/>
    <w:tmpl w:val="35FEA896"/>
    <w:lvl w:ilvl="0">
      <w:start w:val="1"/>
      <w:numFmt w:val="chineseCountingThousand"/>
      <w:lvlText w:val="(%1)"/>
      <w:lvlJc w:val="left"/>
      <w:pPr>
        <w:ind w:left="988" w:hanging="420"/>
      </w:pPr>
    </w:lvl>
    <w:lvl w:ilvl="1">
      <w:start w:val="1"/>
      <w:numFmt w:val="decimal"/>
      <w:lvlText w:val="（%2）"/>
      <w:lvlJc w:val="left"/>
      <w:pPr>
        <w:ind w:left="2255" w:hanging="1275"/>
      </w:pPr>
      <w:rPr>
        <w:rFonts w:hint="default"/>
      </w:rPr>
    </w:lvl>
    <w:lvl w:ilvl="2">
      <w:start w:val="1"/>
      <w:numFmt w:val="lowerRoman"/>
      <w:lvlText w:val="%3."/>
      <w:lvlJc w:val="right"/>
      <w:pPr>
        <w:ind w:left="1820" w:hanging="420"/>
      </w:pPr>
    </w:lvl>
    <w:lvl w:ilvl="3">
      <w:start w:val="1"/>
      <w:numFmt w:val="decimal"/>
      <w:lvlText w:val="(%4)"/>
      <w:lvlJc w:val="left"/>
      <w:pPr>
        <w:ind w:left="1980" w:hanging="420"/>
      </w:pPr>
      <w:rPr>
        <w:rFonts w:hint="eastAsia"/>
      </w:r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num w:numId="1">
    <w:abstractNumId w:val="45"/>
  </w:num>
  <w:num w:numId="2">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num>
  <w:num w:numId="4">
    <w:abstractNumId w:val="24"/>
  </w:num>
  <w:num w:numId="5">
    <w:abstractNumId w:val="7"/>
  </w:num>
  <w:num w:numId="6">
    <w:abstractNumId w:val="4"/>
  </w:num>
  <w:num w:numId="7">
    <w:abstractNumId w:val="52"/>
  </w:num>
  <w:num w:numId="8">
    <w:abstractNumId w:val="31"/>
  </w:num>
  <w:num w:numId="9">
    <w:abstractNumId w:val="0"/>
  </w:num>
  <w:num w:numId="10">
    <w:abstractNumId w:val="64"/>
  </w:num>
  <w:num w:numId="11">
    <w:abstractNumId w:val="16"/>
  </w:num>
  <w:num w:numId="12">
    <w:abstractNumId w:val="9"/>
  </w:num>
  <w:num w:numId="13">
    <w:abstractNumId w:val="60"/>
  </w:num>
  <w:num w:numId="14">
    <w:abstractNumId w:val="46"/>
  </w:num>
  <w:num w:numId="15">
    <w:abstractNumId w:val="35"/>
  </w:num>
  <w:num w:numId="16">
    <w:abstractNumId w:val="17"/>
  </w:num>
  <w:num w:numId="17">
    <w:abstractNumId w:val="37"/>
  </w:num>
  <w:num w:numId="18">
    <w:abstractNumId w:val="18"/>
  </w:num>
  <w:num w:numId="19">
    <w:abstractNumId w:val="22"/>
  </w:num>
  <w:num w:numId="20">
    <w:abstractNumId w:val="63"/>
  </w:num>
  <w:num w:numId="21">
    <w:abstractNumId w:val="1"/>
  </w:num>
  <w:num w:numId="22">
    <w:abstractNumId w:val="14"/>
  </w:num>
  <w:num w:numId="23">
    <w:abstractNumId w:val="12"/>
  </w:num>
  <w:num w:numId="24">
    <w:abstractNumId w:val="5"/>
  </w:num>
  <w:num w:numId="25">
    <w:abstractNumId w:val="30"/>
  </w:num>
  <w:num w:numId="26">
    <w:abstractNumId w:val="8"/>
  </w:num>
  <w:num w:numId="27">
    <w:abstractNumId w:val="13"/>
  </w:num>
  <w:num w:numId="28">
    <w:abstractNumId w:val="19"/>
  </w:num>
  <w:num w:numId="29">
    <w:abstractNumId w:val="3"/>
  </w:num>
  <w:num w:numId="30">
    <w:abstractNumId w:val="2"/>
  </w:num>
  <w:num w:numId="31">
    <w:abstractNumId w:val="6"/>
  </w:num>
  <w:num w:numId="32">
    <w:abstractNumId w:val="27"/>
  </w:num>
  <w:num w:numId="33">
    <w:abstractNumId w:val="11"/>
  </w:num>
  <w:num w:numId="34">
    <w:abstractNumId w:val="28"/>
  </w:num>
  <w:num w:numId="35">
    <w:abstractNumId w:val="38"/>
  </w:num>
  <w:num w:numId="36">
    <w:abstractNumId w:val="20"/>
  </w:num>
  <w:num w:numId="37">
    <w:abstractNumId w:val="43"/>
  </w:num>
  <w:num w:numId="38">
    <w:abstractNumId w:val="32"/>
  </w:num>
  <w:num w:numId="39">
    <w:abstractNumId w:val="23"/>
  </w:num>
  <w:num w:numId="40">
    <w:abstractNumId w:val="25"/>
  </w:num>
  <w:num w:numId="41">
    <w:abstractNumId w:val="10"/>
  </w:num>
  <w:num w:numId="42">
    <w:abstractNumId w:val="53"/>
  </w:num>
  <w:num w:numId="43">
    <w:abstractNumId w:val="40"/>
  </w:num>
  <w:num w:numId="44">
    <w:abstractNumId w:val="44"/>
  </w:num>
  <w:num w:numId="45">
    <w:abstractNumId w:val="33"/>
  </w:num>
  <w:num w:numId="46">
    <w:abstractNumId w:val="59"/>
  </w:num>
  <w:num w:numId="47">
    <w:abstractNumId w:val="65"/>
  </w:num>
  <w:num w:numId="48">
    <w:abstractNumId w:val="42"/>
  </w:num>
  <w:num w:numId="49">
    <w:abstractNumId w:val="26"/>
  </w:num>
  <w:num w:numId="50">
    <w:abstractNumId w:val="62"/>
  </w:num>
  <w:num w:numId="51">
    <w:abstractNumId w:val="47"/>
  </w:num>
  <w:num w:numId="52">
    <w:abstractNumId w:val="39"/>
  </w:num>
  <w:num w:numId="53">
    <w:abstractNumId w:val="34"/>
  </w:num>
  <w:num w:numId="54">
    <w:abstractNumId w:val="50"/>
  </w:num>
  <w:num w:numId="55">
    <w:abstractNumId w:val="61"/>
  </w:num>
  <w:num w:numId="56">
    <w:abstractNumId w:val="58"/>
  </w:num>
  <w:num w:numId="57">
    <w:abstractNumId w:val="54"/>
  </w:num>
  <w:num w:numId="58">
    <w:abstractNumId w:val="56"/>
  </w:num>
  <w:num w:numId="59">
    <w:abstractNumId w:val="29"/>
  </w:num>
  <w:num w:numId="60">
    <w:abstractNumId w:val="21"/>
  </w:num>
  <w:num w:numId="61">
    <w:abstractNumId w:val="36"/>
  </w:num>
  <w:num w:numId="62">
    <w:abstractNumId w:val="55"/>
  </w:num>
  <w:num w:numId="63">
    <w:abstractNumId w:val="41"/>
  </w:num>
  <w:num w:numId="64">
    <w:abstractNumId w:val="51"/>
  </w:num>
  <w:num w:numId="65">
    <w:abstractNumId w:val="49"/>
  </w:num>
  <w:num w:numId="66">
    <w:abstractNumId w:val="57"/>
  </w:num>
  <w:num w:numId="67">
    <w:abstractNumId w:val="4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0010B7"/>
    <w:rsid w:val="00027246"/>
    <w:rsid w:val="00072073"/>
    <w:rsid w:val="001260BC"/>
    <w:rsid w:val="00140397"/>
    <w:rsid w:val="00180E5D"/>
    <w:rsid w:val="0019740E"/>
    <w:rsid w:val="001D3EB7"/>
    <w:rsid w:val="002C7B02"/>
    <w:rsid w:val="00310CC9"/>
    <w:rsid w:val="00325FA1"/>
    <w:rsid w:val="00360D77"/>
    <w:rsid w:val="00370B2C"/>
    <w:rsid w:val="003D3891"/>
    <w:rsid w:val="004E4F3F"/>
    <w:rsid w:val="00555111"/>
    <w:rsid w:val="00591BAD"/>
    <w:rsid w:val="00660982"/>
    <w:rsid w:val="006656DA"/>
    <w:rsid w:val="006E48D4"/>
    <w:rsid w:val="0073097A"/>
    <w:rsid w:val="00786308"/>
    <w:rsid w:val="007A6FF3"/>
    <w:rsid w:val="007D3723"/>
    <w:rsid w:val="00961D28"/>
    <w:rsid w:val="009C5840"/>
    <w:rsid w:val="009E60B6"/>
    <w:rsid w:val="00A77B3E"/>
    <w:rsid w:val="00AA6768"/>
    <w:rsid w:val="00AD6D81"/>
    <w:rsid w:val="00BF129E"/>
    <w:rsid w:val="00C472F2"/>
    <w:rsid w:val="00C700EF"/>
    <w:rsid w:val="00CB1665"/>
    <w:rsid w:val="00CB5951"/>
    <w:rsid w:val="00CC140A"/>
    <w:rsid w:val="00D314F7"/>
    <w:rsid w:val="00D55B24"/>
    <w:rsid w:val="00D8271D"/>
    <w:rsid w:val="00DA6C43"/>
    <w:rsid w:val="00DF28BF"/>
    <w:rsid w:val="00E054CA"/>
    <w:rsid w:val="00E63A20"/>
    <w:rsid w:val="00F2391D"/>
    <w:rsid w:val="00F26E9F"/>
    <w:rsid w:val="00F81AE9"/>
    <w:rsid w:val="00F92AEE"/>
    <w:rsid w:val="00FB3C71"/>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next w:val="Normal0"/>
    <w:link w:val="1Char"/>
    <w:qFormat/>
    <w:rsid w:val="00F81AE9"/>
    <w:pPr>
      <w:keepNext/>
      <w:keepLines/>
      <w:numPr>
        <w:numId w:val="1"/>
      </w:numPr>
      <w:spacing w:line="360" w:lineRule="auto"/>
      <w:outlineLvl w:val="0"/>
    </w:pPr>
    <w:rPr>
      <w:rFonts w:eastAsia="微软雅黑" w:asciiTheme="minorHAnsi" w:hAnsiTheme="minorHAnsi" w:cstheme="minorBidi"/>
      <w:b/>
      <w:bCs/>
      <w:kern w:val="44"/>
      <w:sz w:val="30"/>
      <w:szCs w:val="44"/>
    </w:rPr>
  </w:style>
  <w:style w:type="paragraph" w:styleId="Heading2">
    <w:name w:val="heading 2"/>
    <w:basedOn w:val="Normal0"/>
    <w:next w:val="Normal0"/>
    <w:link w:val="2Char"/>
    <w:unhideWhenUsed/>
    <w:qFormat/>
    <w:rsid w:val="00F81AE9"/>
    <w:pPr>
      <w:keepNext/>
      <w:keepLines/>
      <w:numPr>
        <w:ilvl w:val="1"/>
        <w:numId w:val="1"/>
      </w:numPr>
      <w:spacing w:line="360" w:lineRule="auto"/>
      <w:ind w:firstLine="0" w:firstLineChars="0"/>
      <w:outlineLvl w:val="1"/>
    </w:pPr>
    <w:rPr>
      <w:rFonts w:asciiTheme="majorHAnsi" w:hAnsiTheme="majorHAnsi" w:cstheme="majorBidi"/>
      <w:b/>
      <w:bCs/>
      <w:sz w:val="30"/>
      <w:szCs w:val="32"/>
    </w:rPr>
  </w:style>
  <w:style w:type="paragraph" w:styleId="Heading3">
    <w:name w:val="heading 3"/>
    <w:basedOn w:val="Normal0"/>
    <w:next w:val="Normal0"/>
    <w:link w:val="3Char"/>
    <w:unhideWhenUsed/>
    <w:qFormat/>
    <w:rsid w:val="00F81AE9"/>
    <w:pPr>
      <w:keepNext/>
      <w:keepLines/>
      <w:numPr>
        <w:ilvl w:val="2"/>
        <w:numId w:val="1"/>
      </w:numPr>
      <w:spacing w:line="360" w:lineRule="auto"/>
      <w:ind w:firstLine="0" w:firstLineChars="0"/>
      <w:outlineLvl w:val="2"/>
    </w:pPr>
    <w:rPr>
      <w:b/>
      <w:bCs/>
      <w:sz w:val="28"/>
      <w:szCs w:val="32"/>
    </w:rPr>
  </w:style>
  <w:style w:type="paragraph" w:styleId="Heading4">
    <w:name w:val="heading 4"/>
    <w:next w:val="Normal0"/>
    <w:link w:val="4Char"/>
    <w:unhideWhenUsed/>
    <w:qFormat/>
    <w:rsid w:val="00F81AE9"/>
    <w:pPr>
      <w:keepNext/>
      <w:keepLines/>
      <w:numPr>
        <w:ilvl w:val="3"/>
        <w:numId w:val="1"/>
      </w:numPr>
      <w:spacing w:before="100" w:beforeAutospacing="1" w:after="100" w:afterAutospacing="1" w:line="360" w:lineRule="auto"/>
      <w:outlineLvl w:val="3"/>
    </w:pPr>
    <w:rPr>
      <w:rFonts w:eastAsia="微软雅黑" w:asciiTheme="majorHAnsi" w:hAnsiTheme="majorHAnsi" w:cstheme="majorBidi"/>
      <w:b/>
      <w:bCs/>
      <w:sz w:val="24"/>
      <w:szCs w:val="28"/>
    </w:rPr>
  </w:style>
  <w:style w:type="paragraph" w:styleId="Heading5">
    <w:name w:val="heading 5"/>
    <w:basedOn w:val="Normal0"/>
    <w:next w:val="Normal0"/>
    <w:link w:val="5Char"/>
    <w:unhideWhenUsed/>
    <w:qFormat/>
    <w:rsid w:val="00F81AE9"/>
    <w:pPr>
      <w:keepNext/>
      <w:keepLines/>
      <w:numPr>
        <w:ilvl w:val="4"/>
        <w:numId w:val="1"/>
      </w:numPr>
      <w:spacing w:before="280" w:after="290" w:line="376" w:lineRule="auto"/>
      <w:ind w:firstLine="0" w:firstLineChars="0"/>
      <w:outlineLvl w:val="4"/>
    </w:pPr>
    <w:rPr>
      <w:b/>
      <w:bCs/>
      <w:sz w:val="28"/>
      <w:szCs w:val="28"/>
    </w:rPr>
  </w:style>
  <w:style w:type="paragraph" w:styleId="Heading6">
    <w:name w:val="heading 6"/>
    <w:basedOn w:val="Normal0"/>
    <w:next w:val="Normal0"/>
    <w:link w:val="6Char"/>
    <w:uiPriority w:val="9"/>
    <w:semiHidden/>
    <w:unhideWhenUsed/>
    <w:qFormat/>
    <w:rsid w:val="00F81AE9"/>
    <w:pPr>
      <w:keepNext/>
      <w:keepLines/>
      <w:numPr>
        <w:ilvl w:val="5"/>
        <w:numId w:val="1"/>
      </w:numPr>
      <w:spacing w:before="240" w:after="64" w:line="320" w:lineRule="auto"/>
      <w:ind w:firstLine="0" w:firstLineChars="0"/>
      <w:outlineLvl w:val="5"/>
    </w:pPr>
    <w:rPr>
      <w:rFonts w:asciiTheme="majorHAnsi" w:eastAsiaTheme="majorEastAsia" w:hAnsiTheme="majorHAnsi" w:cstheme="majorBidi"/>
      <w:b/>
      <w:bCs/>
      <w:szCs w:val="24"/>
    </w:rPr>
  </w:style>
  <w:style w:type="paragraph" w:styleId="Heading7">
    <w:name w:val="heading 7"/>
    <w:basedOn w:val="Normal0"/>
    <w:next w:val="Normal0"/>
    <w:link w:val="7Char"/>
    <w:uiPriority w:val="9"/>
    <w:semiHidden/>
    <w:unhideWhenUsed/>
    <w:qFormat/>
    <w:rsid w:val="00F81AE9"/>
    <w:pPr>
      <w:keepNext/>
      <w:keepLines/>
      <w:numPr>
        <w:ilvl w:val="6"/>
        <w:numId w:val="1"/>
      </w:numPr>
      <w:spacing w:before="240" w:after="64" w:line="320" w:lineRule="auto"/>
      <w:ind w:firstLine="0" w:firstLineChars="0"/>
      <w:outlineLvl w:val="6"/>
    </w:pPr>
    <w:rPr>
      <w:b/>
      <w:bCs/>
      <w:szCs w:val="24"/>
    </w:rPr>
  </w:style>
  <w:style w:type="paragraph" w:styleId="Heading8">
    <w:name w:val="heading 8"/>
    <w:basedOn w:val="Normal0"/>
    <w:next w:val="Normal0"/>
    <w:link w:val="8Char"/>
    <w:uiPriority w:val="9"/>
    <w:semiHidden/>
    <w:unhideWhenUsed/>
    <w:qFormat/>
    <w:rsid w:val="00F81AE9"/>
    <w:pPr>
      <w:keepNext/>
      <w:keepLines/>
      <w:numPr>
        <w:ilvl w:val="7"/>
        <w:numId w:val="1"/>
      </w:numPr>
      <w:spacing w:before="240" w:after="64" w:line="320" w:lineRule="auto"/>
      <w:ind w:firstLine="0" w:firstLineChars="0"/>
      <w:outlineLvl w:val="7"/>
    </w:pPr>
    <w:rPr>
      <w:rFonts w:asciiTheme="majorHAnsi" w:eastAsiaTheme="majorEastAsia" w:hAnsiTheme="majorHAnsi" w:cstheme="majorBidi"/>
      <w:szCs w:val="24"/>
    </w:rPr>
  </w:style>
  <w:style w:type="paragraph" w:styleId="Heading9">
    <w:name w:val="heading 9"/>
    <w:basedOn w:val="Normal0"/>
    <w:next w:val="Normal0"/>
    <w:link w:val="9Char"/>
    <w:uiPriority w:val="9"/>
    <w:semiHidden/>
    <w:unhideWhenUsed/>
    <w:qFormat/>
    <w:rsid w:val="00F81AE9"/>
    <w:pPr>
      <w:keepNext/>
      <w:keepLines/>
      <w:numPr>
        <w:ilvl w:val="8"/>
        <w:numId w:val="1"/>
      </w:numPr>
      <w:spacing w:before="240" w:after="64" w:line="320" w:lineRule="auto"/>
      <w:ind w:firstLine="0" w:firstLineChars="0"/>
      <w:outlineLvl w:val="8"/>
    </w:pPr>
    <w:rPr>
      <w:rFonts w:asciiTheme="majorHAnsi" w:eastAsiaTheme="majorEastAsia" w:hAnsiTheme="majorHAnsi" w:cstheme="majorBidi"/>
      <w:sz w:val="21"/>
      <w:szCs w:val="21"/>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0"/>
    <w:link w:val="Char"/>
    <w:uiPriority w:val="99"/>
    <w:unhideWhenUsed/>
    <w:rsid w:val="00F81AE9"/>
    <w:pPr>
      <w:pBdr>
        <w:bottom w:val="single" w:sz="6" w:space="1" w:color="auto"/>
      </w:pBdr>
      <w:tabs>
        <w:tab w:val="center" w:pos="4153"/>
        <w:tab w:val="right" w:pos="8306"/>
      </w:tabs>
      <w:snapToGrid w:val="0"/>
      <w:jc w:val="center"/>
    </w:pPr>
    <w:rPr>
      <w:rFonts w:asciiTheme="minorHAnsi" w:hAnsiTheme="minorHAnsi" w:cstheme="minorBidi"/>
      <w:sz w:val="18"/>
      <w:szCs w:val="18"/>
    </w:rPr>
  </w:style>
  <w:style w:type="paragraph" w:customStyle="1" w:styleId="Normal0">
    <w:name w:val="Normal_0"/>
    <w:qFormat/>
    <w:rsid w:val="00F81AE9"/>
    <w:pPr>
      <w:widowControl w:val="0"/>
      <w:spacing w:beforeLines="50" w:afterLines="50"/>
      <w:ind w:firstLine="200" w:firstLineChars="200"/>
      <w:jc w:val="both"/>
    </w:pPr>
    <w:rPr>
      <w:rFonts w:eastAsia="微软雅黑" w:asciiTheme="minorHAnsi" w:hAnsiTheme="minorHAnsi" w:cstheme="minorBidi"/>
      <w:sz w:val="24"/>
    </w:rPr>
  </w:style>
  <w:style w:type="character" w:customStyle="1" w:styleId="Char">
    <w:name w:val="页眉 Char"/>
    <w:basedOn w:val="DefaultParagraphFont"/>
    <w:link w:val="Header"/>
    <w:uiPriority w:val="99"/>
    <w:rsid w:val="00F81AE9"/>
    <w:rPr>
      <w:sz w:val="18"/>
      <w:szCs w:val="18"/>
    </w:rPr>
  </w:style>
  <w:style w:type="paragraph" w:styleId="Footer">
    <w:name w:val="footer"/>
    <w:basedOn w:val="Normal0"/>
    <w:link w:val="Char0"/>
    <w:uiPriority w:val="99"/>
    <w:unhideWhenUsed/>
    <w:rsid w:val="00F81AE9"/>
    <w:pPr>
      <w:tabs>
        <w:tab w:val="center" w:pos="4153"/>
        <w:tab w:val="right" w:pos="8306"/>
      </w:tabs>
      <w:snapToGrid w:val="0"/>
      <w:jc w:val="left"/>
    </w:pPr>
    <w:rPr>
      <w:rFonts w:asciiTheme="minorHAnsi" w:hAnsiTheme="minorHAnsi" w:cstheme="minorBidi"/>
      <w:sz w:val="18"/>
      <w:szCs w:val="18"/>
    </w:rPr>
  </w:style>
  <w:style w:type="character" w:customStyle="1" w:styleId="Char0">
    <w:name w:val="页脚 Char"/>
    <w:basedOn w:val="DefaultParagraphFont"/>
    <w:link w:val="Footer"/>
    <w:uiPriority w:val="99"/>
    <w:rsid w:val="00F81AE9"/>
    <w:rPr>
      <w:sz w:val="18"/>
      <w:szCs w:val="18"/>
    </w:rPr>
  </w:style>
  <w:style w:type="character" w:styleId="Hyperlink">
    <w:name w:val="Hyperlink"/>
    <w:basedOn w:val="DefaultParagraphFont"/>
    <w:uiPriority w:val="99"/>
    <w:unhideWhenUsed/>
    <w:rsid w:val="00E614F4"/>
    <w:rPr>
      <w:rFonts w:eastAsia="微软雅黑" w:asciiTheme="minorHAnsi" w:hAnsiTheme="minorHAnsi" w:cstheme="minorBidi"/>
      <w:color w:val="0000FF" w:themeColor="hyperlink"/>
      <w:u w:val="single"/>
    </w:rPr>
  </w:style>
  <w:style w:type="paragraph" w:styleId="TOC1">
    <w:name w:val="toc 1"/>
    <w:basedOn w:val="Normal0"/>
    <w:next w:val="Normal0"/>
    <w:autoRedefine/>
    <w:uiPriority w:val="39"/>
    <w:unhideWhenUsed/>
    <w:qFormat/>
    <w:rsid w:val="00E614F4"/>
  </w:style>
  <w:style w:type="paragraph" w:styleId="TOC2">
    <w:name w:val="toc 2"/>
    <w:basedOn w:val="Normal0"/>
    <w:next w:val="Normal0"/>
    <w:autoRedefine/>
    <w:uiPriority w:val="39"/>
    <w:unhideWhenUsed/>
    <w:qFormat/>
    <w:rsid w:val="00E614F4"/>
    <w:pPr>
      <w:ind w:left="420" w:leftChars="200"/>
    </w:pPr>
  </w:style>
  <w:style w:type="paragraph" w:styleId="Title">
    <w:name w:val="Title"/>
    <w:basedOn w:val="Normal0"/>
    <w:link w:val="Char1"/>
    <w:qFormat/>
    <w:rsid w:val="00CC140A"/>
    <w:pPr>
      <w:spacing w:beforeLines="0" w:afterLines="0"/>
      <w:ind w:firstLine="0" w:firstLineChars="0"/>
      <w:jc w:val="center"/>
      <w:outlineLvl w:val="0"/>
    </w:pPr>
    <w:rPr>
      <w:rFonts w:ascii="Cambria" w:hAnsi="Cambria" w:eastAsiaTheme="minorEastAsia"/>
      <w:b/>
      <w:sz w:val="32"/>
    </w:rPr>
  </w:style>
  <w:style w:type="character" w:customStyle="1" w:styleId="Char1">
    <w:name w:val="标题 Char"/>
    <w:basedOn w:val="DefaultParagraphFont"/>
    <w:link w:val="Title"/>
    <w:rsid w:val="00CC140A"/>
    <w:rPr>
      <w:rFonts w:ascii="Cambria" w:hAnsi="Cambria"/>
      <w:b/>
      <w:sz w:val="32"/>
    </w:rPr>
  </w:style>
  <w:style w:type="character" w:customStyle="1" w:styleId="2Char">
    <w:name w:val="标题 2 Char"/>
    <w:basedOn w:val="DefaultParagraphFont"/>
    <w:link w:val="Heading2"/>
    <w:rsid w:val="00F81AE9"/>
    <w:rPr>
      <w:rFonts w:eastAsia="微软雅黑" w:asciiTheme="majorHAnsi" w:hAnsiTheme="majorHAnsi" w:cstheme="majorBidi"/>
      <w:b/>
      <w:bCs/>
      <w:sz w:val="30"/>
      <w:szCs w:val="32"/>
    </w:rPr>
  </w:style>
  <w:style w:type="character" w:customStyle="1" w:styleId="3Char">
    <w:name w:val="标题 3 Char"/>
    <w:basedOn w:val="DefaultParagraphFont"/>
    <w:link w:val="Heading3"/>
    <w:rsid w:val="00F81AE9"/>
    <w:rPr>
      <w:rFonts w:eastAsia="微软雅黑"/>
      <w:b/>
      <w:bCs/>
      <w:sz w:val="28"/>
      <w:szCs w:val="32"/>
    </w:rPr>
  </w:style>
  <w:style w:type="character" w:customStyle="1" w:styleId="4Char">
    <w:name w:val="标题 4 Char"/>
    <w:basedOn w:val="DefaultParagraphFont"/>
    <w:link w:val="Heading4"/>
    <w:rsid w:val="00F81AE9"/>
    <w:rPr>
      <w:rFonts w:eastAsia="微软雅黑" w:asciiTheme="majorHAnsi" w:hAnsiTheme="majorHAnsi" w:cstheme="majorBidi"/>
      <w:b/>
      <w:bCs/>
      <w:sz w:val="24"/>
      <w:szCs w:val="28"/>
    </w:rPr>
  </w:style>
  <w:style w:type="character" w:customStyle="1" w:styleId="5Char">
    <w:name w:val="标题 5 Char"/>
    <w:basedOn w:val="DefaultParagraphFont"/>
    <w:link w:val="Heading5"/>
    <w:rsid w:val="00F81AE9"/>
    <w:rPr>
      <w:rFonts w:eastAsia="微软雅黑"/>
      <w:b/>
      <w:bCs/>
      <w:sz w:val="28"/>
      <w:szCs w:val="28"/>
    </w:rPr>
  </w:style>
  <w:style w:type="character" w:customStyle="1" w:styleId="6Char">
    <w:name w:val="标题 6 Char"/>
    <w:basedOn w:val="DefaultParagraphFont"/>
    <w:link w:val="Heading6"/>
    <w:uiPriority w:val="9"/>
    <w:semiHidden/>
    <w:rsid w:val="00F81AE9"/>
    <w:rPr>
      <w:rFonts w:asciiTheme="majorHAnsi" w:eastAsiaTheme="majorEastAsia" w:hAnsiTheme="majorHAnsi" w:cstheme="majorBidi"/>
      <w:b/>
      <w:bCs/>
      <w:sz w:val="24"/>
      <w:szCs w:val="24"/>
    </w:rPr>
  </w:style>
  <w:style w:type="character" w:customStyle="1" w:styleId="7Char">
    <w:name w:val="标题 7 Char"/>
    <w:basedOn w:val="DefaultParagraphFont"/>
    <w:link w:val="Heading7"/>
    <w:uiPriority w:val="9"/>
    <w:semiHidden/>
    <w:rsid w:val="00F81AE9"/>
    <w:rPr>
      <w:rFonts w:eastAsia="微软雅黑"/>
      <w:b/>
      <w:bCs/>
      <w:sz w:val="24"/>
      <w:szCs w:val="24"/>
    </w:rPr>
  </w:style>
  <w:style w:type="character" w:customStyle="1" w:styleId="8Char">
    <w:name w:val="标题 8 Char"/>
    <w:basedOn w:val="DefaultParagraphFont"/>
    <w:link w:val="Heading8"/>
    <w:uiPriority w:val="9"/>
    <w:semiHidden/>
    <w:rsid w:val="00F81AE9"/>
    <w:rPr>
      <w:rFonts w:asciiTheme="majorHAnsi" w:eastAsiaTheme="majorEastAsia" w:hAnsiTheme="majorHAnsi" w:cstheme="majorBidi"/>
      <w:sz w:val="24"/>
      <w:szCs w:val="24"/>
    </w:rPr>
  </w:style>
  <w:style w:type="character" w:customStyle="1" w:styleId="9Char">
    <w:name w:val="标题 9 Char"/>
    <w:basedOn w:val="DefaultParagraphFont"/>
    <w:link w:val="Heading9"/>
    <w:uiPriority w:val="9"/>
    <w:semiHidden/>
    <w:rsid w:val="00F81AE9"/>
    <w:rPr>
      <w:rFonts w:asciiTheme="majorHAnsi" w:eastAsiaTheme="majorEastAsia" w:hAnsiTheme="majorHAnsi" w:cstheme="majorBidi"/>
      <w:szCs w:val="21"/>
    </w:rPr>
  </w:style>
  <w:style w:type="character" w:customStyle="1" w:styleId="1Char">
    <w:name w:val="标题 1 Char"/>
    <w:basedOn w:val="DefaultParagraphFont"/>
    <w:link w:val="Heading1"/>
    <w:rsid w:val="00F81AE9"/>
    <w:rPr>
      <w:rFonts w:eastAsia="微软雅黑"/>
      <w:b/>
      <w:bCs/>
      <w:kern w:val="44"/>
      <w:sz w:val="30"/>
      <w:szCs w:val="44"/>
    </w:rPr>
  </w:style>
  <w:style w:type="paragraph" w:styleId="ListParagraph">
    <w:name w:val="List Paragraph"/>
    <w:basedOn w:val="Normal0"/>
    <w:uiPriority w:val="34"/>
    <w:qFormat/>
    <w:rsid w:val="00090876"/>
    <w:pPr>
      <w:ind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0814305404000602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560</TotalTime>
  <Pages>52</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金武攸</Manager>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2023会计核算管理制度</dc:title>
  <dc:subject>2023会计核算管理制度</dc:subject>
  <dc:creator>金武攸</dc:creator>
  <cp:keywords>2023</cp:keywords>
  <cp:lastModifiedBy>金武攸</cp:lastModifiedBy>
  <cp:revision>1</cp:revision>
  <cp:lastPrinted>2023-01-20T00:12:07Z</cp:lastPrinted>
  <dcterms:created xsi:type="dcterms:W3CDTF">2023-01-07T00:07:06Z</dcterms:created>
  <dcterms:modified xsi:type="dcterms:W3CDTF">2023-03-18T07:02:58Z</dcterms:modified>
</cp:coreProperties>
</file>