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1、[题干]小儿免疫有以下特点(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A.体液及细胞免疫功能均比成人差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B.母体的IgG可以通过胎盘到达胎儿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C.母体的IgM可以通过胎盘到达胎儿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D.婴儿期的SIgA比较多。E,小儿合成IgG的能力到6～7岁才达成人水平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【答案】A，B，E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2、[单选题]能够润肠通便，富含油脂，治老人、虚人便秘多用的药物是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A.火麻仁、郁李仁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B.火麻仁、芦荟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C.杏仁、当归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D.番泻叶、牵牛子。E,芒硝、柏子仁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3、[单选题]溃疡性结肠炎的病理损害开始的部位是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A.直肠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B.乙状结肠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C.结肠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D.回肠。E,空肠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4、[单选题]男，6岁。既往有哮喘病史，患儿突然夜间喘息加剧，经支气管扩张剂治疗症状未缓解，次日去医院就诊，医生发现患儿面色发绀，应首先做哪项检查()。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A.血嗜酸细胞计数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B.血气分析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C.X线胸片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D.肺功能。E,过敏原检查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5、[题干]男，21个月。咳嗽1天，发热3小时，体温39.3℃，就诊过程中突然双眼上翻，肢体强直，持续1分钟。查体：咽红，心、肺、腹及神经系统无异常，半年前也有相同病史。最可能的诊断是()。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A.癫痫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B.低钙惊厥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C.中毒性脑病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D.化脓性脑膜炎。E,高热惊厥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https://d.book118.com/615012230032011111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1501223003201111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