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仿宋_GB2312" w:eastAsia="仿宋_GB2312" w:hAnsi="仿宋_GB2312" w:cs="仿宋_GB2312"/>
          <w:color w:val="auto"/>
          <w:sz w:val="36"/>
          <w:szCs w:val="36"/>
        </w:rPr>
      </w:pPr>
    </w:p>
    <w:p>
      <w:pPr>
        <w:rPr>
          <w:rFonts w:ascii="仿宋_GB2312" w:eastAsia="仿宋_GB2312" w:hAnsi="仿宋_GB2312" w:cs="仿宋_GB2312"/>
          <w:color w:val="auto"/>
          <w:sz w:val="36"/>
          <w:szCs w:val="36"/>
        </w:rPr>
      </w:pPr>
    </w:p>
    <w:p>
      <w:pPr>
        <w:rPr>
          <w:rFonts w:ascii="仿宋_GB2312" w:eastAsia="仿宋_GB2312" w:hAnsi="仿宋_GB2312" w:cs="仿宋_GB2312"/>
          <w:color w:val="auto"/>
          <w:sz w:val="36"/>
          <w:szCs w:val="36"/>
        </w:rPr>
      </w:pPr>
    </w:p>
    <w:p>
      <w:pPr>
        <w:rPr>
          <w:rFonts w:ascii="宋体" w:hAnsi="宋体" w:cs="宋体" w:hint="eastAsia"/>
          <w:color w:val="auto"/>
          <w:sz w:val="36"/>
          <w:szCs w:val="36"/>
        </w:rPr>
      </w:pPr>
    </w:p>
    <w:p>
      <w:pPr>
        <w:rPr>
          <w:rFonts w:ascii="宋体" w:hAnsi="宋体" w:cs="宋体" w:hint="eastAsia"/>
          <w:color w:val="auto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/>
        <w:jc w:val="center"/>
        <w:textAlignment w:val="auto"/>
        <w:outlineLvl w:val="0"/>
        <w:rPr>
          <w:rFonts w:ascii="宋体" w:hAnsi="宋体" w:cs="宋体" w:hint="eastAsia"/>
          <w:bCs/>
          <w:color w:val="auto"/>
          <w:sz w:val="72"/>
          <w:szCs w:val="72"/>
        </w:rPr>
      </w:pPr>
      <w:r>
        <w:rPr>
          <w:rFonts w:ascii="宋体" w:eastAsia="宋体" w:hAnsi="宋体" w:cs="宋体" w:hint="eastAsia"/>
          <w:bCs/>
          <w:color w:val="auto"/>
          <w:sz w:val="72"/>
          <w:szCs w:val="72"/>
        </w:rPr>
        <w:t>建设项目环境影响报告表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20" w:beforeLines="50"/>
        <w:jc w:val="center"/>
        <w:textAlignment w:val="auto"/>
        <w:rPr>
          <w:rFonts w:ascii="宋体" w:hAnsi="宋体" w:cs="宋体" w:hint="eastAsia"/>
          <w:color w:val="auto"/>
          <w:sz w:val="52"/>
          <w:szCs w:val="52"/>
        </w:rPr>
      </w:pPr>
      <w:r>
        <w:rPr>
          <w:rFonts w:ascii="宋体" w:eastAsia="宋体" w:hAnsi="宋体" w:cs="宋体" w:hint="eastAsia"/>
          <w:color w:val="auto"/>
          <w:sz w:val="52"/>
          <w:szCs w:val="52"/>
          <w:lang w:eastAsia="zh-CN"/>
        </w:rPr>
        <w:t>（污染影响类）</w:t>
      </w:r>
    </w:p>
    <w:p>
      <w:pPr>
        <w:ind w:firstLine="1040"/>
        <w:rPr>
          <w:rFonts w:ascii="宋体" w:hAnsi="宋体" w:cs="宋体" w:hint="eastAsia"/>
          <w:color w:val="auto"/>
          <w:sz w:val="44"/>
          <w:szCs w:val="44"/>
        </w:rPr>
      </w:pPr>
    </w:p>
    <w:p>
      <w:pPr>
        <w:ind w:firstLine="1040"/>
        <w:rPr>
          <w:rFonts w:ascii="宋体" w:hAnsi="宋体" w:cs="宋体" w:hint="eastAsia"/>
          <w:color w:val="auto"/>
          <w:sz w:val="44"/>
          <w:szCs w:val="44"/>
        </w:rPr>
      </w:pPr>
    </w:p>
    <w:p>
      <w:pPr>
        <w:ind w:firstLine="1040"/>
        <w:rPr>
          <w:rFonts w:ascii="宋体" w:hAnsi="宋体" w:cs="宋体" w:hint="eastAsia"/>
          <w:color w:val="auto"/>
          <w:sz w:val="44"/>
          <w:szCs w:val="44"/>
        </w:rPr>
      </w:pPr>
    </w:p>
    <w:p>
      <w:pPr>
        <w:spacing w:line="360" w:lineRule="auto"/>
        <w:ind w:firstLine="1040"/>
        <w:rPr>
          <w:rFonts w:ascii="宋体" w:hAnsi="宋体" w:cs="宋体" w:hint="eastAsia"/>
          <w:color w:val="auto"/>
          <w:sz w:val="44"/>
          <w:szCs w:val="44"/>
        </w:rPr>
      </w:pPr>
    </w:p>
    <w:p>
      <w:pPr>
        <w:adjustRightInd w:val="0"/>
        <w:snapToGrid w:val="0"/>
        <w:spacing w:line="360" w:lineRule="auto"/>
        <w:ind w:left="1685" w:hanging="1469" w:leftChars="103" w:hangingChars="459"/>
        <w:rPr>
          <w:rFonts w:ascii="宋体" w:hAnsi="宋体" w:cs="宋体" w:hint="eastAsia"/>
          <w:b/>
          <w:bCs/>
          <w:color w:val="auto"/>
          <w:sz w:val="32"/>
          <w:szCs w:val="32"/>
          <w:u w:val="single"/>
        </w:rPr>
      </w:pPr>
      <w:r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项目名称：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eastAsia="zh-CN"/>
        </w:rPr>
        <w:t>延安水务环保集团检测技术服务有限公司新建危废暂存间项目</w:t>
      </w:r>
    </w:p>
    <w:p>
      <w:pPr>
        <w:adjustRightInd w:val="0"/>
        <w:snapToGrid w:val="0"/>
        <w:spacing w:line="360" w:lineRule="auto"/>
        <w:ind w:left="0" w:firstLine="218" w:leftChars="0" w:firstLineChars="68"/>
        <w:rPr>
          <w:rFonts w:ascii="宋体" w:hAnsi="宋体" w:cs="宋体" w:hint="eastAsia"/>
          <w:b/>
          <w:bCs/>
          <w:color w:val="auto"/>
          <w:sz w:val="32"/>
          <w:szCs w:val="32"/>
          <w:u w:val="single"/>
        </w:rPr>
      </w:pPr>
      <w:r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建设单位（盖章）：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val="en-US" w:eastAsia="zh-CN"/>
        </w:rPr>
        <w:t xml:space="preserve">延安水务环保集团检测技术服务有限公司  </w:t>
      </w:r>
    </w:p>
    <w:p>
      <w:pPr>
        <w:adjustRightInd w:val="0"/>
        <w:snapToGrid w:val="0"/>
        <w:spacing w:line="360" w:lineRule="auto"/>
        <w:ind w:left="0" w:firstLine="218" w:leftChars="0" w:firstLineChars="68"/>
        <w:jc w:val="both"/>
        <w:rPr>
          <w:rFonts w:ascii="宋体" w:hAnsi="宋体" w:cs="宋体" w:hint="eastAsia"/>
          <w:b/>
          <w:bCs/>
          <w:color w:val="auto"/>
          <w:sz w:val="32"/>
          <w:szCs w:val="32"/>
          <w:u w:val="single"/>
        </w:rPr>
      </w:pPr>
      <w:r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编制日期：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eastAsia="zh-CN"/>
        </w:rPr>
        <w:t>二〇二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val="en-US" w:eastAsia="zh-CN"/>
        </w:rPr>
        <w:t>三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eastAsia="zh-CN"/>
        </w:rPr>
        <w:t>年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val="en-US" w:eastAsia="zh-CN"/>
        </w:rPr>
        <w:t>六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eastAsia="zh-CN"/>
        </w:rPr>
        <w:t>月</w:t>
      </w:r>
      <w:r>
        <w:rPr>
          <w:rFonts w:ascii="宋体" w:eastAsia="宋体" w:hAnsi="宋体" w:cs="宋体" w:hint="eastAsia"/>
          <w:b/>
          <w:bCs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>
      <w:pPr>
        <w:adjustRightInd w:val="0"/>
        <w:snapToGrid w:val="0"/>
        <w:spacing w:line="288" w:lineRule="auto"/>
        <w:ind w:firstLine="1040"/>
        <w:rPr>
          <w:rFonts w:ascii="宋体" w:hAnsi="宋体" w:cs="宋体" w:hint="eastAsia"/>
          <w:color w:val="auto"/>
          <w:sz w:val="36"/>
          <w:szCs w:val="36"/>
          <w:u w:val="single"/>
        </w:rPr>
      </w:pPr>
      <w:bookmarkStart w:id="0" w:name="_Hlk57884087"/>
    </w:p>
    <w:p>
      <w:pPr>
        <w:adjustRightInd w:val="0"/>
        <w:snapToGrid w:val="0"/>
        <w:spacing w:line="288" w:lineRule="auto"/>
        <w:rPr>
          <w:rFonts w:ascii="宋体" w:hAnsi="宋体" w:cs="宋体" w:hint="eastAsia"/>
          <w:color w:val="auto"/>
          <w:sz w:val="36"/>
          <w:szCs w:val="36"/>
        </w:rPr>
      </w:pPr>
    </w:p>
    <w:p>
      <w:pPr>
        <w:adjustRightInd w:val="0"/>
        <w:snapToGrid w:val="0"/>
        <w:spacing w:line="288" w:lineRule="auto"/>
        <w:ind w:firstLine="1040"/>
        <w:rPr>
          <w:rFonts w:ascii="宋体" w:hAnsi="宋体" w:cs="宋体" w:hint="eastAsia"/>
          <w:color w:val="auto"/>
          <w:sz w:val="36"/>
          <w:szCs w:val="36"/>
        </w:rPr>
      </w:pPr>
    </w:p>
    <w:p>
      <w:pPr>
        <w:adjustRightInd w:val="0"/>
        <w:snapToGrid w:val="0"/>
        <w:spacing w:line="288" w:lineRule="auto"/>
        <w:jc w:val="center"/>
        <w:rPr>
          <w:rFonts w:ascii="宋体" w:hAnsi="宋体" w:cs="宋体" w:hint="eastAsia"/>
          <w:color w:val="auto"/>
          <w:sz w:val="36"/>
          <w:szCs w:val="36"/>
        </w:rPr>
      </w:pPr>
      <w:bookmarkEnd w:id="0"/>
    </w:p>
    <w:p>
      <w:pPr>
        <w:adjustRightInd w:val="0"/>
        <w:snapToGrid w:val="0"/>
        <w:spacing w:line="288" w:lineRule="auto"/>
        <w:jc w:val="both"/>
        <w:rPr>
          <w:rFonts w:ascii="宋体" w:hAnsi="宋体" w:cs="宋体" w:hint="eastAsia"/>
          <w:color w:val="auto"/>
          <w:sz w:val="36"/>
          <w:szCs w:val="36"/>
        </w:rPr>
      </w:pPr>
    </w:p>
    <w:p>
      <w:pPr>
        <w:adjustRightInd w:val="0"/>
        <w:snapToGrid w:val="0"/>
        <w:spacing w:line="288" w:lineRule="auto"/>
        <w:jc w:val="center"/>
        <w:rPr>
          <w:rFonts w:ascii="宋体" w:hAnsi="宋体" w:cs="宋体" w:hint="eastAsia"/>
          <w:color w:val="auto"/>
          <w:sz w:val="36"/>
          <w:szCs w:val="36"/>
        </w:rPr>
        <w:sectPr>
          <w:headerReference w:type="default" r:id="rId4"/>
          <w:footerReference w:type="even" r:id="rId5"/>
          <w:footerReference w:type="default" r:id="rId6"/>
          <w:pgSz w:w="11906" w:h="16838"/>
          <w:pgMar w:top="1701" w:right="1531" w:bottom="1701" w:left="1531" w:header="851" w:footer="1077" w:gutter="0"/>
          <w:pgNumType w:start="3"/>
          <w:cols w:space="708"/>
          <w:docGrid w:linePitch="312"/>
        </w:sectPr>
      </w:pPr>
      <w:r>
        <w:rPr>
          <w:rFonts w:ascii="宋体" w:eastAsia="宋体" w:hAnsi="宋体" w:cs="宋体" w:hint="eastAsia"/>
          <w:color w:val="auto"/>
          <w:sz w:val="36"/>
          <w:szCs w:val="36"/>
        </w:rPr>
        <w:t>中华人民共和国生态环境部制</w:t>
      </w:r>
    </w:p>
    <w:p>
      <w:pPr>
        <w:pStyle w:val="NormalWeb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ascii="黑体" w:eastAsia="黑体" w:hAnsi="黑体" w:hint="eastAsia"/>
          <w:snapToGrid w:val="0"/>
          <w:color w:val="auto"/>
          <w:sz w:val="30"/>
          <w:szCs w:val="30"/>
        </w:rPr>
      </w:pPr>
      <w:r>
        <w:rPr>
          <w:rFonts w:ascii="黑体" w:eastAsia="黑体" w:hAnsi="黑体" w:hint="eastAsia"/>
          <w:snapToGrid w:val="0"/>
          <w:color w:val="auto"/>
          <w:sz w:val="30"/>
          <w:szCs w:val="30"/>
        </w:rPr>
        <w:t>一、建设项目基本情况</w:t>
      </w: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85"/>
        <w:gridCol w:w="2452"/>
        <w:gridCol w:w="2006"/>
        <w:gridCol w:w="2901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建设项目名称</w:t>
            </w:r>
          </w:p>
        </w:tc>
        <w:tc>
          <w:tcPr>
            <w:tcW w:w="416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eastAsia="zh-CN"/>
              </w:rPr>
              <w:t>延安水务环保集团检测技术服务有限公司新建危废暂存间项目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项目代码</w:t>
            </w:r>
          </w:p>
        </w:tc>
        <w:tc>
          <w:tcPr>
            <w:tcW w:w="416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eastAsia="宋体" w:cs="Times New Roman"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建设单位联系人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</w:p>
        </w:tc>
        <w:tc>
          <w:tcPr>
            <w:tcW w:w="11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联系方式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建设地点</w:t>
            </w:r>
          </w:p>
        </w:tc>
        <w:tc>
          <w:tcPr>
            <w:tcW w:w="416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auto"/>
                <w:sz w:val="24"/>
                <w:szCs w:val="24"/>
                <w:u w:val="none"/>
                <w:lang w:eastAsia="zh-CN"/>
              </w:rPr>
              <w:t>陕西省延安市宝塔区延安水务环保集团检测技术服务有限公司内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地理坐标</w:t>
            </w:r>
          </w:p>
        </w:tc>
        <w:tc>
          <w:tcPr>
            <w:tcW w:w="416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（</w:t>
            </w:r>
            <w:r>
              <w:rPr>
                <w:rFonts w:ascii="Times New Roman" w:eastAsia="宋体" w:hAnsi="Times New Roman" w:cs="Times New Roman" w:hint="default"/>
                <w:color w:val="auto"/>
                <w:sz w:val="24"/>
                <w:lang w:val="en-US" w:eastAsia="zh-CN"/>
              </w:rPr>
              <w:t>109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度</w:t>
            </w:r>
            <w:r>
              <w:rPr>
                <w:rFonts w:ascii="Times New Roman" w:eastAsia="宋体" w:hAnsi="Times New Roman" w:cs="Times New Roman" w:hint="default"/>
                <w:color w:val="auto"/>
                <w:sz w:val="24"/>
                <w:lang w:val="en-US" w:eastAsia="zh-CN"/>
              </w:rPr>
              <w:t>2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8分4.661秒</w:t>
            </w:r>
            <w:r>
              <w:rPr>
                <w:rFonts w:ascii="Times New Roman" w:eastAsia="宋体" w:hAnsi="Times New Roman" w:cs="Times New Roman" w:hint="default"/>
                <w:color w:val="auto"/>
                <w:sz w:val="24"/>
                <w:lang w:val="en-US" w:eastAsia="zh-CN"/>
              </w:rPr>
              <w:t>，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36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度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36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分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36.131</w:t>
            </w:r>
            <w:r>
              <w:rPr>
                <w:rFonts w:cs="Times New Roman" w:hint="eastAsia"/>
                <w:color w:val="auto"/>
                <w:sz w:val="24"/>
                <w:lang w:val="en-US" w:eastAsia="zh-CN"/>
              </w:rPr>
              <w:t>秒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）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1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国民经济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行业类别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auto"/>
                <w:sz w:val="24"/>
                <w:szCs w:val="24"/>
                <w:lang w:val="en-US" w:eastAsia="zh-CN"/>
              </w:rPr>
              <w:t>N7724危险废物治理</w:t>
            </w:r>
          </w:p>
        </w:tc>
        <w:tc>
          <w:tcPr>
            <w:tcW w:w="11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行业类别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color w:val="auto"/>
                <w:sz w:val="24"/>
                <w:szCs w:val="24"/>
                <w:lang w:val="en-US" w:eastAsia="zh-CN"/>
              </w:rPr>
              <w:t>101危险废物（不含医疗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color w:val="auto"/>
                <w:sz w:val="24"/>
                <w:szCs w:val="24"/>
                <w:lang w:val="en-US" w:eastAsia="zh-CN"/>
              </w:rPr>
              <w:t>废物）利用及处置中其他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19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建设性质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新建（迁建）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改建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52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扩建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技术改造</w:t>
            </w:r>
          </w:p>
        </w:tc>
        <w:tc>
          <w:tcPr>
            <w:tcW w:w="11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建设项目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申报情形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52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首次申报项目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不予批准后再次申报项目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超五年重新审核项目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重大变动重新报批项目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51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项目审批（核准/备案）部门（选填）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1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项目审批（核准/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备案）文号（选填）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总投资（万元）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134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环保投资（万元）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环保投资占比（%）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134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施工工期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sz w:val="24"/>
                <w:szCs w:val="24"/>
                <w:lang w:val="en-US" w:eastAsia="zh-CN"/>
              </w:rPr>
              <w:t>1个月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"/>
          <w:jc w:val="center"/>
        </w:trPr>
        <w:tc>
          <w:tcPr>
            <w:tcW w:w="839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是否开工建设</w:t>
            </w:r>
          </w:p>
        </w:tc>
        <w:tc>
          <w:tcPr>
            <w:tcW w:w="138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52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left"/>
              <w:textAlignment w:val="auto"/>
              <w:rPr>
                <w:rFonts w:hint="default"/>
                <w:color w:val="auto"/>
                <w:sz w:val="24"/>
                <w:szCs w:val="24"/>
                <w:u w:val="single"/>
              </w:rPr>
            </w:pPr>
            <w:r>
              <w:rPr>
                <w:rFonts w:ascii="Wingdings 2" w:hAnsi="Wingdings 2" w:cs="Times New Roman"/>
                <w:color w:val="auto"/>
                <w:sz w:val="24"/>
                <w:szCs w:val="24"/>
                <w:lang w:eastAsia="zh-CN"/>
              </w:rPr>
              <w:sym w:font="Wingdings 2" w:char="F0A3"/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是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  <w:lang w:eastAsia="zh-CN"/>
              </w:rPr>
              <w:t>：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</w:t>
            </w:r>
          </w:p>
        </w:tc>
        <w:tc>
          <w:tcPr>
            <w:tcW w:w="1134" w:type="pct"/>
            <w:tcMar>
              <w:top w:w="16" w:type="dxa"/>
              <w:left w:w="16" w:type="dxa"/>
              <w:right w:w="16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pacing w:val="-6"/>
                <w:sz w:val="24"/>
                <w:szCs w:val="24"/>
              </w:rPr>
              <w:t>用地面积（m</w:t>
            </w:r>
            <w:r>
              <w:rPr>
                <w:rFonts w:ascii="Times New Roman" w:hAnsi="Times New Roman" w:cs="Times New Roman" w:hint="default"/>
                <w:color w:val="auto"/>
                <w:spacing w:val="-6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 w:hint="default"/>
                <w:color w:val="auto"/>
                <w:spacing w:val="-6"/>
                <w:sz w:val="24"/>
                <w:szCs w:val="24"/>
              </w:rPr>
              <w:t>）</w:t>
            </w:r>
          </w:p>
        </w:tc>
        <w:tc>
          <w:tcPr>
            <w:tcW w:w="16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sz w:val="24"/>
                <w:szCs w:val="24"/>
              </w:rPr>
            </w:pPr>
            <w:r>
              <w:rPr>
                <w:rFonts w:cs="Times New Roman" w:hint="eastAsia"/>
                <w:color w:val="auto"/>
                <w:sz w:val="24"/>
                <w:szCs w:val="24"/>
                <w:lang w:val="en-US" w:eastAsia="zh-CN"/>
              </w:rPr>
              <w:t>不新增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94"/>
          <w:jc w:val="center"/>
        </w:trPr>
        <w:tc>
          <w:tcPr>
            <w:tcW w:w="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kern w:val="0"/>
                <w:sz w:val="24"/>
                <w:szCs w:val="24"/>
              </w:rPr>
              <w:t>专项评价设置情况</w:t>
            </w:r>
          </w:p>
        </w:tc>
        <w:tc>
          <w:tcPr>
            <w:tcW w:w="416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both"/>
              <w:textAlignment w:val="auto"/>
              <w:rPr>
                <w:rFonts w:hint="default"/>
                <w:color w:val="auto"/>
                <w:spacing w:val="0"/>
                <w:kern w:val="0"/>
                <w:sz w:val="24"/>
              </w:rPr>
            </w:pPr>
            <w:r>
              <w:rPr>
                <w:rFonts w:ascii="Times New Roman" w:hAnsi="Times New Roman" w:cs="Times New Roman" w:hint="default"/>
                <w:color w:val="auto"/>
                <w:spacing w:val="0"/>
                <w:kern w:val="0"/>
                <w:sz w:val="24"/>
                <w:lang w:val="en-US" w:eastAsia="zh-CN"/>
              </w:rPr>
              <w:t>根据《建设项目环境影响报告表编制技术指南（污染影响类）（试行）》中专项评价设置原则。</w:t>
            </w:r>
          </w:p>
          <w:p>
            <w:pPr>
              <w:jc w:val="center"/>
              <w:rPr>
                <w:rFonts w:hint="default"/>
                <w:color w:val="auto"/>
                <w:kern w:val="0"/>
                <w:sz w:val="24"/>
              </w:rPr>
            </w:pPr>
            <w:r>
              <w:rPr>
                <w:rFonts w:ascii="Times New Roman" w:hAnsi="Times New Roman" w:cs="Times New Roman" w:hint="default"/>
                <w:b/>
                <w:bCs/>
                <w:color w:val="auto"/>
                <w:spacing w:val="0"/>
                <w:lang w:val="zh-CN"/>
              </w:rPr>
              <w:t>表</w:t>
            </w:r>
            <w:r>
              <w:rPr>
                <w:rFonts w:ascii="Times New Roman" w:hAnsi="Times New Roman" w:cs="Times New Roman" w:hint="default"/>
                <w:b/>
                <w:bCs/>
                <w:color w:val="auto"/>
                <w:spacing w:val="0"/>
              </w:rPr>
              <w:t>1-</w:t>
            </w:r>
            <w:r>
              <w:rPr>
                <w:rFonts w:ascii="Times New Roman" w:hAnsi="Times New Roman" w:cs="Times New Roman" w:hint="default"/>
                <w:b/>
                <w:bCs/>
                <w:color w:val="auto"/>
                <w:spacing w:val="0"/>
                <w:lang w:val="en-US" w:eastAsia="zh-CN"/>
              </w:rPr>
              <w:t>1</w:t>
            </w:r>
            <w:r>
              <w:rPr>
                <w:rFonts w:ascii="Times New Roman" w:hAnsi="Times New Roman" w:cs="Times New Roman" w:hint="default"/>
                <w:b/>
                <w:bCs/>
                <w:color w:val="auto"/>
                <w:spacing w:val="0"/>
                <w:lang w:val="zh-CN"/>
              </w:rPr>
              <w:t xml:space="preserve">    </w:t>
            </w:r>
            <w:r>
              <w:rPr>
                <w:rFonts w:ascii="Times New Roman" w:hAnsi="Times New Roman" w:cs="Times New Roman" w:hint="default"/>
                <w:b/>
                <w:bCs/>
                <w:color w:val="auto"/>
                <w:spacing w:val="0"/>
                <w:lang w:val="zh-CN" w:eastAsia="zh-CN"/>
              </w:rPr>
              <w:t>专项评价设置原则表</w:t>
            </w:r>
          </w:p>
          <w:tbl>
            <w:tblPr>
              <w:tblStyle w:val="TableNormal"/>
              <w:tblW w:w="4999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064"/>
              <w:gridCol w:w="2660"/>
              <w:gridCol w:w="2324"/>
              <w:gridCol w:w="1084"/>
            </w:tblGrid>
            <w:tr>
              <w:tblPrEx>
                <w:tblW w:w="4999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56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专项评价的类别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设置原则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情况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是否设置专题评价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大气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排放废气含有毒有害污染物、二噁英、苯并[a]芘、氰化物、氯气且厂界外500米范围内有环境空气保护目标的建设项目。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废气主要为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  <w:lang w:val="en-US" w:eastAsia="zh-CN"/>
                    </w:rPr>
                    <w:t>非甲烷总烃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，不排放</w:t>
                  </w: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有毒有害污染物、二噁英、苯并[a]芘、氰化物、氯气等。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否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地表水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rPr>
                      <w:rFonts w:hint="default"/>
                      <w:color w:val="auto"/>
                      <w:kern w:val="0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新增工业废水直排建设项目（槽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kern w:val="0"/>
                      <w:lang w:eastAsia="zh-CN"/>
                    </w:rPr>
                    <w:t>专用车辆</w:t>
                  </w: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外送污水处理厂的除外）；</w:t>
                  </w:r>
                </w:p>
                <w:p>
                  <w:pPr>
                    <w:rPr>
                      <w:rFonts w:hint="default"/>
                      <w:color w:val="auto"/>
                      <w:kern w:val="0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新增废水直排的污水集中处理厂。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color w:val="auto"/>
                      <w:kern w:val="0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项目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不产生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废水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  <w:lang w:eastAsia="zh-CN"/>
                    </w:rPr>
                    <w:t>。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否</w:t>
                  </w:r>
                </w:p>
              </w:tc>
            </w:tr>
          </w:tbl>
          <w:p/>
        </w:tc>
      </w:tr>
    </w:tbl>
    <w:p>
      <w:pPr>
        <w:sectPr>
          <w:headerReference w:type="default" r:id="rId7"/>
          <w:footerReference w:type="even" r:id="rId8"/>
          <w:footerReference w:type="default" r:id="rId9"/>
          <w:type w:val="nextPage"/>
          <w:pgSz w:w="11907" w:h="16840"/>
          <w:pgMar w:top="1701" w:right="1531" w:bottom="2127" w:left="1531" w:header="851" w:footer="851" w:gutter="0"/>
          <w:pgNumType w:fmt="decimal" w:start="1"/>
          <w:cols w:space="708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94"/>
          <w:jc w:val="center"/>
        </w:trPr>
        <w:tc>
          <w:tcPr>
            <w:tcW w:w="839" w:type="pct"/>
            <w:vAlign w:val="center"/>
          </w:tcPr>
          <w:p/>
        </w:tc>
        <w:tc>
          <w:tcPr>
            <w:tcW w:w="4160" w:type="pct"/>
            <w:vAlign w:val="center"/>
          </w:tcPr>
          <w:tbl>
            <w:tblPr>
              <w:tblStyle w:val="TableNormal"/>
              <w:tblW w:w="4999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087"/>
              <w:gridCol w:w="2721"/>
              <w:gridCol w:w="2375"/>
              <w:gridCol w:w="1108"/>
            </w:tblGrid>
            <w:tr>
              <w:tblPrEx>
                <w:tblW w:w="4999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环境风险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rPr>
                      <w:rFonts w:hint="default"/>
                      <w:color w:val="auto"/>
                      <w:kern w:val="0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有毒有害和易燃易爆危险物质存储量超过临界量的建设项目。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  <w:lang w:val="en-US" w:eastAsia="zh-CN"/>
                    </w:rPr>
                    <w:t>涉及的</w:t>
                  </w: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有毒有害和易燃易爆危险物质</w:t>
                  </w: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  <w:lang w:val="en-US" w:eastAsia="zh-CN"/>
                    </w:rPr>
                    <w:t>为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kern w:val="0"/>
                      <w:lang w:val="en-US" w:eastAsia="zh-CN"/>
                    </w:rPr>
                    <w:t>危险废物</w:t>
                  </w: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  <w:lang w:val="en-US" w:eastAsia="zh-CN"/>
                    </w:rPr>
                    <w:t>，存储量远小于</w:t>
                  </w: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临界量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。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否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生态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rPr>
                      <w:rFonts w:hint="default"/>
                      <w:color w:val="auto"/>
                      <w:kern w:val="0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取水口下游500米范围内有重要水生生物的自然产卵场、索饵场、越冬场和洄游通道的新增河道取水的污染类建设项目。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eastAsia="zh-CN"/>
                    </w:rPr>
                    <w:t>本项目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  <w:lang w:val="en-US" w:eastAsia="zh-CN"/>
                    </w:rPr>
                    <w:t>无需用水</w:t>
                  </w:r>
                  <w:r>
                    <w:rPr>
                      <w:rFonts w:ascii="Times New Roman" w:hAnsi="Times New Roman" w:cs="Times New Roman" w:hint="default"/>
                      <w:color w:val="auto"/>
                    </w:rPr>
                    <w:t>。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否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20"/>
                <w:jc w:val="center"/>
              </w:trPr>
              <w:tc>
                <w:tcPr>
                  <w:tcW w:w="745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海洋</w:t>
                  </w:r>
                </w:p>
              </w:tc>
              <w:tc>
                <w:tcPr>
                  <w:tcW w:w="1864" w:type="pct"/>
                  <w:vAlign w:val="center"/>
                </w:tcPr>
                <w:p>
                  <w:pPr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kern w:val="0"/>
                    </w:rPr>
                    <w:t>直接向海排放污染物的海洋工程建设项目。</w:t>
                  </w:r>
                </w:p>
              </w:tc>
              <w:tc>
                <w:tcPr>
                  <w:tcW w:w="1628" w:type="pct"/>
                  <w:vAlign w:val="center"/>
                </w:tcPr>
                <w:p>
                  <w:pPr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为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  <w:lang w:eastAsia="zh-CN"/>
                    </w:rPr>
                    <w:t>危废暂存间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val="en-US" w:eastAsia="zh-CN"/>
                    </w:rPr>
                    <w:t>建设项目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，不涉及海洋工程。</w:t>
                  </w:r>
                </w:p>
              </w:tc>
              <w:tc>
                <w:tcPr>
                  <w:tcW w:w="760" w:type="pct"/>
                  <w:vAlign w:val="center"/>
                </w:tcPr>
                <w:p>
                  <w:pPr>
                    <w:jc w:val="center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否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firstLine="480" w:firstLineChars="200"/>
              <w:jc w:val="left"/>
              <w:textAlignment w:val="auto"/>
              <w:rPr>
                <w:rFonts w:hint="default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kern w:val="0"/>
                <w:sz w:val="24"/>
              </w:rPr>
              <w:t>因此，</w:t>
            </w:r>
            <w:r>
              <w:rPr>
                <w:rFonts w:ascii="Times New Roman" w:hAnsi="Times New Roman" w:cs="Times New Roman" w:hint="eastAsia"/>
                <w:color w:val="auto"/>
                <w:kern w:val="0"/>
                <w:sz w:val="24"/>
                <w:lang w:eastAsia="zh-CN"/>
              </w:rPr>
              <w:t>本项目</w:t>
            </w:r>
            <w:r>
              <w:rPr>
                <w:rFonts w:ascii="Times New Roman" w:hAnsi="Times New Roman" w:cs="Times New Roman" w:hint="default"/>
                <w:color w:val="auto"/>
                <w:kern w:val="0"/>
                <w:sz w:val="24"/>
              </w:rPr>
              <w:t>不设置专项评价。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39"/>
          <w:jc w:val="center"/>
        </w:trPr>
        <w:tc>
          <w:tcPr>
            <w:tcW w:w="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  <w:highlight w:val="none"/>
              </w:rPr>
              <w:t>规划情况</w:t>
            </w:r>
          </w:p>
        </w:tc>
        <w:tc>
          <w:tcPr>
            <w:tcW w:w="416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 w:hint="eastAsia"/>
                <w:color w:val="auto"/>
                <w:sz w:val="24"/>
                <w:szCs w:val="24"/>
                <w:lang w:val="en-US" w:eastAsia="zh-CN"/>
              </w:rPr>
              <w:t>无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9"/>
          <w:jc w:val="center"/>
        </w:trPr>
        <w:tc>
          <w:tcPr>
            <w:tcW w:w="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szCs w:val="24"/>
              </w:rPr>
              <w:t>规划环境影响评价情况</w:t>
            </w:r>
          </w:p>
        </w:tc>
        <w:tc>
          <w:tcPr>
            <w:tcW w:w="416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W w:w="4985" w:type="pct"/>
          <w:jc w:val="center"/>
          <w:tblInd w:w="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 w:hint="default"/>
                <w:color w:val="auto"/>
                <w:kern w:val="0"/>
                <w:sz w:val="24"/>
                <w:szCs w:val="24"/>
                <w:highlight w:val="none"/>
              </w:rPr>
              <w:t>规划及规划环境影响评价符合性分析</w:t>
            </w:r>
          </w:p>
        </w:tc>
        <w:tc>
          <w:tcPr>
            <w:tcW w:w="416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auto"/>
              <w:rPr>
                <w:rFonts w:hint="eastAsia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 w:hint="eastAsia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</w:tbl>
    <w:p>
      <w:pPr>
        <w:sectPr>
          <w:headerReference w:type="default" r:id="rId10"/>
          <w:footerReference w:type="even" r:id="rId11"/>
          <w:footerReference w:type="default" r:id="rId12"/>
          <w:type w:val="nextPage"/>
          <w:pgSz w:w="11907" w:h="16840"/>
          <w:pgMar w:top="1701" w:right="1531" w:bottom="2127" w:left="1531" w:header="851" w:footer="851" w:gutter="0"/>
          <w:pgNumType w:fmt="decimal" w:start="2"/>
          <w:cols w:space="708"/>
          <w:titlePg w:val="0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839"/>
          <w:jc w:val="center"/>
        </w:trPr>
        <w:tc>
          <w:tcPr>
            <w:tcW w:w="83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auto"/>
              <w:rPr>
                <w:rFonts w:hint="default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 w:hint="default"/>
                <w:color w:val="auto"/>
                <w:kern w:val="0"/>
                <w:sz w:val="24"/>
                <w:szCs w:val="24"/>
              </w:rPr>
              <w:t>其他符合性分析</w:t>
            </w:r>
          </w:p>
        </w:tc>
        <w:tc>
          <w:tcPr>
            <w:tcW w:w="4160" w:type="pct"/>
            <w:vAlign w:val="center"/>
          </w:tcPr>
          <w:p>
            <w:pPr>
              <w:pStyle w:val="a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rPr>
                <w:rFonts w:ascii="Times New Roman" w:eastAsia="宋体" w:hAnsi="Times New Roman" w:hint="default"/>
                <w:b/>
                <w:bCs/>
                <w:color w:val="auto"/>
              </w:rPr>
            </w:pP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1、产业政策符合性分析</w:t>
            </w:r>
          </w:p>
          <w:p>
            <w:pPr>
              <w:pStyle w:val="a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rPr>
                <w:rFonts w:ascii="Times New Roman" w:hAnsi="Times New Roman" w:hint="eastAsia"/>
                <w:b w:val="0"/>
                <w:bCs/>
                <w:color w:val="auto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本项目为危废暂存间建设项目，根据《产业结构调整指导目录</w:t>
            </w:r>
            <w:r>
              <w:rPr>
                <w:rFonts w:hint="default"/>
                <w:color w:val="auto"/>
              </w:rPr>
              <w:t>（20</w:t>
            </w:r>
            <w:r>
              <w:rPr>
                <w:rFonts w:hint="default"/>
                <w:color w:val="auto"/>
                <w:lang w:val="en-US" w:eastAsia="zh-CN"/>
              </w:rPr>
              <w:t>21</w:t>
            </w:r>
            <w:r>
              <w:rPr>
                <w:rFonts w:hint="default"/>
                <w:color w:val="auto"/>
              </w:rPr>
              <w:t>年</w:t>
            </w:r>
            <w:r>
              <w:rPr>
                <w:rFonts w:hint="default"/>
                <w:color w:val="auto"/>
                <w:lang w:val="en-US" w:eastAsia="zh-CN"/>
              </w:rPr>
              <w:t>修订</w:t>
            </w:r>
            <w:r>
              <w:rPr>
                <w:rFonts w:hint="default"/>
                <w:color w:val="auto"/>
              </w:rPr>
              <w:t>本）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》，本项目属于鼓励类建设项目（第一类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“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鼓励类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”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四十三、环境保护与资源节约综合利用-15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“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三废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”</w:t>
            </w: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4"/>
                <w:szCs w:val="24"/>
                <w:lang w:val="en-US" w:eastAsia="zh-CN"/>
              </w:rPr>
              <w:t>综合利用与治理技术、装备和工程）；</w:t>
            </w:r>
          </w:p>
          <w:p>
            <w:pPr>
              <w:pStyle w:val="a9"/>
              <w:rPr>
                <w:rFonts w:ascii="Times New Roman" w:hAnsi="Times New Roman" w:hint="default"/>
                <w:b w:val="0"/>
                <w:bCs/>
                <w:color w:val="auto"/>
                <w:lang w:val="en-US" w:eastAsia="zh-CN"/>
              </w:rPr>
            </w:pPr>
            <w:r>
              <w:rPr>
                <w:color w:val="auto"/>
              </w:rPr>
              <w:t>本项目</w:t>
            </w:r>
            <w:r>
              <w:rPr>
                <w:rFonts w:ascii="Times New Roman" w:hAnsi="Times New Roman" w:cs="Times New Roman" w:hint="default"/>
                <w:bCs/>
                <w:color w:val="auto"/>
              </w:rPr>
              <w:t>不在《陕西省限制投资类产业指导目录》（陕发改产业</w:t>
            </w:r>
            <w:r>
              <w:rPr>
                <w:rFonts w:ascii="Times New Roman" w:hAnsi="Times New Roman" w:cs="Times New Roman" w:hint="eastAsia"/>
                <w:bCs/>
                <w:color w:val="auto"/>
                <w:lang w:eastAsia="zh-CN"/>
              </w:rPr>
              <w:t>〔2007〕</w:t>
            </w:r>
            <w:r>
              <w:rPr>
                <w:rFonts w:ascii="Times New Roman" w:hAnsi="Times New Roman" w:cs="Times New Roman" w:hint="default"/>
                <w:bCs/>
                <w:color w:val="auto"/>
              </w:rPr>
              <w:t>97号）内，不属于《市场准入负面清单（202</w:t>
            </w:r>
            <w:r>
              <w:rPr>
                <w:rFonts w:ascii="Times New Roman" w:hAnsi="Times New Roman" w:cs="Times New Roman" w:hint="eastAsia"/>
                <w:bCs/>
                <w:color w:val="auto"/>
                <w:lang w:val="en-US" w:eastAsia="zh-CN"/>
              </w:rPr>
              <w:t>2</w:t>
            </w:r>
            <w:r>
              <w:rPr>
                <w:rFonts w:ascii="Times New Roman" w:hAnsi="Times New Roman" w:cs="Times New Roman" w:hint="default"/>
                <w:bCs/>
                <w:color w:val="auto"/>
              </w:rPr>
              <w:t>年版）》中禁止准入类及许可准入类项目</w:t>
            </w:r>
            <w:r>
              <w:rPr>
                <w:color w:val="auto"/>
              </w:rPr>
              <w:t>，项目符合陕西省产业政策</w:t>
            </w:r>
            <w:r>
              <w:rPr>
                <w:rFonts w:ascii="Times New Roman" w:hAnsi="Times New Roman" w:cs="Times New Roman" w:hint="default"/>
                <w:bCs/>
                <w:color w:val="auto"/>
              </w:rPr>
              <w:t>。</w:t>
            </w:r>
          </w:p>
          <w:p>
            <w:pPr>
              <w:pStyle w:val="a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rPr>
                <w:rFonts w:ascii="Times New Roman" w:eastAsia="宋体" w:hAnsi="Times New Roman" w:hint="default"/>
                <w:color w:val="auto"/>
              </w:rPr>
            </w:pPr>
            <w:r>
              <w:rPr>
                <w:rFonts w:ascii="Times New Roman" w:eastAsia="宋体" w:hAnsi="Times New Roman" w:cs="Times New Roman" w:hint="default"/>
                <w:bCs/>
                <w:color w:val="auto"/>
                <w:lang w:val="en-US" w:eastAsia="zh-CN"/>
              </w:rPr>
              <w:t>因此，本项目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</w:rPr>
              <w:t>符合国家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  <w:lang w:val="en-US" w:eastAsia="zh-CN"/>
              </w:rPr>
              <w:t>及地方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</w:rPr>
              <w:t>相关产业政策。</w:t>
            </w:r>
          </w:p>
          <w:p>
            <w:pPr>
              <w:pStyle w:val="a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rPr>
                <w:rFonts w:ascii="Times New Roman" w:eastAsia="宋体" w:hAnsi="Times New Roman" w:hint="default"/>
                <w:b/>
                <w:bCs/>
                <w:color w:val="auto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auto"/>
                <w:lang w:val="en-US" w:eastAsia="zh-CN"/>
              </w:rPr>
              <w:t>2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lang w:val="en-US" w:eastAsia="zh-CN"/>
              </w:rPr>
              <w:t>、项目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与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“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三线一单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”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</w:rPr>
              <w:t>符合性分析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80"/>
              <w:textAlignment w:val="auto"/>
              <w:rPr>
                <w:rFonts w:ascii="Times New Roman" w:hAnsi="Times New Roman" w:cs="Times New Roman" w:hint="default"/>
                <w:color w:val="auto"/>
                <w:sz w:val="24"/>
                <w:lang w:val="zh-CN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根据《陕西省</w:t>
            </w:r>
            <w:r>
              <w:rPr>
                <w:rFonts w:ascii="Times New Roman" w:hAnsi="Times New Roman" w:cs="Times New Roman" w:hint="eastAsia"/>
                <w:color w:val="auto"/>
                <w:sz w:val="24"/>
                <w:lang w:val="zh-CN" w:eastAsia="zh-CN"/>
              </w:rPr>
              <w:t>“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三线一单</w:t>
            </w:r>
            <w:r>
              <w:rPr>
                <w:rFonts w:ascii="Times New Roman" w:hAnsi="Times New Roman" w:cs="Times New Roman" w:hint="eastAsia"/>
                <w:color w:val="auto"/>
                <w:sz w:val="24"/>
                <w:lang w:val="zh-CN" w:eastAsia="zh-CN"/>
              </w:rPr>
              <w:t>”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生态环境分区管控应用技术指南：环境影响评价（试行）》（陕环办发</w:t>
            </w:r>
            <w:r>
              <w:rPr>
                <w:rFonts w:ascii="Times New Roman" w:hAnsi="Times New Roman" w:cs="Times New Roman" w:hint="eastAsia"/>
                <w:bCs/>
                <w:color w:val="auto"/>
                <w:sz w:val="24"/>
                <w:szCs w:val="24"/>
                <w:lang w:eastAsia="zh-CN"/>
              </w:rPr>
              <w:t>〔20</w:t>
            </w:r>
            <w:r>
              <w:rPr>
                <w:rFonts w:ascii="Times New Roman" w:hAnsi="Times New Roman" w:cs="Times New Roman" w:hint="eastAsia"/>
                <w:bCs/>
                <w:color w:val="auto"/>
                <w:sz w:val="24"/>
                <w:szCs w:val="24"/>
                <w:lang w:val="en-US" w:eastAsia="zh-CN"/>
              </w:rPr>
              <w:t>22</w:t>
            </w:r>
            <w:r>
              <w:rPr>
                <w:rFonts w:ascii="Times New Roman" w:hAnsi="Times New Roman" w:cs="Times New Roman" w:hint="eastAsia"/>
                <w:bCs/>
                <w:color w:val="auto"/>
                <w:sz w:val="24"/>
                <w:szCs w:val="24"/>
                <w:lang w:eastAsia="zh-CN"/>
              </w:rPr>
              <w:t>〕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76号），建设项目环评文件涉及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“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三线一单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”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生态环境分区管控符合性分析采取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“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一图一表一说明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”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 w:eastAsia="zh-CN"/>
              </w:rPr>
              <w:t>的表达方式，对照分析结果，论证建设的符合性。</w:t>
            </w:r>
          </w:p>
          <w:p>
            <w:pPr>
              <w:spacing w:line="360" w:lineRule="auto"/>
              <w:ind w:firstLine="480" w:firstLineChars="200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）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一图</w:t>
            </w:r>
          </w:p>
          <w:p>
            <w:pPr>
              <w:spacing w:line="360" w:lineRule="auto"/>
              <w:ind w:firstLine="480" w:firstLineChars="200"/>
              <w:rPr>
                <w:rFonts w:hint="default"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 w:hint="default"/>
                <w:color w:val="auto"/>
                <w:sz w:val="24"/>
              </w:rPr>
              <w:t>本项目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eastAsia="zh-CN"/>
              </w:rPr>
              <w:t>位于</w:t>
            </w:r>
            <w:r>
              <w:rPr>
                <w:rFonts w:ascii="Times New Roman" w:hAnsi="Times New Roman" w:cs="Times New Roman" w:hint="eastAsia"/>
                <w:color w:val="auto"/>
                <w:sz w:val="24"/>
                <w:szCs w:val="24"/>
                <w:u w:val="none"/>
                <w:lang w:eastAsia="zh-CN"/>
              </w:rPr>
              <w:t>陕西省延安市宝塔区延安水务环保集团检测技术服务有限公司内</w:t>
            </w:r>
            <w:r>
              <w:rPr>
                <w:rFonts w:ascii="Times New Roman" w:hAnsi="Times New Roman" w:cs="Times New Roman" w:hint="default"/>
                <w:color w:val="auto"/>
                <w:sz w:val="24"/>
                <w:lang w:val="zh-CN"/>
              </w:rPr>
              <w:t>，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根据《延安市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“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三线一单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”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生态环境分区管控方案》，本项目涉及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重点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管控单元，项目选址与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延安市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“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三线一单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”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生态环境分区管控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的位置关系见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附图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8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。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陕西省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“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三线一单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”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生态环境管控单元对照分析报告见附件2。</w:t>
            </w:r>
          </w:p>
          <w:p>
            <w:pPr>
              <w:spacing w:line="360" w:lineRule="auto"/>
              <w:ind w:firstLine="480" w:firstLineChars="200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）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一表</w:t>
            </w:r>
          </w:p>
          <w:p>
            <w:pPr>
              <w:spacing w:line="360" w:lineRule="auto"/>
              <w:ind w:firstLine="480" w:firstLineChars="200"/>
              <w:rPr>
                <w:rFonts w:hint="default"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本项目建设范围涉及的生态环境管控单元准入清单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具体见表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1-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。</w:t>
            </w:r>
          </w:p>
          <w:p>
            <w:pPr>
              <w:jc w:val="center"/>
              <w:rPr>
                <w:rFonts w:hint="eastAsia"/>
                <w:b/>
                <w:bCs/>
                <w:color w:val="auto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auto"/>
              </w:rPr>
              <w:t>表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auto"/>
                <w:lang w:val="en-US" w:eastAsia="zh-CN"/>
              </w:rPr>
              <w:t>1-</w:t>
            </w:r>
            <w:r>
              <w:rPr>
                <w:rFonts w:eastAsia="宋体" w:cs="Times New Roman" w:hint="eastAsia"/>
                <w:b/>
                <w:bCs/>
                <w:color w:val="auto"/>
                <w:lang w:val="en-US" w:eastAsia="zh-CN"/>
              </w:rPr>
              <w:t>2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auto"/>
                <w:lang w:val="en-US" w:eastAsia="zh-CN"/>
              </w:rPr>
              <w:t xml:space="preserve">    本项目建设范围涉及的生态环境管控单元准入清单</w:t>
            </w:r>
          </w:p>
          <w:tbl>
            <w:tblPr>
              <w:tblStyle w:val="00"/>
              <w:tblW w:w="5000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09"/>
              <w:gridCol w:w="326"/>
              <w:gridCol w:w="353"/>
              <w:gridCol w:w="840"/>
              <w:gridCol w:w="735"/>
              <w:gridCol w:w="586"/>
              <w:gridCol w:w="1419"/>
              <w:gridCol w:w="674"/>
              <w:gridCol w:w="1633"/>
              <w:gridCol w:w="417"/>
            </w:tblGrid>
            <w:tr>
              <w:tblPrEx>
                <w:tblW w:w="5000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223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市</w:t>
                  </w:r>
                </w:p>
              </w:tc>
              <w:tc>
                <w:tcPr>
                  <w:tcW w:w="24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区县</w:t>
                  </w:r>
                </w:p>
              </w:tc>
              <w:tc>
                <w:tcPr>
                  <w:tcW w:w="575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环境管控单元名称</w:t>
                  </w:r>
                </w:p>
              </w:tc>
              <w:tc>
                <w:tcPr>
                  <w:tcW w:w="503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单元要素属性</w:t>
                  </w:r>
                </w:p>
              </w:tc>
              <w:tc>
                <w:tcPr>
                  <w:tcW w:w="1374" w:type="pct"/>
                  <w:gridSpan w:val="2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管控要求</w:t>
                  </w:r>
                </w:p>
              </w:tc>
              <w:tc>
                <w:tcPr>
                  <w:tcW w:w="461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面积</w:t>
                  </w: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本项目建设情况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符合性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1</w:t>
                  </w:r>
                </w:p>
              </w:tc>
              <w:tc>
                <w:tcPr>
                  <w:tcW w:w="223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延安市</w:t>
                  </w:r>
                </w:p>
              </w:tc>
              <w:tc>
                <w:tcPr>
                  <w:tcW w:w="24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宝塔区</w:t>
                  </w:r>
                </w:p>
              </w:tc>
              <w:tc>
                <w:tcPr>
                  <w:tcW w:w="575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宝塔区重点管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控单元 4</w:t>
                  </w:r>
                </w:p>
              </w:tc>
              <w:tc>
                <w:tcPr>
                  <w:tcW w:w="503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水环境城镇生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活污染重点管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right="-105" w:rightChars="-5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控区</w:t>
                  </w: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空间布局约束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水环境城镇污染重点管控区：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不新增</w:t>
                  </w: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hAnsi="Times New Roman" w:cs="Times New Roman" w:hint="default"/>
                      <w:color w:val="auto"/>
                      <w:sz w:val="21"/>
                      <w:szCs w:val="21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为</w:t>
                  </w:r>
                  <w:r>
                    <w:rPr>
                      <w:rFonts w:ascii="Times New Roman" w:hAnsi="Times New Roman" w:cs="Times New Roman" w:hint="eastAsia"/>
                      <w:b w:val="0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危废暂存间建设项目，主要用于暂存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</w:tbl>
          <w:p/>
        </w:tc>
      </w:tr>
    </w:tbl>
    <w:p>
      <w:pPr>
        <w:sectPr>
          <w:headerReference w:type="default" r:id="rId13"/>
          <w:footerReference w:type="even" r:id="rId14"/>
          <w:footerReference w:type="default" r:id="rId15"/>
          <w:type w:val="nextPage"/>
          <w:pgSz w:w="11907" w:h="16840"/>
          <w:pgMar w:top="1701" w:right="1531" w:bottom="2127" w:left="1531" w:header="851" w:footer="851" w:gutter="0"/>
          <w:pgNumType w:fmt="decimal" w:start="3"/>
          <w:cols w:space="708"/>
          <w:titlePg w:val="0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839"/>
          <w:jc w:val="center"/>
        </w:trPr>
        <w:tc>
          <w:tcPr>
            <w:tcW w:w="839" w:type="pct"/>
            <w:vAlign w:val="center"/>
          </w:tcPr>
          <w:p/>
        </w:tc>
        <w:tc>
          <w:tcPr>
            <w:tcW w:w="4160" w:type="pct"/>
            <w:vAlign w:val="center"/>
          </w:tcPr>
          <w:tbl>
            <w:tblPr>
              <w:tblStyle w:val="14"/>
              <w:tblW w:w="5000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09"/>
              <w:gridCol w:w="326"/>
              <w:gridCol w:w="353"/>
              <w:gridCol w:w="840"/>
              <w:gridCol w:w="735"/>
              <w:gridCol w:w="586"/>
              <w:gridCol w:w="1419"/>
              <w:gridCol w:w="674"/>
              <w:gridCol w:w="1633"/>
              <w:gridCol w:w="417"/>
            </w:tblGrid>
            <w:tr>
              <w:tblPrEx>
                <w:tblW w:w="5000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 w:val="restart"/>
                  <w:vAlign w:val="center"/>
                </w:tcPr>
                <w:p/>
              </w:tc>
              <w:tc>
                <w:tcPr>
                  <w:tcW w:w="223" w:type="pct"/>
                  <w:vMerge w:val="restart"/>
                  <w:vAlign w:val="center"/>
                </w:tcPr>
                <w:p/>
              </w:tc>
              <w:tc>
                <w:tcPr>
                  <w:tcW w:w="242" w:type="pct"/>
                  <w:vMerge w:val="restart"/>
                  <w:vAlign w:val="center"/>
                </w:tcPr>
                <w:p/>
              </w:tc>
              <w:tc>
                <w:tcPr>
                  <w:tcW w:w="575" w:type="pct"/>
                  <w:vMerge w:val="restart"/>
                  <w:vAlign w:val="center"/>
                </w:tcPr>
                <w:p/>
              </w:tc>
              <w:tc>
                <w:tcPr>
                  <w:tcW w:w="503" w:type="pct"/>
                  <w:vMerge w:val="restart"/>
                  <w:vAlign w:val="center"/>
                </w:tcPr>
                <w:p/>
              </w:tc>
              <w:tc>
                <w:tcPr>
                  <w:tcW w:w="402" w:type="pct"/>
                  <w:vAlign w:val="center"/>
                </w:tcPr>
                <w:p/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1.严禁在人口密集区新建危险化学品生产项目，城镇人口密集区危险化学品生产企业应搬迁改造。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2.严格管控涉及易导致环境风险的有毒有害和易燃易爆物质的生产、使用、排放、贮运等新建、改扩建项目。</w:t>
                  </w:r>
                </w:p>
              </w:tc>
              <w:tc>
                <w:tcPr>
                  <w:tcW w:w="461" w:type="pct"/>
                  <w:vMerge w:val="restart"/>
                  <w:vAlign w:val="center"/>
                </w:tcPr>
                <w:p/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cs="Times New Roman" w:hint="eastAsia"/>
                      <w:color w:val="auto"/>
                      <w:sz w:val="21"/>
                      <w:szCs w:val="21"/>
                      <w:lang w:eastAsia="zh-CN"/>
                    </w:rPr>
                    <w:t>延安水务环保集团检测技术服务有限公司</w:t>
                  </w:r>
                  <w:r>
                    <w:rPr>
                      <w:rFonts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实验室产生的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实验废液、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废试剂瓶、废手套及废抹布</w:t>
                  </w:r>
                  <w:r>
                    <w:rPr>
                      <w:rFonts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</w:t>
                  </w:r>
                </w:p>
              </w:tc>
              <w:tc>
                <w:tcPr>
                  <w:tcW w:w="286" w:type="pct"/>
                  <w:vAlign w:val="center"/>
                </w:tcPr>
                <w:p/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污染 物排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放管控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水环境城镇生活重点管控区：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1.强化城中村、老旧城区和城乡结合部以及各级乡镇污水截流、收集，加强截污纳管力度；加快推进沿河乡镇生活污水集中处理设施建设及提标改造进度。推动城镇污水处理设施和服务向农村延伸，因地制宜采用纳管处理、集中处理、分散式处理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等模式加强城镇和农村生活污水治理的有效衔接；筛选并推广适合本地实际的农村生活污水治理实用技术和设施设备，收集管网建设与治理设施同步建设。加快雨污分流改造，雨水尾水处理设施建设，完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善污水收集管网建设。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Cs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项目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不产生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废水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  <w:lang w:eastAsia="zh-CN"/>
                    </w:rPr>
                    <w:t>。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</w:tbl>
          <w:p/>
        </w:tc>
      </w:tr>
    </w:tbl>
    <w:p>
      <w:pPr>
        <w:sectPr>
          <w:headerReference w:type="default" r:id="rId16"/>
          <w:footerReference w:type="even" r:id="rId17"/>
          <w:footerReference w:type="default" r:id="rId18"/>
          <w:type w:val="nextPage"/>
          <w:pgSz w:w="11907" w:h="16840"/>
          <w:pgMar w:top="1701" w:right="1531" w:bottom="2127" w:left="1531" w:header="851" w:footer="851" w:gutter="0"/>
          <w:pgNumType w:fmt="decimal" w:start="4"/>
          <w:cols w:space="708"/>
          <w:titlePg w:val="0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839"/>
          <w:jc w:val="center"/>
        </w:trPr>
        <w:tc>
          <w:tcPr>
            <w:tcW w:w="839" w:type="pct"/>
            <w:vAlign w:val="center"/>
          </w:tcPr>
          <w:p/>
        </w:tc>
        <w:tc>
          <w:tcPr>
            <w:tcW w:w="4160" w:type="pct"/>
            <w:vAlign w:val="center"/>
          </w:tcPr>
          <w:tbl>
            <w:tblPr>
              <w:tblStyle w:val="22"/>
              <w:tblW w:w="5000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309"/>
              <w:gridCol w:w="326"/>
              <w:gridCol w:w="353"/>
              <w:gridCol w:w="840"/>
              <w:gridCol w:w="735"/>
              <w:gridCol w:w="586"/>
              <w:gridCol w:w="1419"/>
              <w:gridCol w:w="674"/>
              <w:gridCol w:w="1633"/>
              <w:gridCol w:w="417"/>
            </w:tblGrid>
            <w:tr>
              <w:tblPrEx>
                <w:tblW w:w="5000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环境 风险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防控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eastAsia="宋体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461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Cs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资源 开发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效率要求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eastAsia="宋体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Cs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 w:val="restar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大气环境受体 敏感重点管控 区</w:t>
                  </w: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空间布局约束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大气环境受体敏感重点管控区：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1.加快城市建成区重污染企业搬迁改造或关闭退出。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危废暂存过程排放非甲烷总烃量较小，废气排放能够满足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《挥发性有机物无组织排放控制标准》（GB37822-2019）及《大气污染物综合排放标准》（GB16297-1996）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中相关限值要求。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污染 物排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放管控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大气环境受体敏感重点管控区：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leftChars="-50" w:rightChars="-50"/>
                    <w:jc w:val="both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1.区域内现有企业采用先进生产工艺、严格落实污染治理设施。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both"/>
                    <w:textAlignment w:val="auto"/>
                    <w:rPr>
                      <w:rFonts w:hint="default"/>
                      <w:b w:val="0"/>
                      <w:bCs w:val="0"/>
                      <w:snapToGrid w:val="0"/>
                      <w:color w:val="auto"/>
                      <w:kern w:val="0"/>
                    </w:rPr>
                  </w:pP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危废暂存过程排放非甲烷总烃量较小，废气排放能够满足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《挥发性有机物无组织排放控制标准》（GB37822-2019）及《大气污染物综合排放标准》（GB16297-1996）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中相关限值要求。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环境 风险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防控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eastAsia="宋体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</w:rPr>
                  </w:pPr>
                  <w:r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jc w:val="center"/>
              </w:trPr>
              <w:tc>
                <w:tcPr>
                  <w:tcW w:w="21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2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242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75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503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40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 xml:space="preserve">资源 开发 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效率要求</w:t>
                  </w:r>
                </w:p>
              </w:tc>
              <w:tc>
                <w:tcPr>
                  <w:tcW w:w="972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eastAsia="宋体" w:cs="Times New Roman"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461" w:type="pct"/>
                  <w:vMerge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color w:val="auto"/>
                    </w:rPr>
                  </w:pPr>
                </w:p>
              </w:tc>
              <w:tc>
                <w:tcPr>
                  <w:tcW w:w="1119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</w:rPr>
                  </w:pPr>
                  <w:r>
                    <w:rPr>
                      <w:rFonts w:hint="eastAsia"/>
                      <w:b w:val="0"/>
                      <w:bCs w:val="0"/>
                      <w:snapToGrid w:val="0"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286" w:type="pct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tabs>
                      <w:tab w:val="left" w:pos="265"/>
                    </w:tabs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line="240" w:lineRule="auto"/>
                    <w:ind w:left="-105" w:right="-105" w:firstLine="0" w:leftChars="-50" w:rightChars="-50" w:firstLineChars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hint="eastAsia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spacing w:line="360" w:lineRule="auto"/>
              <w:ind w:firstLine="480" w:firstLineChars="200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（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zh-CN" w:eastAsia="zh-CN" w:bidi="ar-SA"/>
              </w:rPr>
              <w:t>）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一说明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left"/>
              <w:textAlignment w:val="auto"/>
              <w:rPr>
                <w:rFonts w:hint="default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本项目位于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延安市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“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三线一单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”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生态环境分区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中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重点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管控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单元，对照表1-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中的管控要求，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项目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en-US" w:eastAsia="zh-CN" w:bidi="ar-SA"/>
              </w:rPr>
              <w:t>建设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符合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延安市生态环境准入清单中</w:t>
            </w:r>
            <w:r>
              <w:rPr>
                <w:rFonts w:eastAsia="宋体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重点管控单元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的</w:t>
            </w:r>
            <w:r>
              <w:rPr>
                <w:rFonts w:ascii="Times New Roman" w:eastAsia="宋体" w:hAnsi="Times New Roman" w:cs="Times New Roman" w:hint="default"/>
                <w:color w:val="auto"/>
                <w:kern w:val="2"/>
                <w:sz w:val="24"/>
                <w:szCs w:val="24"/>
                <w:lang w:val="zh-CN" w:eastAsia="zh-CN" w:bidi="ar-SA"/>
              </w:rPr>
              <w:t>环境分区管控的要求</w:t>
            </w:r>
            <w:r>
              <w:rPr>
                <w:rFonts w:ascii="Times New Roman" w:eastAsia="宋体" w:hAnsi="Times New Roman" w:cs="Times New Roman" w:hint="eastAsia"/>
                <w:color w:val="auto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  <w:p>
            <w:pPr>
              <w:pStyle w:val="12"/>
              <w:spacing w:line="360" w:lineRule="auto"/>
              <w:ind w:firstLine="480"/>
              <w:rPr>
                <w:rFonts w:ascii="Times New Roman" w:hAnsi="Times New Roman"/>
                <w:color w:val="auto"/>
                <w:sz w:val="24"/>
                <w:lang w:val="zh-CN"/>
              </w:rPr>
            </w:pP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（</w:t>
            </w:r>
            <w:r>
              <w:rPr>
                <w:rFonts w:ascii="Times New Roman" w:hAnsi="Times New Roman" w:hint="eastAsia"/>
                <w:color w:val="auto"/>
                <w:sz w:val="24"/>
                <w:lang w:val="en-US" w:eastAsia="zh-CN"/>
              </w:rPr>
              <w:t>4</w:t>
            </w: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）与</w:t>
            </w:r>
            <w:r>
              <w:rPr>
                <w:rFonts w:ascii="Times New Roman" w:hAnsi="Times New Roman" w:hint="eastAsia"/>
                <w:color w:val="auto"/>
                <w:sz w:val="24"/>
                <w:lang w:val="en-US" w:eastAsia="zh-CN"/>
              </w:rPr>
              <w:t>延安</w:t>
            </w: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市“三线一单”的符合性分析</w:t>
            </w:r>
          </w:p>
          <w:p>
            <w:pPr>
              <w:pStyle w:val="12"/>
              <w:spacing w:line="360" w:lineRule="auto"/>
              <w:ind w:firstLine="480"/>
              <w:rPr>
                <w:rFonts w:ascii="Times New Roman" w:hAnsi="Times New Roman"/>
                <w:color w:val="auto"/>
                <w:sz w:val="24"/>
                <w:lang w:val="zh-CN"/>
              </w:rPr>
            </w:pP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项目与</w:t>
            </w:r>
            <w:r>
              <w:rPr>
                <w:rFonts w:ascii="Times New Roman" w:hAnsi="Times New Roman" w:hint="eastAsia"/>
                <w:color w:val="auto"/>
                <w:sz w:val="24"/>
                <w:lang w:val="en-US" w:eastAsia="zh-CN"/>
              </w:rPr>
              <w:t>延安市</w:t>
            </w: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“三线一单”的符合性分析见表1-</w:t>
            </w:r>
            <w:r>
              <w:rPr>
                <w:rFonts w:ascii="Times New Roman" w:hAnsi="Times New Roman" w:hint="eastAsia"/>
                <w:color w:val="auto"/>
                <w:sz w:val="24"/>
                <w:lang w:val="en-US" w:eastAsia="zh-CN"/>
              </w:rPr>
              <w:t>3</w:t>
            </w:r>
            <w:r>
              <w:rPr>
                <w:rFonts w:ascii="Times New Roman" w:hAnsi="Times New Roman"/>
                <w:color w:val="auto"/>
                <w:sz w:val="24"/>
                <w:lang w:val="zh-CN"/>
              </w:rPr>
              <w:t>。</w:t>
            </w:r>
          </w:p>
          <w:p>
            <w:pPr>
              <w:ind w:firstLine="482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表1-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3</w:t>
            </w:r>
            <w:r>
              <w:rPr>
                <w:b/>
                <w:bCs/>
                <w:color w:val="auto"/>
              </w:rPr>
              <w:t xml:space="preserve">    </w:t>
            </w:r>
            <w:r>
              <w:rPr>
                <w:rFonts w:hint="eastAsia"/>
                <w:b/>
                <w:bCs/>
                <w:color w:val="auto"/>
                <w:lang w:eastAsia="zh-CN"/>
              </w:rPr>
              <w:t>本项目</w:t>
            </w:r>
            <w:r>
              <w:rPr>
                <w:b/>
                <w:bCs/>
                <w:color w:val="auto"/>
              </w:rPr>
              <w:t>“三线一单”符合性分析</w:t>
            </w:r>
          </w:p>
        </w:tc>
      </w:tr>
    </w:tbl>
    <w:p>
      <w:pPr>
        <w:sectPr>
          <w:headerReference w:type="default" r:id="rId19"/>
          <w:footerReference w:type="even" r:id="rId20"/>
          <w:footerReference w:type="default" r:id="rId21"/>
          <w:type w:val="nextPage"/>
          <w:pgSz w:w="11907" w:h="16840"/>
          <w:pgMar w:top="1701" w:right="1531" w:bottom="2127" w:left="1531" w:header="851" w:footer="851" w:gutter="0"/>
          <w:pgNumType w:fmt="decimal" w:start="5"/>
          <w:cols w:space="708"/>
          <w:titlePg w:val="0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839"/>
          <w:jc w:val="center"/>
        </w:trPr>
        <w:tc>
          <w:tcPr>
            <w:tcW w:w="839" w:type="pct"/>
            <w:vAlign w:val="center"/>
          </w:tcPr>
          <w:p/>
        </w:tc>
        <w:tc>
          <w:tcPr>
            <w:tcW w:w="4160" w:type="pct"/>
            <w:vAlign w:val="center"/>
          </w:tcPr>
          <w:tbl>
            <w:tblPr>
              <w:tblStyle w:val="TableNormal"/>
              <w:tblW w:w="5000" w:type="pct"/>
              <w:jc w:val="center"/>
              <w:tblInd w:w="11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797"/>
              <w:gridCol w:w="5872"/>
              <w:gridCol w:w="623"/>
            </w:tblGrid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5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  <w:t>名称</w:t>
                  </w:r>
                </w:p>
              </w:tc>
              <w:tc>
                <w:tcPr>
                  <w:tcW w:w="40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  <w:t>相关规定</w:t>
                  </w:r>
                </w:p>
              </w:tc>
              <w:tc>
                <w:tcPr>
                  <w:tcW w:w="4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bCs/>
                      <w:color w:val="auto"/>
                      <w:kern w:val="24"/>
                      <w:szCs w:val="21"/>
                    </w:rPr>
                    <w:t>符合性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5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生态保护红线</w:t>
                  </w:r>
                </w:p>
              </w:tc>
              <w:tc>
                <w:tcPr>
                  <w:tcW w:w="40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42" w:right="-42" w:firstLine="0" w:leftChars="-20" w:rightChars="-20" w:firstLineChars="0"/>
                    <w:jc w:val="both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val="en-US" w:eastAsia="zh-CN"/>
                    </w:rPr>
                    <w:t>本项目位于</w:t>
                  </w:r>
                  <w:r>
                    <w:rPr>
                      <w:rFonts w:ascii="Times New Roman" w:hAnsi="Times New Roman" w:hint="default"/>
                      <w:color w:val="auto"/>
                      <w:kern w:val="24"/>
                      <w:szCs w:val="21"/>
                      <w:lang w:val="en-US" w:eastAsia="zh-CN"/>
                    </w:rPr>
                    <w:t>陕西省延安市宝塔区延安水务环保集团检测技术服务有限公司内，项目用地不新增</w:t>
                  </w: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val="en-US" w:eastAsia="zh-CN"/>
                    </w:rPr>
                    <w:t>。且</w:t>
                  </w: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不触及生态保护红线。</w:t>
                  </w:r>
                </w:p>
              </w:tc>
              <w:tc>
                <w:tcPr>
                  <w:tcW w:w="4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符合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5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环境质量底线</w:t>
                  </w:r>
                </w:p>
              </w:tc>
              <w:tc>
                <w:tcPr>
                  <w:tcW w:w="40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napToGrid w:val="0"/>
                    <w:jc w:val="left"/>
                    <w:rPr>
                      <w:color w:val="auto"/>
                      <w:kern w:val="24"/>
                    </w:rPr>
                  </w:pPr>
                  <w:r>
                    <w:rPr>
                      <w:rFonts w:ascii="Times New Roman" w:hAnsi="Times New Roman" w:hint="eastAsia"/>
                      <w:b w:val="0"/>
                      <w:bCs w:val="0"/>
                      <w:color w:val="auto"/>
                      <w:szCs w:val="21"/>
                      <w:highlight w:val="none"/>
                      <w:lang w:val="en-US" w:eastAsia="zh-CN"/>
                    </w:rPr>
                    <w:t>根据</w:t>
                  </w:r>
                  <w:r>
                    <w:rPr>
                      <w:rFonts w:ascii="Times New Roman" w:hAnsi="Times New Roman" w:hint="eastAsia"/>
                      <w:b w:val="0"/>
                      <w:bCs w:val="0"/>
                      <w:color w:val="auto"/>
                      <w:szCs w:val="21"/>
                      <w:highlight w:val="none"/>
                    </w:rPr>
                    <w:t>陕西省环境保护厅办公室2023年1月18日发布的《环保快报》</w:t>
                  </w:r>
                  <w:r>
                    <w:rPr>
                      <w:rFonts w:ascii="Times New Roman" w:hAnsi="Times New Roman" w:hint="eastAsia"/>
                      <w:b w:val="0"/>
                      <w:bCs w:val="0"/>
                      <w:color w:val="auto"/>
                      <w:szCs w:val="21"/>
                      <w:highlight w:val="none"/>
                      <w:lang w:eastAsia="zh-CN"/>
                    </w:rPr>
                    <w:t>中</w:t>
                  </w:r>
                  <w:r>
                    <w:rPr>
                      <w:rFonts w:ascii="Times New Roman" w:hAnsi="Times New Roman" w:hint="eastAsia"/>
                      <w:b w:val="0"/>
                      <w:bCs w:val="0"/>
                      <w:color w:val="auto"/>
                      <w:szCs w:val="21"/>
                      <w:highlight w:val="none"/>
                      <w:lang w:val="en-US" w:eastAsia="zh-CN"/>
                    </w:rPr>
                    <w:t>宝塔区</w:t>
                  </w:r>
                  <w:r>
                    <w:rPr>
                      <w:rFonts w:ascii="Times New Roman" w:hAnsi="Times New Roman" w:hint="eastAsia"/>
                      <w:b w:val="0"/>
                      <w:bCs w:val="0"/>
                      <w:color w:val="auto"/>
                      <w:szCs w:val="21"/>
                      <w:highlight w:val="none"/>
                    </w:rPr>
                    <w:t>的数据，项目所在地区域环境空气质量达标。</w:t>
                  </w: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项目运营期各类污染物在采取评价提出的各项污染防治措施后，满足达标排放要求，对周边的影响较小，不触及环境质量底线。</w:t>
                  </w:r>
                </w:p>
              </w:tc>
              <w:tc>
                <w:tcPr>
                  <w:tcW w:w="4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符合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5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资源利用上线</w:t>
                  </w:r>
                </w:p>
              </w:tc>
              <w:tc>
                <w:tcPr>
                  <w:tcW w:w="40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42" w:right="-42" w:firstLine="0" w:leftChars="-20" w:rightChars="-20" w:firstLineChars="0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项目运营过程中主要能源消耗为</w:t>
                  </w: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val="en-US" w:eastAsia="zh-CN"/>
                    </w:rPr>
                    <w:t>电</w:t>
                  </w: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，</w:t>
                  </w: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val="en-US" w:eastAsia="zh-CN"/>
                    </w:rPr>
                    <w:t>依托</w:t>
                  </w:r>
                  <w:r>
                    <w:rPr>
                      <w:rFonts w:ascii="Times New Roman" w:hAnsi="Times New Roman" w:hint="default"/>
                      <w:color w:val="auto"/>
                      <w:kern w:val="24"/>
                      <w:szCs w:val="21"/>
                      <w:lang w:val="en-US" w:eastAsia="zh-CN"/>
                    </w:rPr>
                    <w:t>延安水务环保集团检测技术服务有限公司</w:t>
                  </w: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val="en-US" w:eastAsia="zh-CN"/>
                    </w:rPr>
                    <w:t>供电系统，来自市政供电网</w:t>
                  </w: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，能源消耗合理，不触及资源利用上线。</w:t>
                  </w:r>
                </w:p>
              </w:tc>
              <w:tc>
                <w:tcPr>
                  <w:tcW w:w="4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符合</w:t>
                  </w:r>
                </w:p>
              </w:tc>
            </w:tr>
            <w:tr>
              <w:tblPrEx>
                <w:tblW w:w="5000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5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环境准入负面清单</w:t>
                  </w:r>
                </w:p>
              </w:tc>
              <w:tc>
                <w:tcPr>
                  <w:tcW w:w="40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42" w:right="-42" w:firstLine="0" w:leftChars="-20" w:rightChars="-20" w:firstLineChars="0"/>
                    <w:jc w:val="both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 w:hint="eastAsia"/>
                      <w:color w:val="auto"/>
                      <w:kern w:val="24"/>
                      <w:szCs w:val="21"/>
                      <w:lang w:eastAsia="zh-CN"/>
                    </w:rPr>
                    <w:t>本项目</w:t>
                  </w: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不在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《陕西省限制投资类产业指导目录》（陕发改产业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eastAsia="zh-CN"/>
                    </w:rPr>
                    <w:t>〔2007〕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97号）内，不属于《市场准入负面清单（202</w:t>
                  </w:r>
                  <w:r>
                    <w:rPr>
                      <w:rFonts w:ascii="Times New Roman" w:hAnsi="Times New Roman" w:cs="Times New Roman" w:hint="eastAsia"/>
                      <w:bCs/>
                      <w:color w:val="auto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cs="Times New Roman" w:hint="default"/>
                      <w:bCs/>
                      <w:color w:val="auto"/>
                    </w:rPr>
                    <w:t>年版）》中禁止准入类及许可准入类项目</w:t>
                  </w:r>
                  <w:r>
                    <w:rPr>
                      <w:rFonts w:ascii="Times New Roman" w:hAnsi="Times New Roman"/>
                      <w:color w:val="auto"/>
                      <w:kern w:val="0"/>
                      <w:szCs w:val="21"/>
                    </w:rPr>
                    <w:t>。</w:t>
                  </w:r>
                </w:p>
              </w:tc>
              <w:tc>
                <w:tcPr>
                  <w:tcW w:w="4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pStyle w:val="12"/>
                    <w:adjustRightInd w:val="0"/>
                    <w:snapToGrid w:val="0"/>
                    <w:ind w:left="-105" w:right="-105" w:firstLine="0" w:leftChars="-50" w:rightChars="-50" w:firstLineChars="0"/>
                    <w:jc w:val="center"/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</w:pPr>
                  <w:r>
                    <w:rPr>
                      <w:rFonts w:ascii="Times New Roman" w:hAnsi="Times New Roman"/>
                      <w:color w:val="auto"/>
                      <w:kern w:val="24"/>
                      <w:szCs w:val="21"/>
                    </w:rPr>
                    <w:t>符合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contextualSpacing/>
              <w:jc w:val="left"/>
              <w:textAlignment w:val="auto"/>
              <w:rPr>
                <w:rFonts w:hint="eastAsia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 w:val="0"/>
                <w:color w:val="auto"/>
                <w:sz w:val="24"/>
                <w:szCs w:val="24"/>
                <w:lang w:val="en-US" w:eastAsia="zh-CN"/>
              </w:rPr>
              <w:t>3、与相关生态环境保护法律法规政策符合性分析</w:t>
            </w:r>
          </w:p>
          <w:p>
            <w:pPr>
              <w:pStyle w:val="a9"/>
              <w:ind w:firstLine="480" w:firstLineChars="200"/>
              <w:rPr>
                <w:rFonts w:ascii="Times New Roman" w:eastAsia="宋体" w:hAnsi="Times New Roman" w:hint="default"/>
                <w:bCs/>
                <w:color w:val="auto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  <w:lang w:val="en-US" w:eastAsia="zh-CN"/>
              </w:rPr>
              <w:t>（1）</w:t>
            </w:r>
            <w:r>
              <w:rPr>
                <w:rFonts w:ascii="Times New Roman" w:eastAsia="宋体" w:hAnsi="Times New Roman" w:cs="Times New Roman" w:hint="default"/>
                <w:color w:val="auto"/>
              </w:rPr>
              <w:t>本项目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</w:rPr>
              <w:t>与《危险废物贮存污染控制标准》（GB18597-20</w:t>
            </w:r>
            <w:r>
              <w:rPr>
                <w:rFonts w:ascii="Times New Roman" w:eastAsia="宋体" w:hAnsi="Times New Roman" w:cs="Times New Roman" w:hint="eastAsia"/>
                <w:bCs/>
                <w:color w:val="auto"/>
                <w:lang w:val="en-US" w:eastAsia="zh-CN"/>
              </w:rPr>
              <w:t>23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</w:rPr>
              <w:t>）的相符性分析见表</w:t>
            </w:r>
            <w:r>
              <w:rPr>
                <w:rFonts w:ascii="Times New Roman" w:eastAsia="宋体" w:hAnsi="Times New Roman" w:cs="Times New Roman" w:hint="eastAsia"/>
                <w:bCs/>
                <w:color w:val="auto"/>
                <w:lang w:val="en-US" w:eastAsia="zh-CN"/>
              </w:rPr>
              <w:t>1-4</w:t>
            </w:r>
            <w:r>
              <w:rPr>
                <w:rFonts w:ascii="Times New Roman" w:eastAsia="宋体" w:hAnsi="Times New Roman" w:cs="Times New Roman" w:hint="default"/>
                <w:bCs/>
                <w:color w:val="auto"/>
              </w:rPr>
              <w:t>。</w:t>
            </w:r>
          </w:p>
          <w:p>
            <w:pPr>
              <w:adjustRightInd/>
              <w:snapToGrid/>
              <w:spacing w:after="0"/>
              <w:jc w:val="center"/>
              <w:rPr>
                <w:rFonts w:hint="default"/>
                <w:b/>
                <w:bCs/>
                <w:color w:val="auto"/>
              </w:rPr>
            </w:pP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</w:rPr>
              <w:t>表</w:t>
            </w:r>
            <w:r>
              <w:rPr>
                <w:rFonts w:ascii="Times New Roman" w:eastAsia="宋体" w:hAnsi="Times New Roman" w:cs="Times New Roman" w:hint="eastAsia"/>
                <w:b/>
                <w:bCs/>
                <w:color w:val="auto"/>
                <w:sz w:val="21"/>
                <w:szCs w:val="21"/>
                <w:lang w:val="en-US" w:eastAsia="zh-CN"/>
              </w:rPr>
              <w:t>1-</w:t>
            </w:r>
            <w:r>
              <w:rPr>
                <w:rFonts w:ascii="Times New Roman" w:hAnsi="Times New Roman" w:cs="Times New Roman" w:hint="eastAsia"/>
                <w:b/>
                <w:bCs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</w:rPr>
              <w:t xml:space="preserve">   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</w:rPr>
              <w:t>项目与《危险废物贮存污染控制标准》（GB18597-20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  <w:lang w:val="en-US" w:eastAsia="zh-CN"/>
              </w:rPr>
              <w:t>23</w:t>
            </w:r>
            <w:r>
              <w:rPr>
                <w:rFonts w:ascii="Times New Roman" w:eastAsia="宋体" w:hAnsi="Times New Roman" w:cs="Times New Roman" w:hint="default"/>
                <w:b/>
                <w:bCs/>
                <w:color w:val="auto"/>
                <w:sz w:val="21"/>
                <w:szCs w:val="21"/>
              </w:rPr>
              <w:t>）的相符性分析</w:t>
            </w:r>
          </w:p>
          <w:tbl>
            <w:tblPr>
              <w:tblStyle w:val="TableNormal"/>
              <w:tblW w:w="4999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622"/>
              <w:gridCol w:w="3310"/>
              <w:gridCol w:w="2770"/>
              <w:gridCol w:w="589"/>
            </w:tblGrid>
            <w:tr>
              <w:tblPrEx>
                <w:tblW w:w="4999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</w:rPr>
                    <w:t>《危险废物贮存污染控制标准》（GB18597-20</w:t>
                  </w: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  <w:lang w:val="en-US" w:eastAsia="zh-CN"/>
                    </w:rPr>
                    <w:t>23</w:t>
                  </w: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</w:rPr>
                    <w:t>）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</w:rPr>
                    <w:t>项目实际情况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b w:val="0"/>
                      <w:bCs w:val="0"/>
                      <w:color w:val="auto"/>
                      <w:sz w:val="21"/>
                      <w:szCs w:val="21"/>
                    </w:rPr>
                    <w:t>符合性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7138" w:type="dxa"/>
                  <w:gridSpan w:val="4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4总体要求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4.1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产生、收集、贮存、利用、处置危险废物的单位应建造危险废物贮存设施或设置贮存场所，并根据需要选择贮存设施类型。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项目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危废暂存间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  <w:lang w:val="en-US" w:eastAsia="zh-CN"/>
                    </w:rPr>
                    <w:t>设置在延安水务环保集团检测技术服务有限公司内，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用于暂存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  <w:lang w:val="en-US" w:eastAsia="zh-CN"/>
                    </w:rPr>
                    <w:t>延安水务环保集团检测技术服务有限公司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实验室产生的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实验废液、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废试剂瓶、废手套及废抹布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eastAsia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4.2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贮存危险废物应根据危险废物的类别、数量、形态、物理化学性质和环境风险等因素，确定贮存设施或场所类型和规模。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本项目已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根据危险废物的类别、数量、形态、物理化学性质和环境风险等因素，确定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设置1座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危废暂存间，设计存储规模为实验废液1t/a，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废试剂瓶0.05t/a，废手套及废抹布0.01t/a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4.3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贮存危险废物应根据危险废物的类别、形态、物理化学性质和污染防治要求进行分类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贮存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。目应避免危险废物与不相容的物质或材料接触。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将实验废液、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废试剂瓶、废手套及废抹布用收集桶分区暂存，不同实验废液采用不同收集桶分类暂存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。项目危废不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</w:tbl>
          <w:p/>
        </w:tc>
      </w:tr>
    </w:tbl>
    <w:p>
      <w:pPr>
        <w:sectPr>
          <w:headerReference w:type="default" r:id="rId22"/>
          <w:footerReference w:type="even" r:id="rId23"/>
          <w:footerReference w:type="default" r:id="rId24"/>
          <w:type w:val="nextPage"/>
          <w:pgSz w:w="11907" w:h="16840"/>
          <w:pgMar w:top="1701" w:right="1531" w:bottom="2127" w:left="1531" w:header="851" w:footer="851" w:gutter="0"/>
          <w:pgNumType w:fmt="decimal" w:start="6"/>
          <w:cols w:space="708"/>
          <w:titlePg w:val="0"/>
          <w:docGrid w:linePitch="312"/>
        </w:sectPr>
      </w:pPr>
    </w:p>
    <w:tbl>
      <w:tblPr>
        <w:tblStyle w:val="TableNormal"/>
        <w:tblW w:w="4985" w:type="pct"/>
        <w:jc w:val="center"/>
        <w:tblInd w:w="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6"/>
        <w:gridCol w:w="7518"/>
      </w:tblGrid>
      <w:tr>
        <w:tblPrEx>
          <w:tblW w:w="4985" w:type="pct"/>
          <w:jc w:val="center"/>
          <w:tblInd w:w="7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839"/>
          <w:jc w:val="center"/>
        </w:trPr>
        <w:tc>
          <w:tcPr>
            <w:tcW w:w="839" w:type="pct"/>
            <w:vAlign w:val="center"/>
          </w:tcPr>
          <w:p/>
        </w:tc>
        <w:tc>
          <w:tcPr>
            <w:tcW w:w="4160" w:type="pct"/>
            <w:vAlign w:val="center"/>
          </w:tcPr>
          <w:tbl>
            <w:tblPr>
              <w:tblStyle w:val="TableNormal"/>
              <w:tblW w:w="4999" w:type="pct"/>
              <w:jc w:val="center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622"/>
              <w:gridCol w:w="3310"/>
              <w:gridCol w:w="2770"/>
              <w:gridCol w:w="589"/>
            </w:tblGrid>
            <w:tr>
              <w:tblPrEx>
                <w:tblW w:w="4999" w:type="pct"/>
                <w:jc w:val="center"/>
                <w:tblInd w:w="113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/>
              </w:tc>
              <w:tc>
                <w:tcPr>
                  <w:tcW w:w="3241" w:type="dxa"/>
                  <w:vAlign w:val="center"/>
                </w:tcPr>
                <w:p/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与不相容的物质或材料接触。</w:t>
                  </w:r>
                </w:p>
              </w:tc>
              <w:tc>
                <w:tcPr>
                  <w:tcW w:w="577" w:type="dxa"/>
                  <w:vAlign w:val="center"/>
                </w:tcPr>
                <w:p/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4.4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贮存危险废物应根据危险废物的形态、物理化学性质、包装形式和污染物迁移途径，采取措施减少渗滤液及其衍生废物、渗漏的液态废物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简称渗漏液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）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、粉尘、VOCs、酸雾、有毒有害大气污染物和刺激性气味气体等污染物的产生，防止其污染环境。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eastAsia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将实验废液、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废试剂瓶、废手套及废抹布用收集桶分区暂存，不同实验废液采用不同收集桶分类暂存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。不产生渗滤液及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其衍生废物液态废物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、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渗漏液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eastAsia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项目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实验废液暂存区设置围堰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，事故状态下泄漏的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实验废液可及时收集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项目主要产生的大气污染物为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VOCs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以非甲烷总烃计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），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收集桶密闭暂存后无组织排放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Cs w:val="24"/>
                      <w:lang w:val="en-US" w:eastAsia="zh-CN"/>
                    </w:rPr>
                    <w:t>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4.5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危险废物贮存过程产生的液态废物和固态废物应分类收集，按其环境管理要求妥善处理。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本项目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将实验废液、</w:t>
                  </w:r>
                  <w:r>
                    <w:rPr>
                      <w:rFonts w:ascii="Times New Roman" w:eastAsia="宋体" w:hAnsi="Times New Roman" w:cs="Times New Roman" w:hint="eastAsia"/>
                      <w:bCs/>
                      <w:color w:val="auto"/>
                      <w:sz w:val="21"/>
                      <w:szCs w:val="21"/>
                      <w:lang w:val="en-US" w:eastAsia="zh-CN"/>
                    </w:rPr>
                    <w:t>废试剂瓶、废手套及废抹布用收集桶分区暂存，不同实验废液采用不同收集桶分类暂存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。均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按其环境管理要求妥善处理。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4.6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贮存设施或场所、容器和包装物应按HJ1276要求设置危险废物贮存设施或场所标志、危险废物贮存分区标志和危险废物标签等危险废物识别标志。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eastAsia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本项目危废暂存间及危废收集桶均按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HJ1276要求粘贴标志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4.7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HJ1259规定的危险废物环境重点监管单位，应采用电子地磅、电子标签、电子管理台账等技术手段对危险废物贮存过程进行信息化管理，确保数据完整、真实、准确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；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采用视频监控的应确保监控画面清晰，视频记录保存时间至少为3个月。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根据《危险废物管理计划和管理台账制定技术导则》（HJ1259-2022），本项目危废暂存间属于危险废物简化管理单位。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4.8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贮存设施退役时，所有者或运营者应依法履行环境保护责任，退役前应妥善处理处置贮存设施内剩余的危险废物，并对贮存设施进行清理，消除污染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；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还应依据土壤污染防治相关法律法规履行场地环境风险防控责任。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eastAsia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本项目危废暂存间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退役时，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环评要求建设单位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依法履行环境保护责任，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并在</w:t>
                  </w: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危废暂存间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退役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前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妥善处理处置贮存设施内剩余的危险废物，并对贮存设施进行清理，消除污染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；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并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依据土壤污染防治相关法律法规履行场地环境风险防控责任。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  <w:tr>
              <w:tblPrEx>
                <w:tblW w:w="4999" w:type="pct"/>
                <w:jc w:val="center"/>
                <w:tblInd w:w="113" w:type="dxa"/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/>
              </w:tblPrEx>
              <w:trPr>
                <w:trHeight w:val="340"/>
                <w:jc w:val="center"/>
              </w:trPr>
              <w:tc>
                <w:tcPr>
                  <w:tcW w:w="608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4.9</w:t>
                  </w:r>
                </w:p>
              </w:tc>
              <w:tc>
                <w:tcPr>
                  <w:tcW w:w="3241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在常温常压下易爆、易燃及排出有毒气体的危险废物应进行预处理，使之稳定后贮存，否则应按易爆、易燃危险品贮存。</w:t>
                  </w:r>
                </w:p>
              </w:tc>
              <w:tc>
                <w:tcPr>
                  <w:tcW w:w="2712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both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本项目危废暂存过程中主要产生的大气污染物为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VOCs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以非甲烷总烃计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eastAsia="zh-CN"/>
                    </w:rPr>
                    <w:t>），</w:t>
                  </w:r>
                  <w:r>
                    <w:rPr>
                      <w:rFonts w:ascii="Times New Roman" w:eastAsia="宋体" w:hAnsi="Times New Roman" w:cs="Times New Roman" w:hint="eastAsia"/>
                      <w:color w:val="auto"/>
                      <w:sz w:val="21"/>
                      <w:szCs w:val="21"/>
                      <w:lang w:val="en-US" w:eastAsia="zh-CN"/>
                    </w:rPr>
                    <w:t>项目危废按照</w:t>
                  </w: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易爆、易燃危险品贮存。</w:t>
                  </w:r>
                </w:p>
              </w:tc>
              <w:tc>
                <w:tcPr>
                  <w:tcW w:w="57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after="0"/>
                    <w:jc w:val="center"/>
                    <w:textAlignment w:val="auto"/>
                    <w:rPr>
                      <w:rFonts w:hint="default"/>
                      <w:color w:val="auto"/>
                    </w:rPr>
                  </w:pPr>
                  <w:r>
                    <w:rPr>
                      <w:rFonts w:ascii="Times New Roman" w:eastAsia="宋体" w:hAnsi="Times New Roman" w:cs="Times New Roman" w:hint="default"/>
                      <w:color w:val="auto"/>
                      <w:sz w:val="21"/>
                      <w:szCs w:val="21"/>
                    </w:rPr>
                    <w:t>符合</w:t>
                  </w:r>
                </w:p>
              </w:tc>
            </w:tr>
          </w:tbl>
          <w:p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https://d.book118.com/615023022100011124</w:t>
        </w:r>
      </w:hyperlink>
    </w:p>
    <w:p/>
    <w:sectPr>
      <w:headerReference w:type="default" r:id="rId26"/>
      <w:footerReference w:type="even" r:id="rId27"/>
      <w:footerReference w:type="default" r:id="rId28"/>
      <w:type w:val="nextPage"/>
      <w:pgSz w:w="11907" w:h="16840"/>
      <w:pgMar w:top="1701" w:right="1531" w:bottom="2127" w:left="1531" w:header="851" w:footer="851" w:gutter="0"/>
      <w:pgNumType w:fmt="decimal" w:start="7"/>
      <w:cols w:space="708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C0001" w:csb1="00000000"/>
    <w:embedRegular r:id="rId1" w:subsetted="1" w:fontKey="{A220C5F6-840C-41CF-829C-0F3B761EE0C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subsetted="1" w:fontKey="{6F972080-3971-49F5-82AE-77DC18FB222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SimSun">
    <w:charset w:val="00"/>
    <w:family w:val="auto"/>
    <w:pitch w:val="default"/>
    <w:sig w:usb0="00000000" w:usb1="00000000" w:usb2="00000000" w:usb3="00000000" w:csb0="00000001" w:csb1="00000000"/>
    <w:embedRegular r:id="rId3" w:subsetted="1" w:fontKey="{2F29A76C-CF7A-4DA6-BFA8-CEB06591973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1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2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3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5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5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6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0" o:spid="_x0000_s2055" type="#_x0000_t202" style="width:2in;height:2in;margin-top:0;margin-left:0;mso-position-horizontal:center;mso-position-horizontal-relative:margin;mso-wrap-style:none;position:absolute;v-text-anchor:top;z-index:25166438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Times New Roman" w:eastAsia="宋体" w:hAnsi="Times New Roman" w:cs="Times New Roman" w:hint="default"/>
                    <w:lang w:eastAsia="zh-CN"/>
                  </w:rPr>
                </w:pP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begin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separate"/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t>8</w:t>
                </w:r>
                <w:r>
                  <w:rPr>
                    <w:rFonts w:ascii="Times New Roman" w:hAnsi="Times New Roman" w:cs="Times New Roman" w:hint="default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6C8B5"/>
    <w:multiLevelType w:val="singleLevel"/>
    <w:tmpl w:val="54C6C8B5"/>
    <w:lvl w:ilvl="0">
      <w:start w:val="1"/>
      <w:numFmt w:val="decimal"/>
      <w:suff w:val="nothing"/>
      <w:lvlText w:val="（%1）"/>
      <w:lvlJc w:val="left"/>
      <w:pPr>
        <w:ind w:left="15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TrueTypeFonts/>
  <w:saveSubsetFonts/>
  <w:stylePaneFormatFilter w:val="3F01"/>
  <w:documentProtection w:edit="trackedChanges" w:enforcement="0"/>
  <w:defaultTabStop w:val="420"/>
  <w:doNotHyphenateCap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EmbedSmartTags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60B3"/>
    <w:rsid w:val="0004364B"/>
    <w:rsid w:val="00061B1F"/>
    <w:rsid w:val="000733C4"/>
    <w:rsid w:val="00074783"/>
    <w:rsid w:val="0008070B"/>
    <w:rsid w:val="000810AC"/>
    <w:rsid w:val="00081A02"/>
    <w:rsid w:val="00082231"/>
    <w:rsid w:val="00092D38"/>
    <w:rsid w:val="0009377B"/>
    <w:rsid w:val="000A20C9"/>
    <w:rsid w:val="000B058F"/>
    <w:rsid w:val="000B4467"/>
    <w:rsid w:val="000B4DB9"/>
    <w:rsid w:val="000C09AC"/>
    <w:rsid w:val="000C767F"/>
    <w:rsid w:val="000D5A44"/>
    <w:rsid w:val="000E31FA"/>
    <w:rsid w:val="000E3ED2"/>
    <w:rsid w:val="00131F42"/>
    <w:rsid w:val="001357F1"/>
    <w:rsid w:val="00140FA8"/>
    <w:rsid w:val="00142FEB"/>
    <w:rsid w:val="00143A2D"/>
    <w:rsid w:val="00145A41"/>
    <w:rsid w:val="00151675"/>
    <w:rsid w:val="00157435"/>
    <w:rsid w:val="0017504D"/>
    <w:rsid w:val="0017671A"/>
    <w:rsid w:val="00177422"/>
    <w:rsid w:val="00184590"/>
    <w:rsid w:val="00184D49"/>
    <w:rsid w:val="001870D1"/>
    <w:rsid w:val="0018781E"/>
    <w:rsid w:val="0019262D"/>
    <w:rsid w:val="001A1B35"/>
    <w:rsid w:val="001A48A2"/>
    <w:rsid w:val="001A6F61"/>
    <w:rsid w:val="001B72B8"/>
    <w:rsid w:val="001C69B3"/>
    <w:rsid w:val="001D5595"/>
    <w:rsid w:val="001D7874"/>
    <w:rsid w:val="001D7F22"/>
    <w:rsid w:val="001F0F17"/>
    <w:rsid w:val="001F3347"/>
    <w:rsid w:val="001F69E4"/>
    <w:rsid w:val="002125B4"/>
    <w:rsid w:val="002155B8"/>
    <w:rsid w:val="00224839"/>
    <w:rsid w:val="002249B2"/>
    <w:rsid w:val="00226574"/>
    <w:rsid w:val="002278EC"/>
    <w:rsid w:val="0023280E"/>
    <w:rsid w:val="002377D1"/>
    <w:rsid w:val="002506BC"/>
    <w:rsid w:val="00254345"/>
    <w:rsid w:val="00264557"/>
    <w:rsid w:val="002805AB"/>
    <w:rsid w:val="00284204"/>
    <w:rsid w:val="00291773"/>
    <w:rsid w:val="002A168C"/>
    <w:rsid w:val="002A3DC7"/>
    <w:rsid w:val="002B49E2"/>
    <w:rsid w:val="002B7B00"/>
    <w:rsid w:val="002B7C44"/>
    <w:rsid w:val="002C2B17"/>
    <w:rsid w:val="002D3DD0"/>
    <w:rsid w:val="002E1F3A"/>
    <w:rsid w:val="002E298A"/>
    <w:rsid w:val="00301978"/>
    <w:rsid w:val="0030332C"/>
    <w:rsid w:val="003051C2"/>
    <w:rsid w:val="00312296"/>
    <w:rsid w:val="00314F0E"/>
    <w:rsid w:val="00321D8E"/>
    <w:rsid w:val="00325928"/>
    <w:rsid w:val="00332863"/>
    <w:rsid w:val="0033684D"/>
    <w:rsid w:val="00337B42"/>
    <w:rsid w:val="003414CD"/>
    <w:rsid w:val="00341B42"/>
    <w:rsid w:val="0034348F"/>
    <w:rsid w:val="00356653"/>
    <w:rsid w:val="0035743F"/>
    <w:rsid w:val="00357BE2"/>
    <w:rsid w:val="0036170C"/>
    <w:rsid w:val="00366E0F"/>
    <w:rsid w:val="00381A72"/>
    <w:rsid w:val="00384676"/>
    <w:rsid w:val="00390857"/>
    <w:rsid w:val="003A4BF3"/>
    <w:rsid w:val="003B420D"/>
    <w:rsid w:val="003C6C16"/>
    <w:rsid w:val="003D794D"/>
    <w:rsid w:val="003E3058"/>
    <w:rsid w:val="003E76A9"/>
    <w:rsid w:val="003F0809"/>
    <w:rsid w:val="003F6A8C"/>
    <w:rsid w:val="003F755C"/>
    <w:rsid w:val="00406F01"/>
    <w:rsid w:val="00416D50"/>
    <w:rsid w:val="00416FD5"/>
    <w:rsid w:val="00417772"/>
    <w:rsid w:val="00420E6A"/>
    <w:rsid w:val="00425A9E"/>
    <w:rsid w:val="00426D6B"/>
    <w:rsid w:val="00431E6C"/>
    <w:rsid w:val="00433CE7"/>
    <w:rsid w:val="00452738"/>
    <w:rsid w:val="00456091"/>
    <w:rsid w:val="00466321"/>
    <w:rsid w:val="00484B9B"/>
    <w:rsid w:val="004855F6"/>
    <w:rsid w:val="0048661E"/>
    <w:rsid w:val="00494670"/>
    <w:rsid w:val="004A3823"/>
    <w:rsid w:val="004B1D77"/>
    <w:rsid w:val="004E6946"/>
    <w:rsid w:val="004F1AD8"/>
    <w:rsid w:val="005039CB"/>
    <w:rsid w:val="0050558F"/>
    <w:rsid w:val="00506286"/>
    <w:rsid w:val="00510813"/>
    <w:rsid w:val="00511990"/>
    <w:rsid w:val="00511DE0"/>
    <w:rsid w:val="00514870"/>
    <w:rsid w:val="00514B9B"/>
    <w:rsid w:val="00517F02"/>
    <w:rsid w:val="00524303"/>
    <w:rsid w:val="005258A2"/>
    <w:rsid w:val="005401AE"/>
    <w:rsid w:val="00542E07"/>
    <w:rsid w:val="00545424"/>
    <w:rsid w:val="00554A7B"/>
    <w:rsid w:val="0055572C"/>
    <w:rsid w:val="0056106A"/>
    <w:rsid w:val="005720AE"/>
    <w:rsid w:val="00594D77"/>
    <w:rsid w:val="005969E4"/>
    <w:rsid w:val="005A06B7"/>
    <w:rsid w:val="005A1759"/>
    <w:rsid w:val="005A68A7"/>
    <w:rsid w:val="005D36AB"/>
    <w:rsid w:val="00617CC3"/>
    <w:rsid w:val="00621C19"/>
    <w:rsid w:val="006377A6"/>
    <w:rsid w:val="00637A3D"/>
    <w:rsid w:val="006411EF"/>
    <w:rsid w:val="00657473"/>
    <w:rsid w:val="006748B8"/>
    <w:rsid w:val="006775C3"/>
    <w:rsid w:val="0069290A"/>
    <w:rsid w:val="0069775A"/>
    <w:rsid w:val="00697813"/>
    <w:rsid w:val="006A3EE8"/>
    <w:rsid w:val="006A72BF"/>
    <w:rsid w:val="006B03F2"/>
    <w:rsid w:val="006B37DC"/>
    <w:rsid w:val="006B4F68"/>
    <w:rsid w:val="006C0592"/>
    <w:rsid w:val="006C272E"/>
    <w:rsid w:val="006C5479"/>
    <w:rsid w:val="006D13B5"/>
    <w:rsid w:val="006E12FF"/>
    <w:rsid w:val="006E607E"/>
    <w:rsid w:val="00706C5D"/>
    <w:rsid w:val="00732922"/>
    <w:rsid w:val="0075162E"/>
    <w:rsid w:val="00754034"/>
    <w:rsid w:val="00756556"/>
    <w:rsid w:val="007618C4"/>
    <w:rsid w:val="00767980"/>
    <w:rsid w:val="00770B19"/>
    <w:rsid w:val="0077463F"/>
    <w:rsid w:val="007836EA"/>
    <w:rsid w:val="00784CDA"/>
    <w:rsid w:val="007906C4"/>
    <w:rsid w:val="007940EA"/>
    <w:rsid w:val="007967E8"/>
    <w:rsid w:val="007A2170"/>
    <w:rsid w:val="007A22BF"/>
    <w:rsid w:val="007A3323"/>
    <w:rsid w:val="007B5141"/>
    <w:rsid w:val="007B72B8"/>
    <w:rsid w:val="007B7A58"/>
    <w:rsid w:val="007C21B5"/>
    <w:rsid w:val="007E4BD2"/>
    <w:rsid w:val="00801393"/>
    <w:rsid w:val="00802F88"/>
    <w:rsid w:val="0081293E"/>
    <w:rsid w:val="00815465"/>
    <w:rsid w:val="00817E9A"/>
    <w:rsid w:val="008306BD"/>
    <w:rsid w:val="00831A80"/>
    <w:rsid w:val="00833743"/>
    <w:rsid w:val="008340A4"/>
    <w:rsid w:val="0087135F"/>
    <w:rsid w:val="00872D94"/>
    <w:rsid w:val="00880364"/>
    <w:rsid w:val="00891592"/>
    <w:rsid w:val="00891E9E"/>
    <w:rsid w:val="008A2F68"/>
    <w:rsid w:val="008B4FA6"/>
    <w:rsid w:val="008B5282"/>
    <w:rsid w:val="008B7C17"/>
    <w:rsid w:val="008C2D01"/>
    <w:rsid w:val="008C40E6"/>
    <w:rsid w:val="008D0F7A"/>
    <w:rsid w:val="008D68E4"/>
    <w:rsid w:val="008E0506"/>
    <w:rsid w:val="008E0CFF"/>
    <w:rsid w:val="008E5D6B"/>
    <w:rsid w:val="008E76F0"/>
    <w:rsid w:val="008F15FE"/>
    <w:rsid w:val="008F2D29"/>
    <w:rsid w:val="008F5187"/>
    <w:rsid w:val="008F60D8"/>
    <w:rsid w:val="00902727"/>
    <w:rsid w:val="0090312B"/>
    <w:rsid w:val="0091736D"/>
    <w:rsid w:val="0093037A"/>
    <w:rsid w:val="0094154D"/>
    <w:rsid w:val="0095155F"/>
    <w:rsid w:val="00954429"/>
    <w:rsid w:val="009563CE"/>
    <w:rsid w:val="00976328"/>
    <w:rsid w:val="0097680D"/>
    <w:rsid w:val="00982438"/>
    <w:rsid w:val="0098404C"/>
    <w:rsid w:val="00985283"/>
    <w:rsid w:val="00995992"/>
    <w:rsid w:val="009A03E5"/>
    <w:rsid w:val="009A0F3B"/>
    <w:rsid w:val="009A1BB4"/>
    <w:rsid w:val="009A2628"/>
    <w:rsid w:val="009A3200"/>
    <w:rsid w:val="009B0897"/>
    <w:rsid w:val="009B7BD9"/>
    <w:rsid w:val="009C7DD5"/>
    <w:rsid w:val="009E227D"/>
    <w:rsid w:val="009E5019"/>
    <w:rsid w:val="00A04F1B"/>
    <w:rsid w:val="00A0501B"/>
    <w:rsid w:val="00A14947"/>
    <w:rsid w:val="00A32A83"/>
    <w:rsid w:val="00A368DB"/>
    <w:rsid w:val="00A423AA"/>
    <w:rsid w:val="00A53EC6"/>
    <w:rsid w:val="00A55C0F"/>
    <w:rsid w:val="00A8713F"/>
    <w:rsid w:val="00A90BA1"/>
    <w:rsid w:val="00A97A9A"/>
    <w:rsid w:val="00AA0671"/>
    <w:rsid w:val="00AA2531"/>
    <w:rsid w:val="00AB1E09"/>
    <w:rsid w:val="00AB5330"/>
    <w:rsid w:val="00AB7747"/>
    <w:rsid w:val="00AC14CE"/>
    <w:rsid w:val="00AC2A56"/>
    <w:rsid w:val="00AD055E"/>
    <w:rsid w:val="00AD47A7"/>
    <w:rsid w:val="00AF0CBF"/>
    <w:rsid w:val="00AF134A"/>
    <w:rsid w:val="00AF257F"/>
    <w:rsid w:val="00AF33CF"/>
    <w:rsid w:val="00AF4D50"/>
    <w:rsid w:val="00AF6179"/>
    <w:rsid w:val="00B1295A"/>
    <w:rsid w:val="00B20A45"/>
    <w:rsid w:val="00B22C5C"/>
    <w:rsid w:val="00B24F30"/>
    <w:rsid w:val="00B31ABF"/>
    <w:rsid w:val="00B33BE3"/>
    <w:rsid w:val="00B53B5D"/>
    <w:rsid w:val="00B6055E"/>
    <w:rsid w:val="00B6317D"/>
    <w:rsid w:val="00B7723F"/>
    <w:rsid w:val="00B80534"/>
    <w:rsid w:val="00B8433C"/>
    <w:rsid w:val="00B87491"/>
    <w:rsid w:val="00BA29E9"/>
    <w:rsid w:val="00BA7142"/>
    <w:rsid w:val="00BB237C"/>
    <w:rsid w:val="00BB41A3"/>
    <w:rsid w:val="00BC32DC"/>
    <w:rsid w:val="00BC35B6"/>
    <w:rsid w:val="00BD1B51"/>
    <w:rsid w:val="00BD4596"/>
    <w:rsid w:val="00BE1405"/>
    <w:rsid w:val="00BE312D"/>
    <w:rsid w:val="00BF1C20"/>
    <w:rsid w:val="00C10578"/>
    <w:rsid w:val="00C135BC"/>
    <w:rsid w:val="00C15C95"/>
    <w:rsid w:val="00C2596A"/>
    <w:rsid w:val="00C27537"/>
    <w:rsid w:val="00C328FE"/>
    <w:rsid w:val="00C33507"/>
    <w:rsid w:val="00C4409D"/>
    <w:rsid w:val="00C44E72"/>
    <w:rsid w:val="00C45A06"/>
    <w:rsid w:val="00C47E5B"/>
    <w:rsid w:val="00C61E4B"/>
    <w:rsid w:val="00C64BFF"/>
    <w:rsid w:val="00C704E9"/>
    <w:rsid w:val="00C763C9"/>
    <w:rsid w:val="00C80057"/>
    <w:rsid w:val="00C82232"/>
    <w:rsid w:val="00C82913"/>
    <w:rsid w:val="00C972B1"/>
    <w:rsid w:val="00CA28AC"/>
    <w:rsid w:val="00CA2CCE"/>
    <w:rsid w:val="00CA43FD"/>
    <w:rsid w:val="00CA7EF8"/>
    <w:rsid w:val="00CC489B"/>
    <w:rsid w:val="00CD2BCD"/>
    <w:rsid w:val="00CD3A4C"/>
    <w:rsid w:val="00CE10E9"/>
    <w:rsid w:val="00CE2910"/>
    <w:rsid w:val="00CE5393"/>
    <w:rsid w:val="00CF36BE"/>
    <w:rsid w:val="00CF6000"/>
    <w:rsid w:val="00D003F3"/>
    <w:rsid w:val="00D0364F"/>
    <w:rsid w:val="00D06834"/>
    <w:rsid w:val="00D308ED"/>
    <w:rsid w:val="00D36D86"/>
    <w:rsid w:val="00D428AA"/>
    <w:rsid w:val="00D50A34"/>
    <w:rsid w:val="00D53EFA"/>
    <w:rsid w:val="00D94A7C"/>
    <w:rsid w:val="00D95896"/>
    <w:rsid w:val="00DB2983"/>
    <w:rsid w:val="00DC1257"/>
    <w:rsid w:val="00DC3DC0"/>
    <w:rsid w:val="00DC5B2B"/>
    <w:rsid w:val="00DD318D"/>
    <w:rsid w:val="00DF2E12"/>
    <w:rsid w:val="00DF514A"/>
    <w:rsid w:val="00DF6690"/>
    <w:rsid w:val="00DF6804"/>
    <w:rsid w:val="00E0358D"/>
    <w:rsid w:val="00E04323"/>
    <w:rsid w:val="00E070A2"/>
    <w:rsid w:val="00E2656A"/>
    <w:rsid w:val="00E412D0"/>
    <w:rsid w:val="00E56322"/>
    <w:rsid w:val="00E60982"/>
    <w:rsid w:val="00E62C62"/>
    <w:rsid w:val="00E654C1"/>
    <w:rsid w:val="00E65D97"/>
    <w:rsid w:val="00E72A5A"/>
    <w:rsid w:val="00E73354"/>
    <w:rsid w:val="00E9242D"/>
    <w:rsid w:val="00EB5255"/>
    <w:rsid w:val="00EB5C47"/>
    <w:rsid w:val="00EB743F"/>
    <w:rsid w:val="00EC1592"/>
    <w:rsid w:val="00ED0639"/>
    <w:rsid w:val="00EF4755"/>
    <w:rsid w:val="00EF7135"/>
    <w:rsid w:val="00F027DB"/>
    <w:rsid w:val="00F14A7A"/>
    <w:rsid w:val="00F22985"/>
    <w:rsid w:val="00F3383E"/>
    <w:rsid w:val="00F465A7"/>
    <w:rsid w:val="00F50B7C"/>
    <w:rsid w:val="00F550E6"/>
    <w:rsid w:val="00F74345"/>
    <w:rsid w:val="00F80A0A"/>
    <w:rsid w:val="00F82B19"/>
    <w:rsid w:val="00F9212D"/>
    <w:rsid w:val="00F965DA"/>
    <w:rsid w:val="00FA406A"/>
    <w:rsid w:val="00FB503A"/>
    <w:rsid w:val="00FB516C"/>
    <w:rsid w:val="00FD0236"/>
    <w:rsid w:val="00FD18F4"/>
    <w:rsid w:val="00FD54DB"/>
    <w:rsid w:val="00FD619F"/>
    <w:rsid w:val="010D467E"/>
    <w:rsid w:val="01195A68"/>
    <w:rsid w:val="01290F7E"/>
    <w:rsid w:val="01510984"/>
    <w:rsid w:val="015D1E09"/>
    <w:rsid w:val="01757C75"/>
    <w:rsid w:val="01AA2ABD"/>
    <w:rsid w:val="01B17D2B"/>
    <w:rsid w:val="01E054E5"/>
    <w:rsid w:val="0204742C"/>
    <w:rsid w:val="02231B70"/>
    <w:rsid w:val="023000C2"/>
    <w:rsid w:val="02342895"/>
    <w:rsid w:val="023A6292"/>
    <w:rsid w:val="023F1572"/>
    <w:rsid w:val="02697903"/>
    <w:rsid w:val="027225A7"/>
    <w:rsid w:val="02766FED"/>
    <w:rsid w:val="028579AC"/>
    <w:rsid w:val="029055E4"/>
    <w:rsid w:val="029329C9"/>
    <w:rsid w:val="02E177B1"/>
    <w:rsid w:val="02E803F0"/>
    <w:rsid w:val="02F96569"/>
    <w:rsid w:val="02FD2E8A"/>
    <w:rsid w:val="0328212A"/>
    <w:rsid w:val="034B0441"/>
    <w:rsid w:val="034D2459"/>
    <w:rsid w:val="03EA7B21"/>
    <w:rsid w:val="040F7EA6"/>
    <w:rsid w:val="04214388"/>
    <w:rsid w:val="04280DAD"/>
    <w:rsid w:val="043B6441"/>
    <w:rsid w:val="04503ECB"/>
    <w:rsid w:val="04AD4FF8"/>
    <w:rsid w:val="04C32CE8"/>
    <w:rsid w:val="04DE60CE"/>
    <w:rsid w:val="04EE0850"/>
    <w:rsid w:val="05004784"/>
    <w:rsid w:val="05692F73"/>
    <w:rsid w:val="057C6BAA"/>
    <w:rsid w:val="058A75FA"/>
    <w:rsid w:val="05AF1EC7"/>
    <w:rsid w:val="05B165F7"/>
    <w:rsid w:val="05DD073C"/>
    <w:rsid w:val="05F83EAE"/>
    <w:rsid w:val="05F97F11"/>
    <w:rsid w:val="0609131F"/>
    <w:rsid w:val="06120580"/>
    <w:rsid w:val="0629321E"/>
    <w:rsid w:val="062E199A"/>
    <w:rsid w:val="06332C38"/>
    <w:rsid w:val="063E7D85"/>
    <w:rsid w:val="06634A27"/>
    <w:rsid w:val="06665FDC"/>
    <w:rsid w:val="06830C73"/>
    <w:rsid w:val="068973BA"/>
    <w:rsid w:val="06945789"/>
    <w:rsid w:val="06990B59"/>
    <w:rsid w:val="069A5FF4"/>
    <w:rsid w:val="06B93C3B"/>
    <w:rsid w:val="06EB7C22"/>
    <w:rsid w:val="06EE0D64"/>
    <w:rsid w:val="07004C15"/>
    <w:rsid w:val="07025118"/>
    <w:rsid w:val="07142A58"/>
    <w:rsid w:val="07231295"/>
    <w:rsid w:val="0726695F"/>
    <w:rsid w:val="07270CD7"/>
    <w:rsid w:val="07293586"/>
    <w:rsid w:val="07295285"/>
    <w:rsid w:val="074324F7"/>
    <w:rsid w:val="07490D2F"/>
    <w:rsid w:val="07636392"/>
    <w:rsid w:val="07770C56"/>
    <w:rsid w:val="08132196"/>
    <w:rsid w:val="08153D42"/>
    <w:rsid w:val="082F774E"/>
    <w:rsid w:val="08366AA8"/>
    <w:rsid w:val="0849387C"/>
    <w:rsid w:val="08535DDE"/>
    <w:rsid w:val="08921563"/>
    <w:rsid w:val="08D1309F"/>
    <w:rsid w:val="08D7596A"/>
    <w:rsid w:val="08FF5C80"/>
    <w:rsid w:val="09154028"/>
    <w:rsid w:val="092217DD"/>
    <w:rsid w:val="09251D71"/>
    <w:rsid w:val="092F6369"/>
    <w:rsid w:val="093A7294"/>
    <w:rsid w:val="09674903"/>
    <w:rsid w:val="09840403"/>
    <w:rsid w:val="09965041"/>
    <w:rsid w:val="09A06D3E"/>
    <w:rsid w:val="09D92A9C"/>
    <w:rsid w:val="0A202D0D"/>
    <w:rsid w:val="0A263993"/>
    <w:rsid w:val="0A2777E4"/>
    <w:rsid w:val="0A2D3AC2"/>
    <w:rsid w:val="0A522CFE"/>
    <w:rsid w:val="0AA55986"/>
    <w:rsid w:val="0AA755DF"/>
    <w:rsid w:val="0AA873BD"/>
    <w:rsid w:val="0ACD0A9E"/>
    <w:rsid w:val="0AE036C8"/>
    <w:rsid w:val="0AF24147"/>
    <w:rsid w:val="0B120D44"/>
    <w:rsid w:val="0B1636EB"/>
    <w:rsid w:val="0B260147"/>
    <w:rsid w:val="0B5617B6"/>
    <w:rsid w:val="0B5F63E8"/>
    <w:rsid w:val="0B6369EB"/>
    <w:rsid w:val="0B7D1878"/>
    <w:rsid w:val="0B9167D1"/>
    <w:rsid w:val="0BB05110"/>
    <w:rsid w:val="0BB85DCC"/>
    <w:rsid w:val="0BCE25BE"/>
    <w:rsid w:val="0BD27BF6"/>
    <w:rsid w:val="0BE8794D"/>
    <w:rsid w:val="0C3B3C7D"/>
    <w:rsid w:val="0C415076"/>
    <w:rsid w:val="0C4F01D2"/>
    <w:rsid w:val="0C8D4D99"/>
    <w:rsid w:val="0CAB2EAE"/>
    <w:rsid w:val="0CAC3842"/>
    <w:rsid w:val="0CBE64A8"/>
    <w:rsid w:val="0CBF4051"/>
    <w:rsid w:val="0D0931FB"/>
    <w:rsid w:val="0D414C2A"/>
    <w:rsid w:val="0D4E1C3C"/>
    <w:rsid w:val="0D621C7D"/>
    <w:rsid w:val="0D9D6573"/>
    <w:rsid w:val="0DB46587"/>
    <w:rsid w:val="0DEF26E8"/>
    <w:rsid w:val="0DF500CB"/>
    <w:rsid w:val="0E1163D7"/>
    <w:rsid w:val="0E1249C0"/>
    <w:rsid w:val="0E1343AF"/>
    <w:rsid w:val="0E16178E"/>
    <w:rsid w:val="0E2010C7"/>
    <w:rsid w:val="0E2526A6"/>
    <w:rsid w:val="0E2553F7"/>
    <w:rsid w:val="0E58199F"/>
    <w:rsid w:val="0E630A97"/>
    <w:rsid w:val="0E73034D"/>
    <w:rsid w:val="0EBE4BB8"/>
    <w:rsid w:val="0EDC7736"/>
    <w:rsid w:val="0EDD498B"/>
    <w:rsid w:val="0F0F60B0"/>
    <w:rsid w:val="0F13775A"/>
    <w:rsid w:val="0F2F44C8"/>
    <w:rsid w:val="0F5F45FE"/>
    <w:rsid w:val="0F63379C"/>
    <w:rsid w:val="0F7A3967"/>
    <w:rsid w:val="0F8231CA"/>
    <w:rsid w:val="0F965856"/>
    <w:rsid w:val="0F9A112B"/>
    <w:rsid w:val="0FAC16C3"/>
    <w:rsid w:val="0FEC0F77"/>
    <w:rsid w:val="105D3B36"/>
    <w:rsid w:val="106D2F64"/>
    <w:rsid w:val="107233DC"/>
    <w:rsid w:val="10795BCA"/>
    <w:rsid w:val="107C0DBA"/>
    <w:rsid w:val="10B05659"/>
    <w:rsid w:val="10B63710"/>
    <w:rsid w:val="10B661D1"/>
    <w:rsid w:val="10B752A3"/>
    <w:rsid w:val="10C26BD1"/>
    <w:rsid w:val="10C91012"/>
    <w:rsid w:val="10D316BB"/>
    <w:rsid w:val="10E01CB0"/>
    <w:rsid w:val="10E048E1"/>
    <w:rsid w:val="10EB7A95"/>
    <w:rsid w:val="10F10820"/>
    <w:rsid w:val="10F618D6"/>
    <w:rsid w:val="111C2F7A"/>
    <w:rsid w:val="11665CA1"/>
    <w:rsid w:val="117E749E"/>
    <w:rsid w:val="118D64C9"/>
    <w:rsid w:val="11AC32CF"/>
    <w:rsid w:val="11F408B0"/>
    <w:rsid w:val="11FA446E"/>
    <w:rsid w:val="11FB3D44"/>
    <w:rsid w:val="12065E12"/>
    <w:rsid w:val="120F0AF8"/>
    <w:rsid w:val="12152F8F"/>
    <w:rsid w:val="12347438"/>
    <w:rsid w:val="12380C9E"/>
    <w:rsid w:val="126C03DF"/>
    <w:rsid w:val="127129F5"/>
    <w:rsid w:val="12B44556"/>
    <w:rsid w:val="12D368DA"/>
    <w:rsid w:val="13197158"/>
    <w:rsid w:val="134C28CC"/>
    <w:rsid w:val="13567BC8"/>
    <w:rsid w:val="136E5C48"/>
    <w:rsid w:val="13951726"/>
    <w:rsid w:val="139C1B0C"/>
    <w:rsid w:val="13B5168D"/>
    <w:rsid w:val="13E73222"/>
    <w:rsid w:val="13FC718B"/>
    <w:rsid w:val="14145E45"/>
    <w:rsid w:val="142E1B18"/>
    <w:rsid w:val="14396509"/>
    <w:rsid w:val="14793D41"/>
    <w:rsid w:val="14A66F49"/>
    <w:rsid w:val="14DD2C3C"/>
    <w:rsid w:val="150435EA"/>
    <w:rsid w:val="150F405F"/>
    <w:rsid w:val="155E6652"/>
    <w:rsid w:val="15716ADB"/>
    <w:rsid w:val="15D84ED7"/>
    <w:rsid w:val="15EB611B"/>
    <w:rsid w:val="16087E1D"/>
    <w:rsid w:val="167040C8"/>
    <w:rsid w:val="16832706"/>
    <w:rsid w:val="16BA59AD"/>
    <w:rsid w:val="16BE26F7"/>
    <w:rsid w:val="16C626E9"/>
    <w:rsid w:val="16EF63BE"/>
    <w:rsid w:val="16F31F14"/>
    <w:rsid w:val="170C162D"/>
    <w:rsid w:val="171B631F"/>
    <w:rsid w:val="17280B86"/>
    <w:rsid w:val="17296C9C"/>
    <w:rsid w:val="174B1BD8"/>
    <w:rsid w:val="175F72B3"/>
    <w:rsid w:val="17701D14"/>
    <w:rsid w:val="17735226"/>
    <w:rsid w:val="177C4A0A"/>
    <w:rsid w:val="178B0E85"/>
    <w:rsid w:val="179F03EE"/>
    <w:rsid w:val="17AF58CE"/>
    <w:rsid w:val="17C52BDB"/>
    <w:rsid w:val="17D47944"/>
    <w:rsid w:val="17D56FFF"/>
    <w:rsid w:val="1812298B"/>
    <w:rsid w:val="1817126F"/>
    <w:rsid w:val="1828737B"/>
    <w:rsid w:val="18395CF2"/>
    <w:rsid w:val="188579DB"/>
    <w:rsid w:val="189813C8"/>
    <w:rsid w:val="189F624C"/>
    <w:rsid w:val="18BF18AE"/>
    <w:rsid w:val="18CE0782"/>
    <w:rsid w:val="18D32D65"/>
    <w:rsid w:val="190B11A7"/>
    <w:rsid w:val="19111702"/>
    <w:rsid w:val="19127923"/>
    <w:rsid w:val="19167A59"/>
    <w:rsid w:val="193154FA"/>
    <w:rsid w:val="1952465B"/>
    <w:rsid w:val="196A135F"/>
    <w:rsid w:val="197E1C9F"/>
    <w:rsid w:val="19AF65DB"/>
    <w:rsid w:val="19C440E9"/>
    <w:rsid w:val="19C94DE3"/>
    <w:rsid w:val="19D04C29"/>
    <w:rsid w:val="19FF53EC"/>
    <w:rsid w:val="1A1832DF"/>
    <w:rsid w:val="1A1C66C0"/>
    <w:rsid w:val="1A2023C0"/>
    <w:rsid w:val="1A317A8D"/>
    <w:rsid w:val="1A390D51"/>
    <w:rsid w:val="1A3C058B"/>
    <w:rsid w:val="1A42393B"/>
    <w:rsid w:val="1A7903B0"/>
    <w:rsid w:val="1A9A3D40"/>
    <w:rsid w:val="1AAD45DE"/>
    <w:rsid w:val="1ABB6264"/>
    <w:rsid w:val="1ADD0F66"/>
    <w:rsid w:val="1AE12FFB"/>
    <w:rsid w:val="1B046F80"/>
    <w:rsid w:val="1B2F68F2"/>
    <w:rsid w:val="1B3267B5"/>
    <w:rsid w:val="1B40161D"/>
    <w:rsid w:val="1B441859"/>
    <w:rsid w:val="1B60171F"/>
    <w:rsid w:val="1B6606B1"/>
    <w:rsid w:val="1B6654B4"/>
    <w:rsid w:val="1B686A8A"/>
    <w:rsid w:val="1B720367"/>
    <w:rsid w:val="1B78246D"/>
    <w:rsid w:val="1B7A4DCF"/>
    <w:rsid w:val="1BA74A3C"/>
    <w:rsid w:val="1BDF376E"/>
    <w:rsid w:val="1C2C6EB8"/>
    <w:rsid w:val="1C2F57A4"/>
    <w:rsid w:val="1C48577D"/>
    <w:rsid w:val="1C5B504B"/>
    <w:rsid w:val="1C5E7925"/>
    <w:rsid w:val="1C654BED"/>
    <w:rsid w:val="1C723C71"/>
    <w:rsid w:val="1C846164"/>
    <w:rsid w:val="1C8F5304"/>
    <w:rsid w:val="1CC45CDD"/>
    <w:rsid w:val="1CC7374C"/>
    <w:rsid w:val="1CED0AE2"/>
    <w:rsid w:val="1CFD070F"/>
    <w:rsid w:val="1D432FFE"/>
    <w:rsid w:val="1D4A306B"/>
    <w:rsid w:val="1D5F6196"/>
    <w:rsid w:val="1D6132A5"/>
    <w:rsid w:val="1D6D331C"/>
    <w:rsid w:val="1D6F48A5"/>
    <w:rsid w:val="1D7A47C4"/>
    <w:rsid w:val="1D8E56D5"/>
    <w:rsid w:val="1DC85359"/>
    <w:rsid w:val="1DD80423"/>
    <w:rsid w:val="1DE438F4"/>
    <w:rsid w:val="1E085815"/>
    <w:rsid w:val="1E1516C2"/>
    <w:rsid w:val="1E153519"/>
    <w:rsid w:val="1E7A43DA"/>
    <w:rsid w:val="1E8A0861"/>
    <w:rsid w:val="1E8C02D6"/>
    <w:rsid w:val="1E915F9B"/>
    <w:rsid w:val="1E95545B"/>
    <w:rsid w:val="1EFE76AB"/>
    <w:rsid w:val="1F05039E"/>
    <w:rsid w:val="1F1C7620"/>
    <w:rsid w:val="1F214FA5"/>
    <w:rsid w:val="1F305FCE"/>
    <w:rsid w:val="1F3F042F"/>
    <w:rsid w:val="1F7C7276"/>
    <w:rsid w:val="1F891A89"/>
    <w:rsid w:val="1F8F6E0D"/>
    <w:rsid w:val="1F926D94"/>
    <w:rsid w:val="1FA96877"/>
    <w:rsid w:val="1FD73E62"/>
    <w:rsid w:val="1FD77830"/>
    <w:rsid w:val="1FDB086F"/>
    <w:rsid w:val="1FE7539E"/>
    <w:rsid w:val="1FEB64DC"/>
    <w:rsid w:val="1FED4EC4"/>
    <w:rsid w:val="1FF65997"/>
    <w:rsid w:val="20097135"/>
    <w:rsid w:val="20147695"/>
    <w:rsid w:val="201D4FE0"/>
    <w:rsid w:val="20362814"/>
    <w:rsid w:val="204418FC"/>
    <w:rsid w:val="20537DAC"/>
    <w:rsid w:val="20671BE0"/>
    <w:rsid w:val="206774A4"/>
    <w:rsid w:val="20963CB8"/>
    <w:rsid w:val="20A33F26"/>
    <w:rsid w:val="20A81A1B"/>
    <w:rsid w:val="20A86407"/>
    <w:rsid w:val="20B07FB6"/>
    <w:rsid w:val="20B50589"/>
    <w:rsid w:val="20B646FB"/>
    <w:rsid w:val="20B93881"/>
    <w:rsid w:val="20ED0CA4"/>
    <w:rsid w:val="20FD5793"/>
    <w:rsid w:val="20FE000B"/>
    <w:rsid w:val="21161D14"/>
    <w:rsid w:val="211C0DAE"/>
    <w:rsid w:val="213B5EB2"/>
    <w:rsid w:val="213B74B1"/>
    <w:rsid w:val="215A2310"/>
    <w:rsid w:val="21803B9B"/>
    <w:rsid w:val="218D60D5"/>
    <w:rsid w:val="21C737CA"/>
    <w:rsid w:val="21CD20CF"/>
    <w:rsid w:val="21DE318A"/>
    <w:rsid w:val="21EA6346"/>
    <w:rsid w:val="21EF5B80"/>
    <w:rsid w:val="220F3557"/>
    <w:rsid w:val="220F7504"/>
    <w:rsid w:val="222F0456"/>
    <w:rsid w:val="223C5E59"/>
    <w:rsid w:val="223E5825"/>
    <w:rsid w:val="224C261E"/>
    <w:rsid w:val="22576990"/>
    <w:rsid w:val="226B5C8B"/>
    <w:rsid w:val="2295541A"/>
    <w:rsid w:val="229B5FE9"/>
    <w:rsid w:val="22D228B3"/>
    <w:rsid w:val="22F47480"/>
    <w:rsid w:val="22F652A2"/>
    <w:rsid w:val="235937CE"/>
    <w:rsid w:val="2360508F"/>
    <w:rsid w:val="2373418B"/>
    <w:rsid w:val="237831A0"/>
    <w:rsid w:val="238A0EEA"/>
    <w:rsid w:val="238E524C"/>
    <w:rsid w:val="239F2BAF"/>
    <w:rsid w:val="23A15020"/>
    <w:rsid w:val="23A81AD9"/>
    <w:rsid w:val="23BF709D"/>
    <w:rsid w:val="23DE1C48"/>
    <w:rsid w:val="23E71555"/>
    <w:rsid w:val="240210CD"/>
    <w:rsid w:val="241D476D"/>
    <w:rsid w:val="24687A8F"/>
    <w:rsid w:val="24B96BCD"/>
    <w:rsid w:val="24BF09F7"/>
    <w:rsid w:val="251F0E4B"/>
    <w:rsid w:val="252D53FE"/>
    <w:rsid w:val="25356482"/>
    <w:rsid w:val="254A163E"/>
    <w:rsid w:val="25715C05"/>
    <w:rsid w:val="259B5357"/>
    <w:rsid w:val="25B92BC1"/>
    <w:rsid w:val="25DD5322"/>
    <w:rsid w:val="25EC2D81"/>
    <w:rsid w:val="25FD4229"/>
    <w:rsid w:val="26070EDD"/>
    <w:rsid w:val="261332DF"/>
    <w:rsid w:val="261A30FE"/>
    <w:rsid w:val="264D78ED"/>
    <w:rsid w:val="26511EC2"/>
    <w:rsid w:val="265F29B4"/>
    <w:rsid w:val="26876E2A"/>
    <w:rsid w:val="26AA1F92"/>
    <w:rsid w:val="26DE6A53"/>
    <w:rsid w:val="271214F8"/>
    <w:rsid w:val="273D6197"/>
    <w:rsid w:val="277057A2"/>
    <w:rsid w:val="27751ED4"/>
    <w:rsid w:val="27876EE3"/>
    <w:rsid w:val="278972E5"/>
    <w:rsid w:val="2793000C"/>
    <w:rsid w:val="27AB3D64"/>
    <w:rsid w:val="27ED4C02"/>
    <w:rsid w:val="286147B1"/>
    <w:rsid w:val="286D4D50"/>
    <w:rsid w:val="28825D87"/>
    <w:rsid w:val="28A56C22"/>
    <w:rsid w:val="28A646D1"/>
    <w:rsid w:val="28AE1FCF"/>
    <w:rsid w:val="28C14306"/>
    <w:rsid w:val="28D62703"/>
    <w:rsid w:val="28D86F4A"/>
    <w:rsid w:val="28E26AEC"/>
    <w:rsid w:val="29065CB6"/>
    <w:rsid w:val="29206EB8"/>
    <w:rsid w:val="293C659E"/>
    <w:rsid w:val="29595666"/>
    <w:rsid w:val="29874881"/>
    <w:rsid w:val="29A83BF9"/>
    <w:rsid w:val="29AA6F14"/>
    <w:rsid w:val="29B24B2B"/>
    <w:rsid w:val="29C22DAC"/>
    <w:rsid w:val="29E325E0"/>
    <w:rsid w:val="29ED5D32"/>
    <w:rsid w:val="2A08552F"/>
    <w:rsid w:val="2A23320A"/>
    <w:rsid w:val="2A3307B5"/>
    <w:rsid w:val="2A452503"/>
    <w:rsid w:val="2A4603A7"/>
    <w:rsid w:val="2A461CC2"/>
    <w:rsid w:val="2A515909"/>
    <w:rsid w:val="2A580712"/>
    <w:rsid w:val="2A5E2B5B"/>
    <w:rsid w:val="2A786446"/>
    <w:rsid w:val="2A8B3997"/>
    <w:rsid w:val="2AB2102B"/>
    <w:rsid w:val="2ABA004F"/>
    <w:rsid w:val="2AC46E95"/>
    <w:rsid w:val="2AF57CEE"/>
    <w:rsid w:val="2B0D6D2B"/>
    <w:rsid w:val="2B540AA8"/>
    <w:rsid w:val="2B654BA5"/>
    <w:rsid w:val="2B7944C1"/>
    <w:rsid w:val="2B807EA1"/>
    <w:rsid w:val="2B9A00EE"/>
    <w:rsid w:val="2BA70E32"/>
    <w:rsid w:val="2BA936A8"/>
    <w:rsid w:val="2BAF042F"/>
    <w:rsid w:val="2BB527C3"/>
    <w:rsid w:val="2BD7664C"/>
    <w:rsid w:val="2BE71AA8"/>
    <w:rsid w:val="2BF21457"/>
    <w:rsid w:val="2C060981"/>
    <w:rsid w:val="2C0638E5"/>
    <w:rsid w:val="2C116943"/>
    <w:rsid w:val="2C1B1BC6"/>
    <w:rsid w:val="2C315A5A"/>
    <w:rsid w:val="2C4B1C25"/>
    <w:rsid w:val="2C765E08"/>
    <w:rsid w:val="2C85174E"/>
    <w:rsid w:val="2CE12D98"/>
    <w:rsid w:val="2CF92390"/>
    <w:rsid w:val="2CFC05B9"/>
    <w:rsid w:val="2D0D7777"/>
    <w:rsid w:val="2D2D42A0"/>
    <w:rsid w:val="2D423BA3"/>
    <w:rsid w:val="2D4F58E0"/>
    <w:rsid w:val="2D697360"/>
    <w:rsid w:val="2D73211F"/>
    <w:rsid w:val="2D7432DC"/>
    <w:rsid w:val="2D9C19F2"/>
    <w:rsid w:val="2D9E56F5"/>
    <w:rsid w:val="2DA361DB"/>
    <w:rsid w:val="2DAA66BA"/>
    <w:rsid w:val="2DD5239A"/>
    <w:rsid w:val="2DE16F17"/>
    <w:rsid w:val="2E3C1984"/>
    <w:rsid w:val="2E443C45"/>
    <w:rsid w:val="2E667F96"/>
    <w:rsid w:val="2E6C6499"/>
    <w:rsid w:val="2E8226AB"/>
    <w:rsid w:val="2E8D1EBD"/>
    <w:rsid w:val="2E910350"/>
    <w:rsid w:val="2EDE6AEE"/>
    <w:rsid w:val="2F0F3510"/>
    <w:rsid w:val="2F3F11F4"/>
    <w:rsid w:val="2F4B3AC4"/>
    <w:rsid w:val="2F814E1A"/>
    <w:rsid w:val="2F8E4FC5"/>
    <w:rsid w:val="2FA964EC"/>
    <w:rsid w:val="2FAF1F63"/>
    <w:rsid w:val="2FD065E6"/>
    <w:rsid w:val="2FD96870"/>
    <w:rsid w:val="30175401"/>
    <w:rsid w:val="301E77BD"/>
    <w:rsid w:val="30580BC9"/>
    <w:rsid w:val="30604126"/>
    <w:rsid w:val="30A74234"/>
    <w:rsid w:val="30B9188A"/>
    <w:rsid w:val="30C76888"/>
    <w:rsid w:val="30E24ED9"/>
    <w:rsid w:val="30EB4120"/>
    <w:rsid w:val="310502B2"/>
    <w:rsid w:val="31104442"/>
    <w:rsid w:val="3114163D"/>
    <w:rsid w:val="311E2ED7"/>
    <w:rsid w:val="31260C77"/>
    <w:rsid w:val="313F0243"/>
    <w:rsid w:val="315619EE"/>
    <w:rsid w:val="315C449C"/>
    <w:rsid w:val="31621DAE"/>
    <w:rsid w:val="31B07C22"/>
    <w:rsid w:val="31B82709"/>
    <w:rsid w:val="31D05482"/>
    <w:rsid w:val="320A12BB"/>
    <w:rsid w:val="320B6E8F"/>
    <w:rsid w:val="322177AC"/>
    <w:rsid w:val="322B0C92"/>
    <w:rsid w:val="32307F8E"/>
    <w:rsid w:val="32400B34"/>
    <w:rsid w:val="325D540E"/>
    <w:rsid w:val="32775683"/>
    <w:rsid w:val="329E6876"/>
    <w:rsid w:val="32A85F98"/>
    <w:rsid w:val="32CF17BB"/>
    <w:rsid w:val="32E961C8"/>
    <w:rsid w:val="332A24A5"/>
    <w:rsid w:val="333015F2"/>
    <w:rsid w:val="334B6320"/>
    <w:rsid w:val="335474EF"/>
    <w:rsid w:val="3372266B"/>
    <w:rsid w:val="337B0E24"/>
    <w:rsid w:val="33D934D4"/>
    <w:rsid w:val="33FE2F6A"/>
    <w:rsid w:val="340E07E5"/>
    <w:rsid w:val="34235BF7"/>
    <w:rsid w:val="34240B99"/>
    <w:rsid w:val="34251033"/>
    <w:rsid w:val="346029F1"/>
    <w:rsid w:val="349C24B4"/>
    <w:rsid w:val="34A33CF5"/>
    <w:rsid w:val="34D50411"/>
    <w:rsid w:val="35071108"/>
    <w:rsid w:val="355121C6"/>
    <w:rsid w:val="355C7E57"/>
    <w:rsid w:val="35607EAD"/>
    <w:rsid w:val="3568276B"/>
    <w:rsid w:val="35714EB9"/>
    <w:rsid w:val="3588630C"/>
    <w:rsid w:val="358C5FA8"/>
    <w:rsid w:val="358D710B"/>
    <w:rsid w:val="35B44EA7"/>
    <w:rsid w:val="35C15DF1"/>
    <w:rsid w:val="35E10270"/>
    <w:rsid w:val="35FB420B"/>
    <w:rsid w:val="36074A7F"/>
    <w:rsid w:val="360D5FB3"/>
    <w:rsid w:val="360E70C6"/>
    <w:rsid w:val="361D45B0"/>
    <w:rsid w:val="366A4A42"/>
    <w:rsid w:val="36761A24"/>
    <w:rsid w:val="36923549"/>
    <w:rsid w:val="36B75FBF"/>
    <w:rsid w:val="36BD0C45"/>
    <w:rsid w:val="36DE2279"/>
    <w:rsid w:val="37327B23"/>
    <w:rsid w:val="373857BF"/>
    <w:rsid w:val="37614058"/>
    <w:rsid w:val="37740DF6"/>
    <w:rsid w:val="379202F6"/>
    <w:rsid w:val="379A1075"/>
    <w:rsid w:val="37B12BDC"/>
    <w:rsid w:val="37C85542"/>
    <w:rsid w:val="37E00298"/>
    <w:rsid w:val="38097875"/>
    <w:rsid w:val="384D1515"/>
    <w:rsid w:val="38927B16"/>
    <w:rsid w:val="38B302F9"/>
    <w:rsid w:val="38D82ED7"/>
    <w:rsid w:val="38DF6E06"/>
    <w:rsid w:val="38F12CD3"/>
    <w:rsid w:val="38F94775"/>
    <w:rsid w:val="390A5C84"/>
    <w:rsid w:val="391B1F29"/>
    <w:rsid w:val="392971ED"/>
    <w:rsid w:val="392B0777"/>
    <w:rsid w:val="39325651"/>
    <w:rsid w:val="3964550A"/>
    <w:rsid w:val="396F7C5E"/>
    <w:rsid w:val="397C293E"/>
    <w:rsid w:val="39815EBF"/>
    <w:rsid w:val="39C145F2"/>
    <w:rsid w:val="39C44A92"/>
    <w:rsid w:val="39F8102B"/>
    <w:rsid w:val="3A117F4B"/>
    <w:rsid w:val="3A256896"/>
    <w:rsid w:val="3A4C6C8E"/>
    <w:rsid w:val="3A5710FB"/>
    <w:rsid w:val="3A5F64A1"/>
    <w:rsid w:val="3A8077E5"/>
    <w:rsid w:val="3A8307D5"/>
    <w:rsid w:val="3A872856"/>
    <w:rsid w:val="3A975DA2"/>
    <w:rsid w:val="3AA55413"/>
    <w:rsid w:val="3AAB4C3A"/>
    <w:rsid w:val="3AC32B01"/>
    <w:rsid w:val="3AD6488C"/>
    <w:rsid w:val="3B082E3A"/>
    <w:rsid w:val="3B1C33BF"/>
    <w:rsid w:val="3B3763D1"/>
    <w:rsid w:val="3B3E088F"/>
    <w:rsid w:val="3BD3519D"/>
    <w:rsid w:val="3BE91370"/>
    <w:rsid w:val="3BE95F75"/>
    <w:rsid w:val="3C2A3748"/>
    <w:rsid w:val="3C2F6E1E"/>
    <w:rsid w:val="3C460065"/>
    <w:rsid w:val="3C4F64BA"/>
    <w:rsid w:val="3C556B7B"/>
    <w:rsid w:val="3C787EAC"/>
    <w:rsid w:val="3C816F79"/>
    <w:rsid w:val="3C9E1C4F"/>
    <w:rsid w:val="3CBB47D1"/>
    <w:rsid w:val="3CD15D20"/>
    <w:rsid w:val="3CDA1A3B"/>
    <w:rsid w:val="3CDA245A"/>
    <w:rsid w:val="3CF4670A"/>
    <w:rsid w:val="3CF5384E"/>
    <w:rsid w:val="3D1E06B7"/>
    <w:rsid w:val="3D3A1270"/>
    <w:rsid w:val="3D6953D7"/>
    <w:rsid w:val="3DC03613"/>
    <w:rsid w:val="3DCB5CEA"/>
    <w:rsid w:val="3DDD7203"/>
    <w:rsid w:val="3E042497"/>
    <w:rsid w:val="3E0A6070"/>
    <w:rsid w:val="3E1D0C30"/>
    <w:rsid w:val="3E213CB1"/>
    <w:rsid w:val="3E593C0B"/>
    <w:rsid w:val="3E606F7D"/>
    <w:rsid w:val="3E7B069B"/>
    <w:rsid w:val="3E904E79"/>
    <w:rsid w:val="3EB81609"/>
    <w:rsid w:val="3EBE00F1"/>
    <w:rsid w:val="3EC8288A"/>
    <w:rsid w:val="3EDA0523"/>
    <w:rsid w:val="3EF65748"/>
    <w:rsid w:val="3F000631"/>
    <w:rsid w:val="3F0946B1"/>
    <w:rsid w:val="3F510973"/>
    <w:rsid w:val="3F6A0EB2"/>
    <w:rsid w:val="3F8D1829"/>
    <w:rsid w:val="3F9E2B7F"/>
    <w:rsid w:val="3FCF44F6"/>
    <w:rsid w:val="3FCF4DDB"/>
    <w:rsid w:val="3FD260B4"/>
    <w:rsid w:val="3FE95344"/>
    <w:rsid w:val="40173EA5"/>
    <w:rsid w:val="40390058"/>
    <w:rsid w:val="403F24C8"/>
    <w:rsid w:val="404153F7"/>
    <w:rsid w:val="40416B4D"/>
    <w:rsid w:val="4066182B"/>
    <w:rsid w:val="407A6407"/>
    <w:rsid w:val="408C438E"/>
    <w:rsid w:val="4094547D"/>
    <w:rsid w:val="40BE4157"/>
    <w:rsid w:val="40C86AC3"/>
    <w:rsid w:val="40FC3EBB"/>
    <w:rsid w:val="41060C97"/>
    <w:rsid w:val="413465D0"/>
    <w:rsid w:val="413A0A0A"/>
    <w:rsid w:val="415B79F5"/>
    <w:rsid w:val="41802EB9"/>
    <w:rsid w:val="418E2FC6"/>
    <w:rsid w:val="41A640B6"/>
    <w:rsid w:val="41B10A74"/>
    <w:rsid w:val="41CD5513"/>
    <w:rsid w:val="41D0016C"/>
    <w:rsid w:val="41D63AD4"/>
    <w:rsid w:val="41E91BB7"/>
    <w:rsid w:val="41F33B23"/>
    <w:rsid w:val="4200449D"/>
    <w:rsid w:val="4206455A"/>
    <w:rsid w:val="420E16D8"/>
    <w:rsid w:val="42213375"/>
    <w:rsid w:val="42302C0F"/>
    <w:rsid w:val="42392456"/>
    <w:rsid w:val="423A3BCC"/>
    <w:rsid w:val="424E57D2"/>
    <w:rsid w:val="424E6EE3"/>
    <w:rsid w:val="426B4984"/>
    <w:rsid w:val="429C62BE"/>
    <w:rsid w:val="42B26C49"/>
    <w:rsid w:val="42E141FA"/>
    <w:rsid w:val="42EB5C41"/>
    <w:rsid w:val="42EE026B"/>
    <w:rsid w:val="42FD2838"/>
    <w:rsid w:val="43244238"/>
    <w:rsid w:val="43265E46"/>
    <w:rsid w:val="432F263A"/>
    <w:rsid w:val="433A6FE6"/>
    <w:rsid w:val="43480868"/>
    <w:rsid w:val="4350713C"/>
    <w:rsid w:val="435E6C5B"/>
    <w:rsid w:val="436653E0"/>
    <w:rsid w:val="436B53DE"/>
    <w:rsid w:val="436C3738"/>
    <w:rsid w:val="43905996"/>
    <w:rsid w:val="43A50B25"/>
    <w:rsid w:val="43A90841"/>
    <w:rsid w:val="43B33222"/>
    <w:rsid w:val="43C4431A"/>
    <w:rsid w:val="440915CF"/>
    <w:rsid w:val="441C578A"/>
    <w:rsid w:val="442C0908"/>
    <w:rsid w:val="443E5AF3"/>
    <w:rsid w:val="444A3BC1"/>
    <w:rsid w:val="447F3594"/>
    <w:rsid w:val="44B951CC"/>
    <w:rsid w:val="44CD14E0"/>
    <w:rsid w:val="44CD30D2"/>
    <w:rsid w:val="44D458B4"/>
    <w:rsid w:val="44DD036E"/>
    <w:rsid w:val="44F20B0B"/>
    <w:rsid w:val="450E3EDD"/>
    <w:rsid w:val="45280054"/>
    <w:rsid w:val="452E5F4C"/>
    <w:rsid w:val="45406F40"/>
    <w:rsid w:val="455D47D7"/>
    <w:rsid w:val="45612018"/>
    <w:rsid w:val="457F0DF4"/>
    <w:rsid w:val="458946E9"/>
    <w:rsid w:val="458C71D1"/>
    <w:rsid w:val="45A47C0E"/>
    <w:rsid w:val="45B01B16"/>
    <w:rsid w:val="45CB515B"/>
    <w:rsid w:val="45E41B3B"/>
    <w:rsid w:val="460949EF"/>
    <w:rsid w:val="462553A2"/>
    <w:rsid w:val="462F100C"/>
    <w:rsid w:val="464F4259"/>
    <w:rsid w:val="46577FD6"/>
    <w:rsid w:val="46AD1008"/>
    <w:rsid w:val="46BA181F"/>
    <w:rsid w:val="46C72A59"/>
    <w:rsid w:val="46D955A7"/>
    <w:rsid w:val="46DB6552"/>
    <w:rsid w:val="46F1289D"/>
    <w:rsid w:val="47133957"/>
    <w:rsid w:val="472E0A17"/>
    <w:rsid w:val="4755732F"/>
    <w:rsid w:val="477F4553"/>
    <w:rsid w:val="479A126F"/>
    <w:rsid w:val="47A07E0C"/>
    <w:rsid w:val="47B94CDD"/>
    <w:rsid w:val="47CF276E"/>
    <w:rsid w:val="47E53BE7"/>
    <w:rsid w:val="47F458F5"/>
    <w:rsid w:val="47F80FCB"/>
    <w:rsid w:val="48176E33"/>
    <w:rsid w:val="484B53D9"/>
    <w:rsid w:val="48612782"/>
    <w:rsid w:val="4870272E"/>
    <w:rsid w:val="48A40C48"/>
    <w:rsid w:val="48CA6192"/>
    <w:rsid w:val="48CE4FC3"/>
    <w:rsid w:val="48D54120"/>
    <w:rsid w:val="48E23889"/>
    <w:rsid w:val="48F40EE0"/>
    <w:rsid w:val="48FD69B1"/>
    <w:rsid w:val="49352D68"/>
    <w:rsid w:val="494B6938"/>
    <w:rsid w:val="495764B1"/>
    <w:rsid w:val="496808AF"/>
    <w:rsid w:val="497C4CF9"/>
    <w:rsid w:val="498348C8"/>
    <w:rsid w:val="49837AB0"/>
    <w:rsid w:val="498C20CA"/>
    <w:rsid w:val="49A559E3"/>
    <w:rsid w:val="49B02B28"/>
    <w:rsid w:val="49C62414"/>
    <w:rsid w:val="49CB004E"/>
    <w:rsid w:val="49D16EF1"/>
    <w:rsid w:val="49D73DE3"/>
    <w:rsid w:val="49D7561C"/>
    <w:rsid w:val="49DC7715"/>
    <w:rsid w:val="4A023139"/>
    <w:rsid w:val="4A3F5897"/>
    <w:rsid w:val="4A7B576F"/>
    <w:rsid w:val="4A8E3323"/>
    <w:rsid w:val="4AB70E6A"/>
    <w:rsid w:val="4AD52F5A"/>
    <w:rsid w:val="4AF561A9"/>
    <w:rsid w:val="4B0248B0"/>
    <w:rsid w:val="4B0B27D5"/>
    <w:rsid w:val="4B257F28"/>
    <w:rsid w:val="4B303D95"/>
    <w:rsid w:val="4B4F46B9"/>
    <w:rsid w:val="4B5103A0"/>
    <w:rsid w:val="4B557B9B"/>
    <w:rsid w:val="4B5F6DB0"/>
    <w:rsid w:val="4B763A03"/>
    <w:rsid w:val="4B8232F0"/>
    <w:rsid w:val="4B931A7D"/>
    <w:rsid w:val="4BA52710"/>
    <w:rsid w:val="4BAF2635"/>
    <w:rsid w:val="4BD40C0E"/>
    <w:rsid w:val="4BF058F8"/>
    <w:rsid w:val="4BFF7444"/>
    <w:rsid w:val="4C034A7B"/>
    <w:rsid w:val="4C2347DB"/>
    <w:rsid w:val="4C4751C5"/>
    <w:rsid w:val="4C4A0649"/>
    <w:rsid w:val="4C4A6FAE"/>
    <w:rsid w:val="4C4F155C"/>
    <w:rsid w:val="4C582578"/>
    <w:rsid w:val="4C6C1D52"/>
    <w:rsid w:val="4C7E5ECA"/>
    <w:rsid w:val="4C876AA5"/>
    <w:rsid w:val="4CA00A41"/>
    <w:rsid w:val="4CBE1961"/>
    <w:rsid w:val="4CE34A9C"/>
    <w:rsid w:val="4CEA1313"/>
    <w:rsid w:val="4D0E00FB"/>
    <w:rsid w:val="4D103158"/>
    <w:rsid w:val="4D176606"/>
    <w:rsid w:val="4D476EBD"/>
    <w:rsid w:val="4D4D60E7"/>
    <w:rsid w:val="4D600563"/>
    <w:rsid w:val="4D670367"/>
    <w:rsid w:val="4D6C7F8B"/>
    <w:rsid w:val="4D891784"/>
    <w:rsid w:val="4D9948D5"/>
    <w:rsid w:val="4DBD2E7E"/>
    <w:rsid w:val="4DD35A56"/>
    <w:rsid w:val="4DE70A04"/>
    <w:rsid w:val="4DEC4FB0"/>
    <w:rsid w:val="4E075D8A"/>
    <w:rsid w:val="4E1E77C0"/>
    <w:rsid w:val="4E5448FA"/>
    <w:rsid w:val="4E8A1360"/>
    <w:rsid w:val="4EA9705F"/>
    <w:rsid w:val="4EC00FAD"/>
    <w:rsid w:val="4ED02F47"/>
    <w:rsid w:val="4EDC36EA"/>
    <w:rsid w:val="4EE6443D"/>
    <w:rsid w:val="4EEC2680"/>
    <w:rsid w:val="4F1902A8"/>
    <w:rsid w:val="4F276DD0"/>
    <w:rsid w:val="4F4D2779"/>
    <w:rsid w:val="4F5904CC"/>
    <w:rsid w:val="4F597438"/>
    <w:rsid w:val="4F7E031D"/>
    <w:rsid w:val="4F815DA5"/>
    <w:rsid w:val="4F9843DC"/>
    <w:rsid w:val="4FB92A7F"/>
    <w:rsid w:val="4FC62A8C"/>
    <w:rsid w:val="4FE16DB9"/>
    <w:rsid w:val="4FE20F0D"/>
    <w:rsid w:val="4FE51552"/>
    <w:rsid w:val="4FEE0379"/>
    <w:rsid w:val="4FFA1843"/>
    <w:rsid w:val="50125642"/>
    <w:rsid w:val="505035A1"/>
    <w:rsid w:val="50504C4B"/>
    <w:rsid w:val="50602097"/>
    <w:rsid w:val="506B349A"/>
    <w:rsid w:val="509C6E7C"/>
    <w:rsid w:val="50AB4C5E"/>
    <w:rsid w:val="50B16CA1"/>
    <w:rsid w:val="50CA3BAF"/>
    <w:rsid w:val="50D02A66"/>
    <w:rsid w:val="50EB2E88"/>
    <w:rsid w:val="50F7369E"/>
    <w:rsid w:val="51192487"/>
    <w:rsid w:val="511D1B4D"/>
    <w:rsid w:val="51215DCB"/>
    <w:rsid w:val="5162104E"/>
    <w:rsid w:val="51633A94"/>
    <w:rsid w:val="519A5ACE"/>
    <w:rsid w:val="51BE336A"/>
    <w:rsid w:val="51D24013"/>
    <w:rsid w:val="523840A8"/>
    <w:rsid w:val="525F330C"/>
    <w:rsid w:val="529F273C"/>
    <w:rsid w:val="52CC5B53"/>
    <w:rsid w:val="53062D0F"/>
    <w:rsid w:val="53163E1A"/>
    <w:rsid w:val="53254AA2"/>
    <w:rsid w:val="53561554"/>
    <w:rsid w:val="535B2E5C"/>
    <w:rsid w:val="53A039CC"/>
    <w:rsid w:val="53A1505A"/>
    <w:rsid w:val="53C73146"/>
    <w:rsid w:val="53C91247"/>
    <w:rsid w:val="53ED064D"/>
    <w:rsid w:val="53FC7B36"/>
    <w:rsid w:val="54063E08"/>
    <w:rsid w:val="541F2CCA"/>
    <w:rsid w:val="542309D1"/>
    <w:rsid w:val="543437E8"/>
    <w:rsid w:val="543978E2"/>
    <w:rsid w:val="543E1670"/>
    <w:rsid w:val="549447E4"/>
    <w:rsid w:val="54990A0F"/>
    <w:rsid w:val="54B03B7B"/>
    <w:rsid w:val="54B54C3C"/>
    <w:rsid w:val="54C8418F"/>
    <w:rsid w:val="54D54BFA"/>
    <w:rsid w:val="54F73313"/>
    <w:rsid w:val="54F80955"/>
    <w:rsid w:val="5515380D"/>
    <w:rsid w:val="554C0D69"/>
    <w:rsid w:val="555170A7"/>
    <w:rsid w:val="55530D5C"/>
    <w:rsid w:val="5587536D"/>
    <w:rsid w:val="558A0B6B"/>
    <w:rsid w:val="558E5FED"/>
    <w:rsid w:val="55925F61"/>
    <w:rsid w:val="559B174B"/>
    <w:rsid w:val="55C21B46"/>
    <w:rsid w:val="55CE0CF4"/>
    <w:rsid w:val="55FF69B0"/>
    <w:rsid w:val="563B049B"/>
    <w:rsid w:val="56550DDA"/>
    <w:rsid w:val="56653C79"/>
    <w:rsid w:val="56717D6E"/>
    <w:rsid w:val="569B5F9A"/>
    <w:rsid w:val="56B22A9C"/>
    <w:rsid w:val="56F819DC"/>
    <w:rsid w:val="572C1467"/>
    <w:rsid w:val="5746380B"/>
    <w:rsid w:val="575265C7"/>
    <w:rsid w:val="57720B87"/>
    <w:rsid w:val="5772595F"/>
    <w:rsid w:val="57AD5D49"/>
    <w:rsid w:val="57B72A76"/>
    <w:rsid w:val="57BD3085"/>
    <w:rsid w:val="57C3426C"/>
    <w:rsid w:val="57CE1F93"/>
    <w:rsid w:val="580538A6"/>
    <w:rsid w:val="581E7B75"/>
    <w:rsid w:val="58395CD8"/>
    <w:rsid w:val="58752000"/>
    <w:rsid w:val="588743D1"/>
    <w:rsid w:val="5887701A"/>
    <w:rsid w:val="58F352C8"/>
    <w:rsid w:val="5938164F"/>
    <w:rsid w:val="59446E53"/>
    <w:rsid w:val="59597EA9"/>
    <w:rsid w:val="596B0B7F"/>
    <w:rsid w:val="5991349F"/>
    <w:rsid w:val="59B27353"/>
    <w:rsid w:val="59BD6B93"/>
    <w:rsid w:val="59C0439F"/>
    <w:rsid w:val="59EE4336"/>
    <w:rsid w:val="59F85DFD"/>
    <w:rsid w:val="5A2621D0"/>
    <w:rsid w:val="5A7D494A"/>
    <w:rsid w:val="5A845B10"/>
    <w:rsid w:val="5A97399B"/>
    <w:rsid w:val="5ABC147A"/>
    <w:rsid w:val="5ABE2233"/>
    <w:rsid w:val="5ABF69EC"/>
    <w:rsid w:val="5AE75B20"/>
    <w:rsid w:val="5B3357E2"/>
    <w:rsid w:val="5B370B46"/>
    <w:rsid w:val="5B7E3F99"/>
    <w:rsid w:val="5B8C0590"/>
    <w:rsid w:val="5B8E0292"/>
    <w:rsid w:val="5B90353A"/>
    <w:rsid w:val="5B9A7608"/>
    <w:rsid w:val="5BB03A0C"/>
    <w:rsid w:val="5BDF5D95"/>
    <w:rsid w:val="5BEC5A62"/>
    <w:rsid w:val="5BFE7528"/>
    <w:rsid w:val="5C324DF8"/>
    <w:rsid w:val="5C4F4917"/>
    <w:rsid w:val="5C772805"/>
    <w:rsid w:val="5C8E3635"/>
    <w:rsid w:val="5C924E8C"/>
    <w:rsid w:val="5CB61560"/>
    <w:rsid w:val="5CBD4F2E"/>
    <w:rsid w:val="5CBF5692"/>
    <w:rsid w:val="5CD82DDF"/>
    <w:rsid w:val="5CE953E1"/>
    <w:rsid w:val="5CF31B2D"/>
    <w:rsid w:val="5D3216FA"/>
    <w:rsid w:val="5DBF6AB6"/>
    <w:rsid w:val="5DC77C8B"/>
    <w:rsid w:val="5E067BFA"/>
    <w:rsid w:val="5E1C4FEB"/>
    <w:rsid w:val="5E2467F1"/>
    <w:rsid w:val="5E3F4330"/>
    <w:rsid w:val="5E5A4F4D"/>
    <w:rsid w:val="5E5F7EDB"/>
    <w:rsid w:val="5E733DB9"/>
    <w:rsid w:val="5E7A49D5"/>
    <w:rsid w:val="5EC74A6A"/>
    <w:rsid w:val="5ED77B34"/>
    <w:rsid w:val="5EEA2968"/>
    <w:rsid w:val="5F0602E4"/>
    <w:rsid w:val="5F140775"/>
    <w:rsid w:val="5F1A2B43"/>
    <w:rsid w:val="5F866694"/>
    <w:rsid w:val="5F884F3B"/>
    <w:rsid w:val="5F8D34A3"/>
    <w:rsid w:val="5FA04B6E"/>
    <w:rsid w:val="5FB054B7"/>
    <w:rsid w:val="5FB837BB"/>
    <w:rsid w:val="5FC879EA"/>
    <w:rsid w:val="5FC94F39"/>
    <w:rsid w:val="5FF956D4"/>
    <w:rsid w:val="602425E4"/>
    <w:rsid w:val="60464739"/>
    <w:rsid w:val="60610DC7"/>
    <w:rsid w:val="60795C76"/>
    <w:rsid w:val="607E1EB7"/>
    <w:rsid w:val="607F2E1E"/>
    <w:rsid w:val="60A96DCE"/>
    <w:rsid w:val="60B62AAC"/>
    <w:rsid w:val="60BD71AD"/>
    <w:rsid w:val="60C574E3"/>
    <w:rsid w:val="60CC405A"/>
    <w:rsid w:val="60F30608"/>
    <w:rsid w:val="616E4A3F"/>
    <w:rsid w:val="61BD6A8D"/>
    <w:rsid w:val="61C55397"/>
    <w:rsid w:val="61E15EA3"/>
    <w:rsid w:val="61E215D8"/>
    <w:rsid w:val="61E46AFD"/>
    <w:rsid w:val="61E85062"/>
    <w:rsid w:val="61F66620"/>
    <w:rsid w:val="62133176"/>
    <w:rsid w:val="621B3775"/>
    <w:rsid w:val="621F0B82"/>
    <w:rsid w:val="622172DE"/>
    <w:rsid w:val="6227385C"/>
    <w:rsid w:val="62364782"/>
    <w:rsid w:val="623B3428"/>
    <w:rsid w:val="62611BE5"/>
    <w:rsid w:val="62616CA1"/>
    <w:rsid w:val="627F6207"/>
    <w:rsid w:val="62B6296E"/>
    <w:rsid w:val="62E8648F"/>
    <w:rsid w:val="63065CD5"/>
    <w:rsid w:val="630D6D17"/>
    <w:rsid w:val="631C56FB"/>
    <w:rsid w:val="633264B6"/>
    <w:rsid w:val="634133ED"/>
    <w:rsid w:val="6345009E"/>
    <w:rsid w:val="634F7F5A"/>
    <w:rsid w:val="63754834"/>
    <w:rsid w:val="6379712D"/>
    <w:rsid w:val="6394356A"/>
    <w:rsid w:val="63985DB2"/>
    <w:rsid w:val="63A3462E"/>
    <w:rsid w:val="63B23C88"/>
    <w:rsid w:val="63C61B2C"/>
    <w:rsid w:val="63D40BE9"/>
    <w:rsid w:val="63D86B24"/>
    <w:rsid w:val="63E5689C"/>
    <w:rsid w:val="64102431"/>
    <w:rsid w:val="643422E0"/>
    <w:rsid w:val="647D0C8B"/>
    <w:rsid w:val="648D18AD"/>
    <w:rsid w:val="64973288"/>
    <w:rsid w:val="649F768C"/>
    <w:rsid w:val="64A5243A"/>
    <w:rsid w:val="64C26E5E"/>
    <w:rsid w:val="64D260EB"/>
    <w:rsid w:val="64E9645C"/>
    <w:rsid w:val="64F531DE"/>
    <w:rsid w:val="64FC0E43"/>
    <w:rsid w:val="65051140"/>
    <w:rsid w:val="65373578"/>
    <w:rsid w:val="6542558B"/>
    <w:rsid w:val="65661BE5"/>
    <w:rsid w:val="657519A5"/>
    <w:rsid w:val="65844750"/>
    <w:rsid w:val="659126C3"/>
    <w:rsid w:val="65923C24"/>
    <w:rsid w:val="65AB0847"/>
    <w:rsid w:val="660B36F4"/>
    <w:rsid w:val="66441E29"/>
    <w:rsid w:val="664663E8"/>
    <w:rsid w:val="66613FB9"/>
    <w:rsid w:val="66626E3B"/>
    <w:rsid w:val="666E31C2"/>
    <w:rsid w:val="667B0788"/>
    <w:rsid w:val="6682715F"/>
    <w:rsid w:val="669C7877"/>
    <w:rsid w:val="66C85DE4"/>
    <w:rsid w:val="66CB2968"/>
    <w:rsid w:val="66CF2364"/>
    <w:rsid w:val="671D7CB2"/>
    <w:rsid w:val="671F124A"/>
    <w:rsid w:val="67274017"/>
    <w:rsid w:val="674766FB"/>
    <w:rsid w:val="677A33C6"/>
    <w:rsid w:val="6785026E"/>
    <w:rsid w:val="679F10F1"/>
    <w:rsid w:val="67D952DE"/>
    <w:rsid w:val="67E2000A"/>
    <w:rsid w:val="67E722F2"/>
    <w:rsid w:val="681D6296"/>
    <w:rsid w:val="681F6961"/>
    <w:rsid w:val="68610A2F"/>
    <w:rsid w:val="68805514"/>
    <w:rsid w:val="69050A0D"/>
    <w:rsid w:val="6927347C"/>
    <w:rsid w:val="69275167"/>
    <w:rsid w:val="692E580A"/>
    <w:rsid w:val="69316E2F"/>
    <w:rsid w:val="69442FE0"/>
    <w:rsid w:val="694E2071"/>
    <w:rsid w:val="69766163"/>
    <w:rsid w:val="697A3B33"/>
    <w:rsid w:val="698642AD"/>
    <w:rsid w:val="69D17291"/>
    <w:rsid w:val="69D44760"/>
    <w:rsid w:val="69EA30DA"/>
    <w:rsid w:val="69FD5C30"/>
    <w:rsid w:val="6A0720EC"/>
    <w:rsid w:val="6A2F64E2"/>
    <w:rsid w:val="6A3A6B62"/>
    <w:rsid w:val="6A3D4D3C"/>
    <w:rsid w:val="6A520EC7"/>
    <w:rsid w:val="6A7D27F3"/>
    <w:rsid w:val="6AB33643"/>
    <w:rsid w:val="6ABB68CD"/>
    <w:rsid w:val="6ABD2FE3"/>
    <w:rsid w:val="6ACD25A8"/>
    <w:rsid w:val="6ACE73B9"/>
    <w:rsid w:val="6AF87E20"/>
    <w:rsid w:val="6B0A2460"/>
    <w:rsid w:val="6B1B20EB"/>
    <w:rsid w:val="6B322639"/>
    <w:rsid w:val="6B84481C"/>
    <w:rsid w:val="6BBB784F"/>
    <w:rsid w:val="6BD34BC2"/>
    <w:rsid w:val="6BF96537"/>
    <w:rsid w:val="6C636C38"/>
    <w:rsid w:val="6C9A478C"/>
    <w:rsid w:val="6CB62E5F"/>
    <w:rsid w:val="6CF92FCD"/>
    <w:rsid w:val="6D366FC4"/>
    <w:rsid w:val="6D377FF8"/>
    <w:rsid w:val="6D4C533C"/>
    <w:rsid w:val="6D6007F2"/>
    <w:rsid w:val="6D654702"/>
    <w:rsid w:val="6DB34098"/>
    <w:rsid w:val="6DB545B6"/>
    <w:rsid w:val="6DD751B1"/>
    <w:rsid w:val="6DDD6DDC"/>
    <w:rsid w:val="6DE02FB4"/>
    <w:rsid w:val="6DF05604"/>
    <w:rsid w:val="6E28125F"/>
    <w:rsid w:val="6E2C2382"/>
    <w:rsid w:val="6E490B76"/>
    <w:rsid w:val="6E514CED"/>
    <w:rsid w:val="6E5F438C"/>
    <w:rsid w:val="6EB563D5"/>
    <w:rsid w:val="6ECD1FE5"/>
    <w:rsid w:val="6ED92677"/>
    <w:rsid w:val="6EE91A0A"/>
    <w:rsid w:val="6F081FF1"/>
    <w:rsid w:val="6F222356"/>
    <w:rsid w:val="6F225983"/>
    <w:rsid w:val="6F2408F1"/>
    <w:rsid w:val="6FC71E22"/>
    <w:rsid w:val="6FCC1424"/>
    <w:rsid w:val="6FD62647"/>
    <w:rsid w:val="6FFC5590"/>
    <w:rsid w:val="7011482D"/>
    <w:rsid w:val="701404D8"/>
    <w:rsid w:val="703E71B3"/>
    <w:rsid w:val="704F3234"/>
    <w:rsid w:val="706D1DD0"/>
    <w:rsid w:val="70767707"/>
    <w:rsid w:val="7082001D"/>
    <w:rsid w:val="70856B87"/>
    <w:rsid w:val="70BB1664"/>
    <w:rsid w:val="70C85716"/>
    <w:rsid w:val="70CA31DC"/>
    <w:rsid w:val="70D527EE"/>
    <w:rsid w:val="70DC26A6"/>
    <w:rsid w:val="710F4EBB"/>
    <w:rsid w:val="711F5FDB"/>
    <w:rsid w:val="712F3BBA"/>
    <w:rsid w:val="71415D2C"/>
    <w:rsid w:val="714252D7"/>
    <w:rsid w:val="714A76D4"/>
    <w:rsid w:val="715B5300"/>
    <w:rsid w:val="718D5813"/>
    <w:rsid w:val="71B15060"/>
    <w:rsid w:val="71C43A7A"/>
    <w:rsid w:val="71C841F6"/>
    <w:rsid w:val="71CB27A5"/>
    <w:rsid w:val="71D27F8A"/>
    <w:rsid w:val="721F5A89"/>
    <w:rsid w:val="723949FD"/>
    <w:rsid w:val="723F1642"/>
    <w:rsid w:val="72553024"/>
    <w:rsid w:val="726F228B"/>
    <w:rsid w:val="727B19DE"/>
    <w:rsid w:val="72997B0D"/>
    <w:rsid w:val="72B05861"/>
    <w:rsid w:val="73015EEB"/>
    <w:rsid w:val="730928AA"/>
    <w:rsid w:val="73122968"/>
    <w:rsid w:val="731F5D5E"/>
    <w:rsid w:val="732344C2"/>
    <w:rsid w:val="732E025E"/>
    <w:rsid w:val="7335340A"/>
    <w:rsid w:val="733F6912"/>
    <w:rsid w:val="734A52DF"/>
    <w:rsid w:val="73505624"/>
    <w:rsid w:val="735147E5"/>
    <w:rsid w:val="73C2794F"/>
    <w:rsid w:val="73C51AD5"/>
    <w:rsid w:val="73EA59BD"/>
    <w:rsid w:val="741A3743"/>
    <w:rsid w:val="741E793C"/>
    <w:rsid w:val="74351268"/>
    <w:rsid w:val="744A580A"/>
    <w:rsid w:val="745E3944"/>
    <w:rsid w:val="747375A7"/>
    <w:rsid w:val="74910366"/>
    <w:rsid w:val="74AC6DFE"/>
    <w:rsid w:val="74B8687E"/>
    <w:rsid w:val="74C42D33"/>
    <w:rsid w:val="74CC73C0"/>
    <w:rsid w:val="74D24EE9"/>
    <w:rsid w:val="74D55F0A"/>
    <w:rsid w:val="75016BBE"/>
    <w:rsid w:val="753D0E29"/>
    <w:rsid w:val="754039ED"/>
    <w:rsid w:val="75454ABB"/>
    <w:rsid w:val="75804438"/>
    <w:rsid w:val="758F076A"/>
    <w:rsid w:val="75D36DDE"/>
    <w:rsid w:val="75F940FF"/>
    <w:rsid w:val="760D626F"/>
    <w:rsid w:val="76133CEE"/>
    <w:rsid w:val="76260781"/>
    <w:rsid w:val="76320D0D"/>
    <w:rsid w:val="7635099D"/>
    <w:rsid w:val="765C2B78"/>
    <w:rsid w:val="765D4DCC"/>
    <w:rsid w:val="767973A5"/>
    <w:rsid w:val="768359F5"/>
    <w:rsid w:val="768E2177"/>
    <w:rsid w:val="76B707B2"/>
    <w:rsid w:val="76C17199"/>
    <w:rsid w:val="76CC605E"/>
    <w:rsid w:val="76DD2F53"/>
    <w:rsid w:val="772B7CD7"/>
    <w:rsid w:val="773343CD"/>
    <w:rsid w:val="77626222"/>
    <w:rsid w:val="77750294"/>
    <w:rsid w:val="77762421"/>
    <w:rsid w:val="779C227D"/>
    <w:rsid w:val="77A3362D"/>
    <w:rsid w:val="77B51E6F"/>
    <w:rsid w:val="77B56B1F"/>
    <w:rsid w:val="77CC6DC0"/>
    <w:rsid w:val="77E2145E"/>
    <w:rsid w:val="77FC3760"/>
    <w:rsid w:val="780F09F4"/>
    <w:rsid w:val="783B4600"/>
    <w:rsid w:val="783C7556"/>
    <w:rsid w:val="78526EC4"/>
    <w:rsid w:val="788A3B26"/>
    <w:rsid w:val="78A90480"/>
    <w:rsid w:val="79172243"/>
    <w:rsid w:val="79285B00"/>
    <w:rsid w:val="79402CA5"/>
    <w:rsid w:val="79640E66"/>
    <w:rsid w:val="79890788"/>
    <w:rsid w:val="798D4E02"/>
    <w:rsid w:val="79BE352D"/>
    <w:rsid w:val="79BF1B1F"/>
    <w:rsid w:val="79D85398"/>
    <w:rsid w:val="79DE1B1D"/>
    <w:rsid w:val="79E12D7F"/>
    <w:rsid w:val="79EA435A"/>
    <w:rsid w:val="7A105074"/>
    <w:rsid w:val="7A29753C"/>
    <w:rsid w:val="7A364017"/>
    <w:rsid w:val="7A6A4448"/>
    <w:rsid w:val="7A6C09FE"/>
    <w:rsid w:val="7A8265E1"/>
    <w:rsid w:val="7A8966E1"/>
    <w:rsid w:val="7A963E9E"/>
    <w:rsid w:val="7AAD325C"/>
    <w:rsid w:val="7AE70B0F"/>
    <w:rsid w:val="7AF91823"/>
    <w:rsid w:val="7B230EC7"/>
    <w:rsid w:val="7B3E7771"/>
    <w:rsid w:val="7B4872A5"/>
    <w:rsid w:val="7B686D42"/>
    <w:rsid w:val="7B7B0A2B"/>
    <w:rsid w:val="7B7D2454"/>
    <w:rsid w:val="7B841746"/>
    <w:rsid w:val="7B9559F0"/>
    <w:rsid w:val="7BA27201"/>
    <w:rsid w:val="7BA859F1"/>
    <w:rsid w:val="7BBD73D5"/>
    <w:rsid w:val="7BCC58E0"/>
    <w:rsid w:val="7BD2321C"/>
    <w:rsid w:val="7BD74C2E"/>
    <w:rsid w:val="7C0654FF"/>
    <w:rsid w:val="7C094351"/>
    <w:rsid w:val="7C6C5AC7"/>
    <w:rsid w:val="7C8254F0"/>
    <w:rsid w:val="7C8645AF"/>
    <w:rsid w:val="7C967562"/>
    <w:rsid w:val="7CB202FD"/>
    <w:rsid w:val="7CB74340"/>
    <w:rsid w:val="7CC6544B"/>
    <w:rsid w:val="7CD87DFC"/>
    <w:rsid w:val="7CF228CE"/>
    <w:rsid w:val="7D0239FF"/>
    <w:rsid w:val="7D056AEC"/>
    <w:rsid w:val="7D4E4FE7"/>
    <w:rsid w:val="7D5E40CD"/>
    <w:rsid w:val="7D635DB8"/>
    <w:rsid w:val="7D9E0736"/>
    <w:rsid w:val="7DA223D7"/>
    <w:rsid w:val="7DB7210A"/>
    <w:rsid w:val="7DCD56F2"/>
    <w:rsid w:val="7DD77F1E"/>
    <w:rsid w:val="7E0A1F3D"/>
    <w:rsid w:val="7E1066BB"/>
    <w:rsid w:val="7E1951E5"/>
    <w:rsid w:val="7E2331C2"/>
    <w:rsid w:val="7E492AC2"/>
    <w:rsid w:val="7E4C2D13"/>
    <w:rsid w:val="7E6247CC"/>
    <w:rsid w:val="7E797522"/>
    <w:rsid w:val="7E967FE3"/>
    <w:rsid w:val="7EAC2B96"/>
    <w:rsid w:val="7EAD1851"/>
    <w:rsid w:val="7EFB1672"/>
    <w:rsid w:val="7F001CE7"/>
    <w:rsid w:val="7F231A9F"/>
    <w:rsid w:val="7F311F6F"/>
    <w:rsid w:val="7F3D046B"/>
    <w:rsid w:val="7F6A26D4"/>
    <w:rsid w:val="7F863080"/>
    <w:rsid w:val="7FAD7A5A"/>
    <w:rsid w:val="7FBD06AE"/>
    <w:rsid w:val="7FD375D4"/>
    <w:rsid w:val="7FDB5AF4"/>
    <w:rsid w:val="7FE40AE0"/>
    <w:rsid w:val="7FE47E50"/>
    <w:rsid w:val="7FE56CE6"/>
  </w:rsids>
  <w:docVars>
    <w:docVar w:name="commondata" w:val="eyJoZGlkIjoiZDljZGYwOWZmMTNkMjkzOTEyMzQwMWJiNmRhNzY5NW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locked="1" w:semiHidden="0" w:uiPriority="0" w:unhideWhenUsed="0"/>
    <w:lsdException w:name="index 2" w:locked="1" w:semiHidden="0" w:uiPriority="0" w:unhideWhenUsed="0"/>
    <w:lsdException w:name="index 3" w:locked="1" w:semiHidden="0" w:uiPriority="0" w:unhideWhenUsed="0"/>
    <w:lsdException w:name="index 4" w:locked="1" w:semiHidden="0" w:uiPriority="0" w:unhideWhenUsed="0"/>
    <w:lsdException w:name="index 5" w:locked="1" w:semiHidden="0" w:uiPriority="0" w:unhideWhenUsed="0"/>
    <w:lsdException w:name="index 6" w:locked="1" w:semiHidden="0" w:uiPriority="0" w:unhideWhenUsed="0"/>
    <w:lsdException w:name="index 7" w:locked="1" w:semiHidden="0" w:uiPriority="0" w:unhideWhenUsed="0"/>
    <w:lsdException w:name="index 8" w:locked="1" w:semiHidden="0" w:uiPriority="0" w:unhideWhenUsed="0"/>
    <w:lsdException w:name="index 9" w:locked="1" w:semiHidden="0" w:uiPriority="0" w:unhideWhenUsed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unhideWhenUsed="0" w:qFormat="1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 w:qFormat="1"/>
    <w:lsdException w:name="footnote text" w:locked="1" w:semiHidden="0" w:uiPriority="0" w:unhideWhenUsed="0"/>
    <w:lsdException w:name="annotation text" w:uiPriority="0" w:unhideWhenUsed="0"/>
    <w:lsdException w:name="header" w:semiHidden="0" w:uiPriority="0" w:unhideWhenUsed="0"/>
    <w:lsdException w:name="footer" w:semiHidden="0" w:unhideWhenUsed="0"/>
    <w:lsdException w:name="index heading" w:locked="1" w:semiHidden="0" w:uiPriority="0" w:unhideWhenUsed="0"/>
    <w:lsdException w:name="caption" w:locked="1" w:uiPriority="0" w:qFormat="1"/>
    <w:lsdException w:name="table of figures" w:locked="1" w:semiHidden="0" w:uiPriority="0" w:unhideWhenUsed="0"/>
    <w:lsdException w:name="envelope address" w:locked="1" w:semiHidden="0" w:uiPriority="0" w:unhideWhenUsed="0"/>
    <w:lsdException w:name="envelope return" w:locked="1" w:semiHidden="0" w:uiPriority="0" w:unhideWhenUsed="0"/>
    <w:lsdException w:name="footnote reference" w:locked="1" w:semiHidden="0" w:uiPriority="0" w:unhideWhenUsed="0"/>
    <w:lsdException w:name="annotation reference" w:uiPriority="0" w:unhideWhenUsed="0"/>
    <w:lsdException w:name="line number" w:locked="1" w:semiHidden="0" w:uiPriority="0" w:unhideWhenUsed="0"/>
    <w:lsdException w:name="page number" w:locked="1" w:semiHidden="0" w:uiPriority="0" w:unhideWhenUsed="0"/>
    <w:lsdException w:name="endnote reference" w:locked="1" w:semiHidden="0" w:uiPriority="0" w:unhideWhenUsed="0"/>
    <w:lsdException w:name="endnote text" w:locked="1" w:semiHidden="0" w:uiPriority="0" w:unhideWhenUsed="0"/>
    <w:lsdException w:name="table of authorities" w:locked="1" w:semiHidden="0" w:uiPriority="0" w:unhideWhenUsed="0"/>
    <w:lsdException w:name="macro" w:locked="1" w:semiHidden="0" w:uiPriority="0" w:unhideWhenUsed="0"/>
    <w:lsdException w:name="toa heading" w:locked="1" w:semiHidden="0" w:uiPriority="0" w:unhideWhenUsed="0"/>
    <w:lsdException w:name="List" w:locked="1" w:semiHidden="0" w:uiPriority="0" w:unhideWhenUsed="0"/>
    <w:lsdException w:name="List Bullet" w:locked="1" w:semiHidden="0" w:uiPriority="0" w:unhideWhenUsed="0"/>
    <w:lsdException w:name="List Number" w:locked="1" w:semiHidden="0" w:uiPriority="0" w:unhideWhenUsed="0"/>
    <w:lsdException w:name="List 2" w:locked="1" w:semiHidden="0" w:uiPriority="0" w:unhideWhenUsed="0"/>
    <w:lsdException w:name="List 3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List Bullet 2" w:locked="1" w:semiHidden="0" w:uiPriority="0" w:unhideWhenUsed="0"/>
    <w:lsdException w:name="List Bullet 3" w:locked="1" w:semiHidden="0" w:uiPriority="0" w:unhideWhenUsed="0"/>
    <w:lsdException w:name="List Bullet 4" w:locked="1" w:semiHidden="0" w:uiPriority="0" w:unhideWhenUsed="0"/>
    <w:lsdException w:name="List Bullet 5" w:locked="1" w:semiHidden="0" w:uiPriority="0" w:unhideWhenUsed="0"/>
    <w:lsdException w:name="List Number 2" w:locked="1" w:semiHidden="0" w:uiPriority="0" w:unhideWhenUsed="0"/>
    <w:lsdException w:name="List Number 3" w:locked="1" w:semiHidden="0" w:uiPriority="0" w:unhideWhenUsed="0"/>
    <w:lsdException w:name="List Number 4" w:locked="1" w:semiHidden="0" w:uiPriority="0" w:unhideWhenUsed="0"/>
    <w:lsdException w:name="List Number 5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Signature" w:locked="1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locked="1" w:semiHidden="0" w:uiPriority="0" w:unhideWhenUsed="0"/>
    <w:lsdException w:name="List Continue 2" w:locked="1" w:semiHidden="0" w:uiPriority="0" w:unhideWhenUsed="0"/>
    <w:lsdException w:name="List Continue 3" w:locked="1" w:semiHidden="0" w:uiPriority="0" w:unhideWhenUsed="0"/>
    <w:lsdException w:name="List Continue 4" w:locked="1" w:semiHidden="0" w:uiPriority="0" w:unhideWhenUsed="0"/>
    <w:lsdException w:name="List Continue 5" w:locked="1" w:semiHidden="0" w:uiPriority="0" w:unhideWhenUsed="0"/>
    <w:lsdException w:name="Message Header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semiHidden="0" w:uiPriority="0" w:unhideWhenUsed="0"/>
    <w:lsdException w:name="Body Text First Indent" w:locked="1" w:semiHidden="0" w:uiPriority="0" w:qFormat="1"/>
    <w:lsdException w:name="Body Text First Indent 2" w:locked="1" w:semiHidden="0" w:uiPriority="0" w:qFormat="1"/>
    <w:lsdException w:name="Note Heading" w:locked="1" w:semiHidden="0" w:uiPriority="0" w:unhideWhenUsed="0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 w:qFormat="1"/>
    <w:lsdException w:name="Body Text Indent 3" w:locked="1" w:semiHidden="0" w:uiPriority="0" w:unhideWhenUsed="0"/>
    <w:lsdException w:name="Block Text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locked="1" w:semiHidden="0" w:uiPriority="0" w:unhideWhenUsed="0"/>
    <w:lsdException w:name="Plain Text" w:locked="1" w:semiHidden="0" w:uiPriority="0" w:unhideWhenUsed="0" w:qFormat="1"/>
    <w:lsdException w:name="E-mail Signature" w:locked="1" w:semiHidden="0" w:uiPriority="0" w:unhideWhenUsed="0"/>
    <w:lsdException w:name="Normal (Web)" w:semiHidden="0" w:uiPriority="0" w:unhideWhenUsed="0"/>
    <w:lsdException w:name="HTML Acronym" w:locked="1" w:semiHidden="0" w:uiPriority="0" w:unhideWhenUsed="0"/>
    <w:lsdException w:name="HTML Address" w:locked="1" w:semiHidden="0" w:uiPriority="0" w:unhideWhenUsed="0"/>
    <w:lsdException w:name="HTML Cite" w:locked="1" w:semiHidden="0" w:uiPriority="0" w:unhideWhenUsed="0"/>
    <w:lsdException w:name="HTML Code" w:locked="1" w:semiHidden="0" w:uiPriority="0" w:unhideWhenUsed="0"/>
    <w:lsdException w:name="HTML Definition" w:locked="1" w:semiHidden="0" w:uiPriority="0" w:unhideWhenUsed="0"/>
    <w:lsdException w:name="HTML Keyboard" w:locked="1" w:semiHidden="0" w:uiPriority="0" w:unhideWhenUsed="0"/>
    <w:lsdException w:name="HTML Preformatted" w:locked="1" w:semiHidden="0" w:uiPriority="0" w:unhideWhenUsed="0"/>
    <w:lsdException w:name="HTML Sample" w:locked="1" w:semiHidden="0" w:uiPriority="0" w:unhideWhenUsed="0"/>
    <w:lsdException w:name="HTML Typewriter" w:locked="1" w:semiHidden="0" w:uiPriority="0" w:unhideWhenUsed="0"/>
    <w:lsdException w:name="HTML Variable" w:locked="1" w:semiHidden="0" w:uiPriority="0" w:unhideWhenUsed="0"/>
    <w:lsdException w:name="Normal Table" w:uiPriority="0" w:unhideWhenUsed="0"/>
    <w:lsdException w:name="annotation subject" w:uiPriority="0" w:unhideWhenUsed="0"/>
    <w:lsdException w:name="Table Simple 1" w:locked="1" w:semiHidden="0" w:uiPriority="0" w:unhideWhenUsed="0"/>
    <w:lsdException w:name="Table Simple 2" w:locked="1" w:semiHidden="0" w:uiPriority="0" w:unhideWhenUsed="0"/>
    <w:lsdException w:name="Table Simple 3" w:locked="1" w:semiHidden="0" w:uiPriority="0" w:unhideWhenUsed="0"/>
    <w:lsdException w:name="Table Classic 1" w:locked="1" w:semiHidden="0" w:uiPriority="0" w:unhideWhenUsed="0"/>
    <w:lsdException w:name="Table Classic 2" w:locked="1" w:semiHidden="0" w:uiPriority="0" w:unhideWhenUsed="0"/>
    <w:lsdException w:name="Table Classic 3" w:locked="1" w:semiHidden="0" w:uiPriority="0" w:unhideWhenUsed="0"/>
    <w:lsdException w:name="Table Classic 4" w:locked="1" w:semiHidden="0" w:uiPriority="0" w:unhideWhenUsed="0"/>
    <w:lsdException w:name="Table Colorful 1" w:locked="1" w:semiHidden="0" w:uiPriority="0" w:unhideWhenUsed="0"/>
    <w:lsdException w:name="Table Colorful 2" w:locked="1" w:semiHidden="0" w:uiPriority="0" w:unhideWhenUsed="0"/>
    <w:lsdException w:name="Table Colorful 3" w:locked="1" w:semiHidden="0" w:uiPriority="0" w:unhideWhenUsed="0"/>
    <w:lsdException w:name="Table Columns 1" w:locked="1" w:semiHidden="0" w:uiPriority="0" w:unhideWhenUsed="0"/>
    <w:lsdException w:name="Table Columns 2" w:locked="1" w:semiHidden="0" w:uiPriority="0" w:unhideWhenUsed="0"/>
    <w:lsdException w:name="Table Columns 3" w:locked="1" w:semiHidden="0" w:uiPriority="0" w:unhideWhenUsed="0"/>
    <w:lsdException w:name="Table Columns 4" w:locked="1" w:semiHidden="0" w:uiPriority="0" w:unhideWhenUsed="0"/>
    <w:lsdException w:name="Table Columns 5" w:locked="1" w:semiHidden="0" w:uiPriority="0" w:unhideWhenUsed="0"/>
    <w:lsdException w:name="Table Grid 1" w:locked="1" w:semiHidden="0" w:uiPriority="0" w:unhideWhenUsed="0"/>
    <w:lsdException w:name="Table Grid 2" w:locked="1" w:semiHidden="0" w:uiPriority="0" w:unhideWhenUsed="0"/>
    <w:lsdException w:name="Table Grid 3" w:locked="1" w:semiHidden="0" w:uiPriority="0" w:unhideWhenUsed="0"/>
    <w:lsdException w:name="Table Grid 4" w:locked="1" w:semiHidden="0" w:uiPriority="0" w:unhideWhenUsed="0"/>
    <w:lsdException w:name="Table Grid 5" w:locked="1" w:semiHidden="0" w:uiPriority="0" w:unhideWhenUsed="0"/>
    <w:lsdException w:name="Table Grid 6" w:locked="1" w:semiHidden="0" w:uiPriority="0" w:unhideWhenUsed="0"/>
    <w:lsdException w:name="Table Grid 7" w:locked="1" w:semiHidden="0" w:uiPriority="0" w:unhideWhenUsed="0"/>
    <w:lsdException w:name="Table Grid 8" w:locked="1" w:semiHidden="0" w:uiPriority="0" w:unhideWhenUsed="0"/>
    <w:lsdException w:name="Table List 1" w:locked="1" w:semiHidden="0" w:uiPriority="0" w:unhideWhenUsed="0"/>
    <w:lsdException w:name="Table List 2" w:locked="1" w:semiHidden="0" w:uiPriority="0" w:unhideWhenUsed="0"/>
    <w:lsdException w:name="Table List 3" w:locked="1" w:semiHidden="0" w:uiPriority="0" w:unhideWhenUsed="0"/>
    <w:lsdException w:name="Table List 4" w:locked="1" w:semiHidden="0" w:uiPriority="0" w:unhideWhenUsed="0"/>
    <w:lsdException w:name="Table List 5" w:locked="1" w:semiHidden="0" w:uiPriority="0" w:unhideWhenUsed="0"/>
    <w:lsdException w:name="Table List 6" w:locked="1" w:semiHidden="0" w:uiPriority="0" w:unhideWhenUsed="0"/>
    <w:lsdException w:name="Table List 7" w:locked="1" w:semiHidden="0" w:uiPriority="0" w:unhideWhenUsed="0"/>
    <w:lsdException w:name="Table List 8" w:locked="1" w:semiHidden="0" w:uiPriority="0" w:unhideWhenUsed="0"/>
    <w:lsdException w:name="Table 3D effects 1" w:locked="1" w:semiHidden="0" w:uiPriority="0" w:unhideWhenUsed="0"/>
    <w:lsdException w:name="Table 3D effects 2" w:locked="1" w:semiHidden="0" w:uiPriority="0" w:unhideWhenUsed="0"/>
    <w:lsdException w:name="Table 3D effects 3" w:locked="1" w:semiHidden="0" w:uiPriority="0" w:unhideWhenUsed="0"/>
    <w:lsdException w:name="Table Contemporary" w:locked="1" w:semiHidden="0" w:uiPriority="0" w:unhideWhenUsed="0"/>
    <w:lsdException w:name="Table Elegant" w:locked="1" w:semiHidden="0" w:uiPriority="0" w:unhideWhenUsed="0"/>
    <w:lsdException w:name="Table Professional" w:locked="1" w:semiHidden="0" w:uiPriority="0" w:unhideWhenUsed="0"/>
    <w:lsdException w:name="Table Subtle 1" w:locked="1" w:semiHidden="0" w:uiPriority="0" w:unhideWhenUsed="0"/>
    <w:lsdException w:name="Table Subtle 2" w:locked="1" w:semiHidden="0" w:uiPriority="0" w:unhideWhenUsed="0"/>
    <w:lsdException w:name="Table Web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FirstIndent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  <w:lang w:val="en-US" w:eastAsia="zh-CN" w:bidi="ar-SA"/>
    </w:rPr>
  </w:style>
  <w:style w:type="paragraph" w:styleId="Heading1">
    <w:name w:val="heading 1"/>
    <w:basedOn w:val="Normal"/>
    <w:next w:val="Normal"/>
    <w:uiPriority w:val="99"/>
    <w:qFormat/>
    <w:locked/>
    <w:pPr>
      <w:keepNext/>
      <w:overflowPunct w:val="0"/>
      <w:snapToGrid w:val="0"/>
      <w:spacing w:before="120" w:after="160" w:line="259" w:lineRule="auto"/>
      <w:ind w:left="432" w:hanging="432"/>
      <w:outlineLvl w:val="0"/>
    </w:pPr>
    <w:rPr>
      <w:rFonts w:eastAsia="黑体"/>
      <w:b/>
      <w:bCs/>
      <w:color w:val="000000"/>
      <w:kern w:val="44"/>
      <w:sz w:val="30"/>
      <w:szCs w:val="30"/>
    </w:rPr>
  </w:style>
  <w:style w:type="paragraph" w:styleId="Heading2">
    <w:name w:val="heading 2"/>
    <w:basedOn w:val="Normal"/>
    <w:next w:val="Normal"/>
    <w:qFormat/>
    <w:locked/>
    <w:pPr>
      <w:keepNext/>
      <w:keepLines/>
      <w:widowControl w:val="0"/>
      <w:adjustRightInd/>
      <w:snapToGrid/>
      <w:spacing w:before="260" w:after="260" w:line="413" w:lineRule="auto"/>
      <w:jc w:val="both"/>
      <w:outlineLvl w:val="1"/>
    </w:pPr>
    <w:rPr>
      <w:rFonts w:ascii="Arial" w:eastAsia="黑体" w:hAnsi="Arial" w:cs="Times New Roman"/>
      <w:b/>
      <w:bCs/>
      <w:kern w:val="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正文文本 Char"/>
    <w:link w:val="BodyText"/>
    <w:locked/>
    <w:rPr>
      <w:sz w:val="18"/>
    </w:rPr>
  </w:style>
  <w:style w:type="character" w:customStyle="1" w:styleId="font51">
    <w:name w:val="font51"/>
    <w:basedOn w:val="DefaultParagraphFont"/>
    <w:rPr>
      <w:rFonts w:ascii="Times New Roman" w:hAnsi="Times New Roman" w:cs="Times New Roman" w:hint="default"/>
      <w:i w:val="0"/>
      <w:iCs w:val="0"/>
      <w:color w:val="000000"/>
      <w:sz w:val="24"/>
      <w:szCs w:val="24"/>
      <w:u w:val="none"/>
      <w:vertAlign w:val="superscript"/>
    </w:rPr>
  </w:style>
  <w:style w:type="character" w:customStyle="1" w:styleId="Char0">
    <w:name w:val="日期 Char"/>
    <w:link w:val="Date"/>
    <w:locked/>
    <w:rPr>
      <w:rFonts w:ascii="Times New Roman" w:eastAsia="宋体" w:hAnsi="Times New Roman"/>
      <w:sz w:val="24"/>
    </w:rPr>
  </w:style>
  <w:style w:type="character" w:customStyle="1" w:styleId="a">
    <w:name w:val="日期 字符"/>
    <w:semiHidden/>
    <w:rPr>
      <w:rFonts w:ascii="Times New Roman" w:eastAsia="宋体" w:hAnsi="Times New Roman"/>
      <w:sz w:val="24"/>
    </w:rPr>
  </w:style>
  <w:style w:type="character" w:styleId="PageNumber">
    <w:name w:val="page number"/>
    <w:basedOn w:val="DefaultParagraphFont"/>
    <w:locked/>
  </w:style>
  <w:style w:type="character" w:customStyle="1" w:styleId="Char1">
    <w:name w:val="正文文本缩进 Char"/>
    <w:link w:val="BodyTextIndent"/>
    <w:semiHidden/>
    <w:locked/>
    <w:rPr>
      <w:rFonts w:ascii="Times New Roman" w:eastAsia="宋体" w:hAnsi="Times New Roman"/>
      <w:sz w:val="24"/>
    </w:rPr>
  </w:style>
  <w:style w:type="character" w:styleId="CommentReference">
    <w:name w:val="annotation reference"/>
    <w:basedOn w:val="DefaultParagraphFont"/>
    <w:semiHidden/>
    <w:rPr>
      <w:sz w:val="21"/>
    </w:rPr>
  </w:style>
  <w:style w:type="character" w:customStyle="1" w:styleId="1">
    <w:name w:val="正文文本 字符1"/>
    <w:semiHidden/>
    <w:rPr>
      <w:rFonts w:ascii="Times New Roman" w:eastAsia="宋体" w:hAnsi="Times New Roman"/>
      <w:sz w:val="24"/>
    </w:rPr>
  </w:style>
  <w:style w:type="character" w:customStyle="1" w:styleId="Char2">
    <w:name w:val="批注框文本 Char"/>
    <w:link w:val="BalloonText"/>
    <w:semiHidden/>
    <w:locked/>
    <w:rPr>
      <w:rFonts w:ascii="Times New Roman" w:eastAsia="宋体" w:hAnsi="Times New Roman"/>
      <w:sz w:val="18"/>
    </w:rPr>
  </w:style>
  <w:style w:type="character" w:customStyle="1" w:styleId="Char3">
    <w:name w:val="批注文字 Char"/>
    <w:link w:val="CommentText"/>
    <w:locked/>
    <w:rPr>
      <w:rFonts w:ascii="Times New Roman" w:eastAsia="宋体" w:hAnsi="Times New Roman"/>
      <w:sz w:val="24"/>
    </w:rPr>
  </w:style>
  <w:style w:type="character" w:styleId="Hyperlink">
    <w:name w:val="Hyperlink"/>
    <w:basedOn w:val="DefaultParagraphFont"/>
    <w:locked/>
    <w:rPr>
      <w:color w:val="535353"/>
      <w:u w:val="none"/>
    </w:rPr>
  </w:style>
  <w:style w:type="character" w:customStyle="1" w:styleId="font81">
    <w:name w:val="font81"/>
    <w:basedOn w:val="DefaultParagraphFont"/>
    <w:rPr>
      <w:rFonts w:ascii="Times New Roman" w:hAnsi="Times New Roman" w:cs="Times New Roman" w:hint="default"/>
      <w:i w:val="0"/>
      <w:iCs w:val="0"/>
      <w:color w:val="000000"/>
      <w:sz w:val="24"/>
      <w:szCs w:val="24"/>
      <w:u w:val="none"/>
      <w:vertAlign w:val="superscript"/>
    </w:rPr>
  </w:style>
  <w:style w:type="character" w:styleId="Emphasis">
    <w:name w:val="Emphasis"/>
    <w:basedOn w:val="DefaultParagraphFont"/>
    <w:qFormat/>
    <w:locked/>
    <w:rPr>
      <w:i w:val="0"/>
      <w:iCs w:val="0"/>
      <w:color w:val="FF0000"/>
    </w:rPr>
  </w:style>
  <w:style w:type="character" w:customStyle="1" w:styleId="Char4">
    <w:name w:val="普通(网站) Char"/>
    <w:link w:val="NormalWeb"/>
    <w:locked/>
    <w:rPr>
      <w:rFonts w:ascii="宋体" w:eastAsia="宋体" w:hAnsi="宋体"/>
      <w:sz w:val="24"/>
    </w:rPr>
  </w:style>
  <w:style w:type="character" w:customStyle="1" w:styleId="font01">
    <w:name w:val="font01"/>
    <w:basedOn w:val="DefaultParagraphFont"/>
    <w:rPr>
      <w:rFonts w:ascii="宋体" w:eastAsia="宋体" w:hAnsi="宋体" w:cs="宋体" w:hint="eastAsia"/>
      <w:i w:val="0"/>
      <w:iCs w:val="0"/>
      <w:color w:val="000000"/>
      <w:sz w:val="22"/>
      <w:szCs w:val="22"/>
      <w:u w:val="none"/>
    </w:rPr>
  </w:style>
  <w:style w:type="character" w:styleId="FollowedHyperlink">
    <w:name w:val="FollowedHyperlink"/>
    <w:basedOn w:val="DefaultParagraphFont"/>
    <w:locked/>
    <w:rPr>
      <w:color w:val="535353"/>
      <w:u w:val="none"/>
    </w:rPr>
  </w:style>
  <w:style w:type="character" w:customStyle="1" w:styleId="Char5">
    <w:name w:val="页眉 Char"/>
    <w:link w:val="Header"/>
    <w:locked/>
    <w:rPr>
      <w:sz w:val="18"/>
    </w:rPr>
  </w:style>
  <w:style w:type="character" w:customStyle="1" w:styleId="font31">
    <w:name w:val="font31"/>
    <w:basedOn w:val="DefaultParagraphFont"/>
    <w:rPr>
      <w:rFonts w:ascii="Times New Roman" w:hAnsi="Times New Roman" w:cs="Times New Roman" w:hint="default"/>
      <w:i w:val="0"/>
      <w:iCs w:val="0"/>
      <w:color w:val="000000"/>
      <w:sz w:val="24"/>
      <w:szCs w:val="24"/>
      <w:u w:val="none"/>
    </w:rPr>
  </w:style>
  <w:style w:type="character" w:customStyle="1" w:styleId="Char6">
    <w:name w:val="批注主题 Char"/>
    <w:link w:val="CommentSubject"/>
    <w:semiHidden/>
    <w:locked/>
    <w:rPr>
      <w:rFonts w:ascii="Times New Roman" w:eastAsia="宋体" w:hAnsi="Times New Roman"/>
      <w:b/>
      <w:kern w:val="2"/>
      <w:sz w:val="24"/>
    </w:rPr>
  </w:style>
  <w:style w:type="character" w:styleId="Strong">
    <w:name w:val="Strong"/>
    <w:basedOn w:val="DefaultParagraphFont"/>
    <w:qFormat/>
    <w:locked/>
    <w:rPr>
      <w:b/>
    </w:rPr>
  </w:style>
  <w:style w:type="character" w:customStyle="1" w:styleId="Char7">
    <w:name w:val="表格 Char"/>
    <w:link w:val="a6"/>
    <w:locked/>
    <w:rPr>
      <w:rFonts w:ascii="宋体"/>
      <w:sz w:val="21"/>
    </w:rPr>
  </w:style>
  <w:style w:type="character" w:customStyle="1" w:styleId="Char8">
    <w:name w:val="页脚 Char"/>
    <w:link w:val="Footer"/>
    <w:uiPriority w:val="99"/>
    <w:locked/>
    <w:rPr>
      <w:sz w:val="18"/>
    </w:rPr>
  </w:style>
  <w:style w:type="character" w:customStyle="1" w:styleId="a0">
    <w:name w:val="页脚 字符"/>
    <w:basedOn w:val="DefaultParagraphFont"/>
    <w:uiPriority w:val="99"/>
  </w:style>
  <w:style w:type="character" w:customStyle="1" w:styleId="10">
    <w:name w:val="批注文字 字符1"/>
    <w:semiHidden/>
    <w:rPr>
      <w:rFonts w:ascii="Times New Roman" w:eastAsia="宋体" w:hAnsi="Times New Roman"/>
      <w:sz w:val="24"/>
    </w:rPr>
  </w:style>
  <w:style w:type="character" w:customStyle="1" w:styleId="font11">
    <w:name w:val="font11"/>
    <w:basedOn w:val="DefaultParagraphFont"/>
    <w:rPr>
      <w:rFonts w:ascii="宋体" w:eastAsia="宋体" w:hAnsi="宋体" w:cs="宋体" w:hint="eastAsia"/>
      <w:i w:val="0"/>
      <w:iCs w:val="0"/>
      <w:color w:val="000000"/>
      <w:sz w:val="24"/>
      <w:szCs w:val="24"/>
      <w:u w:val="none"/>
    </w:rPr>
  </w:style>
  <w:style w:type="character" w:customStyle="1" w:styleId="font21">
    <w:name w:val="font21"/>
    <w:basedOn w:val="DefaultParagraphFont"/>
    <w:rPr>
      <w:rFonts w:ascii="Times New Roman" w:hAnsi="Times New Roman" w:cs="Times New Roman" w:hint="default"/>
      <w:i w:val="0"/>
      <w:iCs w:val="0"/>
      <w:color w:val="000000"/>
      <w:sz w:val="22"/>
      <w:szCs w:val="22"/>
      <w:u w:val="none"/>
    </w:rPr>
  </w:style>
  <w:style w:type="character" w:customStyle="1" w:styleId="font71">
    <w:name w:val="font71"/>
    <w:basedOn w:val="DefaultParagraphFont"/>
    <w:rPr>
      <w:rFonts w:ascii="宋体" w:eastAsia="宋体" w:hAnsi="宋体" w:cs="宋体" w:hint="eastAsia"/>
      <w:i w:val="0"/>
      <w:iCs w:val="0"/>
      <w:color w:val="FF0000"/>
      <w:sz w:val="24"/>
      <w:szCs w:val="24"/>
      <w:u w:val="none"/>
    </w:rPr>
  </w:style>
  <w:style w:type="character" w:customStyle="1" w:styleId="font61">
    <w:name w:val="font61"/>
    <w:basedOn w:val="DefaultParagraphFont"/>
    <w:rPr>
      <w:rFonts w:ascii="Times New Roman" w:hAnsi="Times New Roman" w:cs="Times New Roman" w:hint="default"/>
      <w:i w:val="0"/>
      <w:iCs w:val="0"/>
      <w:color w:val="FF0000"/>
      <w:sz w:val="24"/>
      <w:szCs w:val="24"/>
      <w:u w:val="none"/>
    </w:rPr>
  </w:style>
  <w:style w:type="paragraph" w:styleId="TOC6">
    <w:name w:val="toc 6"/>
    <w:basedOn w:val="Normal"/>
    <w:next w:val="Normal"/>
    <w:uiPriority w:val="99"/>
    <w:semiHidden/>
    <w:qFormat/>
    <w:locked/>
    <w:pPr>
      <w:ind w:left="2100" w:leftChars="1000"/>
    </w:pPr>
  </w:style>
  <w:style w:type="paragraph" w:customStyle="1" w:styleId="-ls">
    <w:name w:val="正文-ls"/>
    <w:basedOn w:val="Normal"/>
    <w:qFormat/>
    <w:pPr>
      <w:widowControl w:val="0"/>
      <w:adjustRightInd/>
      <w:snapToGrid/>
      <w:spacing w:line="360" w:lineRule="auto"/>
      <w:ind w:firstLine="200" w:firstLineChars="200"/>
      <w:jc w:val="both"/>
    </w:pPr>
    <w:rPr>
      <w:rFonts w:hAnsi="宋体" w:cs="Times New Roman"/>
      <w:kern w:val="2"/>
      <w:sz w:val="24"/>
      <w:szCs w:val="20"/>
    </w:rPr>
  </w:style>
  <w:style w:type="paragraph" w:customStyle="1" w:styleId="5">
    <w:name w:val="样式5"/>
    <w:basedOn w:val="30"/>
    <w:qFormat/>
    <w:rPr>
      <w:rFonts w:ascii="黑体"/>
      <w:lang w:val="en-US" w:eastAsia="zh-CN" w:bidi="ar-SA"/>
    </w:rPr>
  </w:style>
  <w:style w:type="paragraph" w:customStyle="1" w:styleId="a1">
    <w:name w:val="中文报告书样式"/>
    <w:basedOn w:val="Normal"/>
    <w:qFormat/>
    <w:pPr>
      <w:widowControl w:val="0"/>
      <w:snapToGrid/>
      <w:spacing w:after="0" w:line="420" w:lineRule="atLeast"/>
      <w:jc w:val="both"/>
      <w:textAlignment w:val="baseline"/>
    </w:pPr>
    <w:rPr>
      <w:rFonts w:ascii="Times New Roman" w:eastAsia="宋体" w:hAnsi="Times New Roman" w:cs="Times New Roman"/>
      <w:kern w:val="24"/>
      <w:sz w:val="24"/>
      <w:szCs w:val="20"/>
    </w:rPr>
  </w:style>
  <w:style w:type="paragraph" w:customStyle="1" w:styleId="11">
    <w:name w:val="纯文本1"/>
    <w:basedOn w:val="Normal"/>
    <w:qFormat/>
    <w:pPr>
      <w:adjustRightInd w:val="0"/>
    </w:pPr>
    <w:rPr>
      <w:rFonts w:hAnsi="Courier New"/>
    </w:rPr>
  </w:style>
  <w:style w:type="paragraph" w:customStyle="1" w:styleId="a2">
    <w:name w:val="图标标题"/>
    <w:basedOn w:val="Normal"/>
    <w:qFormat/>
    <w:pPr>
      <w:widowControl w:val="0"/>
      <w:adjustRightInd/>
      <w:snapToGrid/>
      <w:spacing w:beforeLines="30"/>
      <w:jc w:val="center"/>
    </w:pPr>
    <w:rPr>
      <w:rFonts w:cs="Times New Roman"/>
      <w:b/>
      <w:kern w:val="2"/>
      <w:sz w:val="21"/>
      <w:szCs w:val="21"/>
    </w:rPr>
  </w:style>
  <w:style w:type="paragraph" w:styleId="HTMLPreformatted">
    <w:name w:val="HTML Preformatted"/>
    <w:basedOn w:val="Normal"/>
    <w:lock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 w:hint="eastAsia"/>
      <w:kern w:val="0"/>
      <w:sz w:val="24"/>
      <w:szCs w:val="24"/>
      <w:lang w:val="en-US" w:eastAsia="zh-CN" w:bidi="ar"/>
    </w:rPr>
  </w:style>
  <w:style w:type="paragraph" w:styleId="Footer">
    <w:name w:val="footer"/>
    <w:basedOn w:val="Normal"/>
    <w:link w:val="Char8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customStyle="1" w:styleId="0">
    <w:name w:val="0正文"/>
    <w:basedOn w:val="BodyTextIndent"/>
    <w:qFormat/>
    <w:pPr>
      <w:spacing w:line="300" w:lineRule="auto"/>
      <w:ind w:firstLine="200" w:firstLineChars="200"/>
    </w:pPr>
    <w:rPr>
      <w:rFonts w:ascii="Times New Roman" w:eastAsia="宋体" w:cs="宋体"/>
      <w:kern w:val="0"/>
      <w:sz w:val="24"/>
    </w:rPr>
  </w:style>
  <w:style w:type="paragraph" w:customStyle="1" w:styleId="a3">
    <w:name w:val="表格内正文"/>
    <w:basedOn w:val="Normal"/>
    <w:pPr>
      <w:spacing w:line="360" w:lineRule="auto"/>
      <w:ind w:firstLine="720" w:firstLineChars="200"/>
    </w:pPr>
    <w:rPr>
      <w:sz w:val="24"/>
    </w:rPr>
  </w:style>
  <w:style w:type="paragraph" w:customStyle="1" w:styleId="a4">
    <w:name w:val="管道表格内容"/>
    <w:basedOn w:val="Normal"/>
    <w:qFormat/>
    <w:pPr>
      <w:widowControl w:val="0"/>
      <w:spacing w:after="0"/>
      <w:jc w:val="center"/>
    </w:pPr>
    <w:rPr>
      <w:rFonts w:ascii="Times New Roman" w:eastAsia="宋体" w:hAnsi="宋体" w:cs="Times New Roman"/>
      <w:kern w:val="2"/>
      <w:sz w:val="21"/>
      <w:szCs w:val="21"/>
    </w:rPr>
  </w:style>
  <w:style w:type="paragraph" w:customStyle="1" w:styleId="3">
    <w:name w:val="表格3"/>
    <w:qFormat/>
    <w:pPr>
      <w:spacing w:line="240" w:lineRule="atLeast"/>
      <w:jc w:val="center"/>
    </w:pPr>
    <w:rPr>
      <w:rFonts w:ascii="Times New Roman" w:eastAsia="宋体" w:hAnsi="Times New Roman" w:cs="Times New Roman"/>
      <w:kern w:val="2"/>
      <w:sz w:val="21"/>
      <w:szCs w:val="21"/>
      <w:lang w:val="en-US" w:eastAsia="zh-CN" w:bidi="ar-SA"/>
    </w:rPr>
  </w:style>
  <w:style w:type="paragraph" w:customStyle="1" w:styleId="Normal0">
    <w:name w:val="Normal_0"/>
    <w:qFormat/>
    <w:pPr>
      <w:jc w:val="both"/>
    </w:pPr>
    <w:rPr>
      <w:rFonts w:ascii="Times New Roman" w:eastAsia="宋体" w:hAnsi="Times New Roman" w:cs="Times New Roman"/>
      <w:kern w:val="2"/>
      <w:sz w:val="21"/>
      <w:szCs w:val="21"/>
      <w:lang w:val="en-US" w:eastAsia="zh-CN" w:bidi="ar-SA"/>
    </w:rPr>
  </w:style>
  <w:style w:type="paragraph" w:styleId="NormalIndent">
    <w:name w:val="Normal Indent"/>
    <w:basedOn w:val="Normal"/>
    <w:qFormat/>
    <w:locked/>
    <w:pPr>
      <w:adjustRightInd/>
      <w:snapToGrid/>
      <w:ind w:firstLine="420" w:firstLineChars="200"/>
    </w:pPr>
    <w:rPr>
      <w:rFonts w:cs="Times New Roman"/>
      <w:sz w:val="20"/>
      <w:szCs w:val="20"/>
    </w:rPr>
  </w:style>
  <w:style w:type="paragraph" w:styleId="BodyText">
    <w:name w:val="Body Text"/>
    <w:basedOn w:val="Normal"/>
    <w:next w:val="TOC6"/>
    <w:link w:val="Char"/>
    <w:pPr>
      <w:widowControl/>
      <w:snapToGrid w:val="0"/>
      <w:spacing w:before="60" w:after="160" w:line="259" w:lineRule="auto"/>
      <w:ind w:right="113"/>
    </w:pPr>
    <w:rPr>
      <w:kern w:val="0"/>
      <w:sz w:val="18"/>
      <w:szCs w:val="20"/>
    </w:rPr>
  </w:style>
  <w:style w:type="paragraph" w:customStyle="1" w:styleId="12">
    <w:name w:val="样式1"/>
    <w:basedOn w:val="Normal"/>
    <w:next w:val="CommentSubject"/>
    <w:qFormat/>
    <w:pPr>
      <w:ind w:firstLine="462" w:firstLineChars="200"/>
    </w:pPr>
    <w:rPr>
      <w:rFonts w:ascii="宋体" w:hAnsi="宋体"/>
      <w:color w:val="000000"/>
    </w:rPr>
  </w:style>
  <w:style w:type="paragraph" w:customStyle="1" w:styleId="2">
    <w:name w:val="普通(网站)2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0"/>
    </w:rPr>
  </w:style>
  <w:style w:type="paragraph" w:styleId="BodyTextIndent">
    <w:name w:val="Body Text Indent"/>
    <w:basedOn w:val="Normal"/>
    <w:next w:val="Header"/>
    <w:link w:val="Char1"/>
    <w:pPr>
      <w:spacing w:after="120"/>
      <w:ind w:left="420" w:leftChars="200"/>
    </w:pPr>
    <w:rPr>
      <w:kern w:val="0"/>
      <w:sz w:val="24"/>
      <w:szCs w:val="20"/>
    </w:rPr>
  </w:style>
  <w:style w:type="paragraph" w:customStyle="1" w:styleId="13">
    <w:name w:val="管线标题1"/>
    <w:basedOn w:val="Normal"/>
    <w:qFormat/>
    <w:pPr>
      <w:spacing w:beforeLines="50" w:line="360" w:lineRule="auto"/>
    </w:pPr>
    <w:rPr>
      <w:rFonts w:cs="Times New Roman"/>
      <w:b/>
      <w:bCs/>
      <w:sz w:val="24"/>
      <w:szCs w:val="24"/>
    </w:rPr>
  </w:style>
  <w:style w:type="paragraph" w:styleId="BodyTextFirstIndent">
    <w:name w:val="Body Text First Indent"/>
    <w:basedOn w:val="BodyText"/>
    <w:unhideWhenUsed/>
    <w:qFormat/>
    <w:locked/>
    <w:pPr>
      <w:widowControl/>
      <w:adjustRightInd w:val="0"/>
      <w:snapToGrid w:val="0"/>
      <w:spacing w:after="120" w:line="240" w:lineRule="auto"/>
      <w:ind w:firstLine="420" w:firstLineChars="100"/>
      <w:jc w:val="left"/>
    </w:pPr>
    <w:rPr>
      <w:rFonts w:ascii="Tahoma" w:eastAsia="微软雅黑" w:hAnsi="Tahoma" w:cs="Times New Roman"/>
      <w:b w:val="0"/>
      <w:bCs w:val="0"/>
      <w:kern w:val="0"/>
      <w:sz w:val="22"/>
      <w:szCs w:val="22"/>
    </w:rPr>
  </w:style>
  <w:style w:type="paragraph" w:customStyle="1" w:styleId="20">
    <w:name w:val="列出段落2"/>
    <w:basedOn w:val="Normal"/>
    <w:uiPriority w:val="99"/>
    <w:qFormat/>
    <w:pPr>
      <w:ind w:firstLine="420" w:firstLineChars="200"/>
    </w:pPr>
    <w:rPr>
      <w:rFonts w:ascii="Calibri" w:hAnsi="Calibri"/>
      <w:szCs w:val="22"/>
    </w:rPr>
  </w:style>
  <w:style w:type="paragraph" w:customStyle="1" w:styleId="1222">
    <w:name w:val="样式 样式 样式 首行缩进:  1 字符 + 首行缩进:  2 字符2 + 首行缩进:  2 字符"/>
    <w:basedOn w:val="Normal"/>
    <w:qFormat/>
    <w:pPr>
      <w:widowControl w:val="0"/>
      <w:adjustRightInd/>
      <w:snapToGrid/>
      <w:spacing w:line="360" w:lineRule="auto"/>
      <w:ind w:firstLine="480" w:firstLineChars="200"/>
      <w:jc w:val="both"/>
    </w:pPr>
    <w:rPr>
      <w:rFonts w:ascii="宋体" w:hAnsi="宋体" w:cs="宋体"/>
      <w:kern w:val="2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Pr>
      <w:rFonts w:ascii="新宋体" w:eastAsia="新宋体" w:hAnsi="新宋体" w:cs="新宋体"/>
      <w:lang w:val="zh-CN" w:eastAsia="zh-CN" w:bidi="zh-CN"/>
    </w:rPr>
  </w:style>
  <w:style w:type="paragraph" w:customStyle="1" w:styleId="21">
    <w:name w:val="管线标题2"/>
    <w:basedOn w:val="Normal"/>
    <w:qFormat/>
    <w:pPr>
      <w:spacing w:beforeLines="50" w:line="360" w:lineRule="auto"/>
      <w:ind w:firstLine="472" w:firstLineChars="196"/>
    </w:pPr>
    <w:rPr>
      <w:rFonts w:cs="Times New Roman"/>
      <w:b/>
      <w:sz w:val="24"/>
      <w:szCs w:val="24"/>
    </w:rPr>
  </w:style>
  <w:style w:type="paragraph" w:styleId="BodyTextFirstIndent2">
    <w:name w:val="Body Text First Indent 2"/>
    <w:basedOn w:val="BodyTextIndent"/>
    <w:next w:val="BodyTextFirstIndent"/>
    <w:unhideWhenUsed/>
    <w:qFormat/>
    <w:locked/>
    <w:pPr>
      <w:spacing w:after="120"/>
      <w:ind w:left="420" w:firstLine="420" w:leftChars="200" w:firstLineChars="200"/>
    </w:pPr>
    <w:rPr>
      <w:rFonts w:ascii="Tahoma" w:eastAsia="微软雅黑" w:hAnsi="Tahoma"/>
    </w:rPr>
  </w:style>
  <w:style w:type="paragraph" w:customStyle="1" w:styleId="30">
    <w:name w:val="样式3"/>
    <w:basedOn w:val="Normal"/>
    <w:qFormat/>
    <w:pPr>
      <w:jc w:val="center"/>
    </w:pPr>
    <w:rPr>
      <w:rFonts w:eastAsia="黑体" w:hAnsi="黑体"/>
      <w:color w:val="000000"/>
    </w:rPr>
  </w:style>
  <w:style w:type="paragraph" w:customStyle="1" w:styleId="Default">
    <w:name w:val="Default"/>
    <w:basedOn w:val="11"/>
    <w:next w:val="6"/>
    <w:qFormat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  <w:lang w:val="en-US" w:eastAsia="zh-CN" w:bidi="ar-SA"/>
    </w:rPr>
  </w:style>
  <w:style w:type="paragraph" w:customStyle="1" w:styleId="toc84">
    <w:name w:val="toc 84"/>
    <w:next w:val="Normal"/>
    <w:uiPriority w:val="99"/>
    <w:qFormat/>
    <w:pPr>
      <w:wordWrap w:val="0"/>
      <w:ind w:left="2975"/>
      <w:jc w:val="both"/>
    </w:pPr>
    <w:rPr>
      <w:rFonts w:ascii="Times New Roman" w:eastAsia="宋体" w:hAnsi="Times New Roman" w:cs="Times New Roman"/>
      <w:sz w:val="21"/>
      <w:szCs w:val="22"/>
      <w:lang w:val="en-US" w:eastAsia="zh-CN" w:bidi="ar-SA"/>
    </w:rPr>
  </w:style>
  <w:style w:type="paragraph" w:customStyle="1" w:styleId="a5">
    <w:name w:val="表、图标题"/>
    <w:basedOn w:val="Normal"/>
    <w:next w:val="Normal"/>
    <w:qFormat/>
    <w:pPr>
      <w:ind w:firstLine="200"/>
      <w:jc w:val="center"/>
    </w:pPr>
    <w:rPr>
      <w:b/>
      <w:bCs/>
    </w:rPr>
  </w:style>
  <w:style w:type="paragraph" w:customStyle="1" w:styleId="12122">
    <w:name w:val="样式 样式 样式 首行缩进:  1 字符 + 首行缩进:  2 字符1 + 首行缩进:  2 字符2"/>
    <w:basedOn w:val="Normal"/>
    <w:uiPriority w:val="99"/>
    <w:qFormat/>
    <w:pPr>
      <w:spacing w:line="360" w:lineRule="auto"/>
      <w:ind w:firstLine="480" w:firstLineChars="200"/>
    </w:pPr>
    <w:rPr>
      <w:rFonts w:cs="宋体"/>
      <w:sz w:val="24"/>
      <w:szCs w:val="20"/>
    </w:rPr>
  </w:style>
  <w:style w:type="paragraph" w:styleId="CommentSubject">
    <w:name w:val="annotation subject"/>
    <w:basedOn w:val="CommentText"/>
    <w:next w:val="CommentText"/>
    <w:link w:val="Char6"/>
    <w:semiHidden/>
    <w:rPr>
      <w:b/>
      <w:sz w:val="24"/>
      <w:szCs w:val="20"/>
    </w:rPr>
  </w:style>
  <w:style w:type="paragraph" w:customStyle="1" w:styleId="a6">
    <w:name w:val="表格"/>
    <w:basedOn w:val="Normal"/>
    <w:next w:val="Normal"/>
    <w:link w:val="Char7"/>
    <w:pPr>
      <w:adjustRightInd w:val="0"/>
      <w:snapToGrid w:val="0"/>
      <w:spacing w:beforeLines="10" w:afterLines="10" w:line="259" w:lineRule="auto"/>
      <w:jc w:val="center"/>
    </w:pPr>
    <w:rPr>
      <w:rFonts w:ascii="宋体"/>
      <w:kern w:val="0"/>
      <w:szCs w:val="20"/>
    </w:rPr>
  </w:style>
  <w:style w:type="paragraph" w:customStyle="1" w:styleId="a7">
    <w:name w:val="表格文字"/>
    <w:basedOn w:val="BodyTextFirstIndent"/>
    <w:qFormat/>
    <w:pPr>
      <w:spacing w:line="560" w:lineRule="exact"/>
      <w:jc w:val="center"/>
    </w:pPr>
  </w:style>
  <w:style w:type="paragraph" w:styleId="Header">
    <w:name w:val="header"/>
    <w:basedOn w:val="Normal"/>
    <w:next w:val="5"/>
    <w:link w:val="Char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0"/>
    </w:rPr>
  </w:style>
  <w:style w:type="paragraph" w:customStyle="1" w:styleId="100">
    <w:name w:val="正文_1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PlainText">
    <w:name w:val="Plain Text"/>
    <w:basedOn w:val="Normal"/>
    <w:qFormat/>
    <w:locked/>
    <w:pPr>
      <w:widowControl w:val="0"/>
      <w:adjustRightInd/>
      <w:snapToGrid/>
      <w:spacing w:after="0"/>
      <w:jc w:val="both"/>
    </w:pPr>
    <w:rPr>
      <w:rFonts w:ascii="宋体" w:eastAsia="宋体" w:hAnsi="Courier New" w:cs="Times New Roman"/>
      <w:kern w:val="2"/>
      <w:sz w:val="28"/>
      <w:szCs w:val="20"/>
    </w:rPr>
  </w:style>
  <w:style w:type="paragraph" w:customStyle="1" w:styleId="a8">
    <w:name w:val="表格内容"/>
    <w:basedOn w:val="Normal"/>
    <w:qFormat/>
    <w:pPr>
      <w:widowControl w:val="0"/>
      <w:adjustRightInd/>
      <w:snapToGrid/>
      <w:jc w:val="center"/>
    </w:pPr>
    <w:rPr>
      <w:rFonts w:ascii="Times New Roman" w:hAnsi="Times New Roman" w:cs="Times New Roman"/>
      <w:kern w:val="2"/>
      <w:sz w:val="21"/>
      <w:szCs w:val="21"/>
    </w:rPr>
  </w:style>
  <w:style w:type="paragraph" w:customStyle="1" w:styleId="a9">
    <w:name w:val="管线正文"/>
    <w:basedOn w:val="Normal"/>
    <w:qFormat/>
    <w:pPr>
      <w:spacing w:line="360" w:lineRule="auto"/>
      <w:ind w:firstLine="482"/>
      <w:jc w:val="both"/>
      <w:textAlignment w:val="baseline"/>
    </w:pPr>
    <w:rPr>
      <w:rFonts w:cs="Times New Roman"/>
      <w:sz w:val="24"/>
      <w:szCs w:val="24"/>
    </w:rPr>
  </w:style>
  <w:style w:type="paragraph" w:styleId="CommentText">
    <w:name w:val="annotation text"/>
    <w:basedOn w:val="Normal"/>
    <w:link w:val="Char3"/>
    <w:semiHidden/>
    <w:pPr>
      <w:jc w:val="left"/>
    </w:pPr>
    <w:rPr>
      <w:kern w:val="0"/>
      <w:sz w:val="24"/>
      <w:szCs w:val="20"/>
    </w:rPr>
  </w:style>
  <w:style w:type="paragraph" w:styleId="BalloonText">
    <w:name w:val="Balloon Text"/>
    <w:basedOn w:val="Normal"/>
    <w:link w:val="Char2"/>
    <w:semiHidden/>
    <w:rPr>
      <w:kern w:val="0"/>
      <w:sz w:val="18"/>
      <w:szCs w:val="20"/>
    </w:rPr>
  </w:style>
  <w:style w:type="paragraph" w:customStyle="1" w:styleId="a10">
    <w:name w:val="表格正文"/>
    <w:basedOn w:val="Normal"/>
    <w:next w:val="Normal"/>
    <w:uiPriority w:val="99"/>
    <w:qFormat/>
    <w:pPr>
      <w:adjustRightInd w:val="0"/>
      <w:snapToGrid w:val="0"/>
      <w:jc w:val="center"/>
    </w:pPr>
    <w:rPr>
      <w:rFonts w:cs="宋体"/>
      <w:kern w:val="0"/>
      <w:sz w:val="18"/>
      <w:szCs w:val="18"/>
    </w:rPr>
  </w:style>
  <w:style w:type="paragraph" w:styleId="NormalWeb">
    <w:name w:val="Normal (Web)"/>
    <w:basedOn w:val="Normal"/>
    <w:next w:val="toc84"/>
    <w:link w:val="Char4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210">
    <w:name w:val="中等深浅网格 21"/>
    <w:basedOn w:val="Normal"/>
    <w:next w:val="Normal"/>
    <w:uiPriority w:val="1"/>
    <w:qFormat/>
    <w:pPr>
      <w:jc w:val="center"/>
    </w:pPr>
    <w:rPr>
      <w:kern w:val="2"/>
      <w:sz w:val="21"/>
    </w:rPr>
  </w:style>
  <w:style w:type="paragraph" w:styleId="Date">
    <w:name w:val="Date"/>
    <w:basedOn w:val="Normal"/>
    <w:next w:val="Normal"/>
    <w:link w:val="Char0"/>
    <w:pPr>
      <w:ind w:left="100" w:leftChars="2500"/>
    </w:pPr>
    <w:rPr>
      <w:kern w:val="0"/>
      <w:sz w:val="24"/>
      <w:szCs w:val="20"/>
    </w:rPr>
  </w:style>
  <w:style w:type="paragraph" w:customStyle="1" w:styleId="6">
    <w:name w:val="正文文字 6"/>
    <w:next w:val="Normal"/>
    <w:qFormat/>
    <w:pPr>
      <w:widowControl w:val="0"/>
      <w:ind w:left="240"/>
      <w:jc w:val="both"/>
    </w:pPr>
    <w:rPr>
      <w:rFonts w:ascii="宋体" w:eastAsia="宋体" w:hAnsi="Times New Roman" w:cs="Times New Roman"/>
      <w:b/>
      <w:bCs/>
      <w:kern w:val="2"/>
      <w:sz w:val="32"/>
      <w:szCs w:val="32"/>
      <w:lang w:val="en-US" w:eastAsia="zh-CN" w:bidi="ar-SA"/>
    </w:rPr>
  </w:style>
  <w:style w:type="paragraph" w:customStyle="1" w:styleId="a11">
    <w:name w:val="管线表头"/>
    <w:basedOn w:val="Normal"/>
    <w:qFormat/>
    <w:pPr>
      <w:widowControl w:val="0"/>
      <w:jc w:val="center"/>
    </w:pPr>
    <w:rPr>
      <w:rFonts w:cs="Times New Roman"/>
      <w:b/>
      <w:kern w:val="2"/>
      <w:sz w:val="21"/>
      <w:szCs w:val="21"/>
      <w:lang w:val="zh-CN"/>
    </w:rPr>
  </w:style>
  <w:style w:type="paragraph" w:styleId="BodyTextIndent2">
    <w:name w:val="Body Text Indent 2"/>
    <w:basedOn w:val="Normal"/>
    <w:qFormat/>
    <w:locked/>
    <w:pPr>
      <w:ind w:firstLine="447" w:firstLineChars="200"/>
    </w:pPr>
    <w:rPr>
      <w:rFonts w:ascii="宋体"/>
      <w:spacing w:val="4"/>
      <w:w w:val="90"/>
      <w:sz w:val="24"/>
    </w:rPr>
  </w:style>
  <w:style w:type="table" w:styleId="TableGrid">
    <w:name w:val="Table Grid"/>
    <w:basedOn w:val="TableNormal"/>
    <w:rPr>
      <w:lang w:val="en-US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0">
    <w:name w:val="网格型_0"/>
    <w:basedOn w:val="TableNormal"/>
    <w:rPr>
      <w:lang w:val="en-US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网格型_1"/>
    <w:basedOn w:val="TableNormal"/>
    <w:rPr>
      <w:lang w:val="en-US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_2"/>
    <w:basedOn w:val="TableNormal"/>
    <w:rPr>
      <w:lang w:val="en-US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header" Target="header4.xml" /><Relationship Id="rId14" Type="http://schemas.openxmlformats.org/officeDocument/2006/relationships/footer" Target="footer7.xml" /><Relationship Id="rId15" Type="http://schemas.openxmlformats.org/officeDocument/2006/relationships/footer" Target="footer8.xml" /><Relationship Id="rId16" Type="http://schemas.openxmlformats.org/officeDocument/2006/relationships/header" Target="header5.xml" /><Relationship Id="rId17" Type="http://schemas.openxmlformats.org/officeDocument/2006/relationships/footer" Target="footer9.xml" /><Relationship Id="rId18" Type="http://schemas.openxmlformats.org/officeDocument/2006/relationships/footer" Target="footer10.xml" /><Relationship Id="rId19" Type="http://schemas.openxmlformats.org/officeDocument/2006/relationships/header" Target="header6.xml" /><Relationship Id="rId2" Type="http://schemas.openxmlformats.org/officeDocument/2006/relationships/webSettings" Target="webSettings.xml" /><Relationship Id="rId20" Type="http://schemas.openxmlformats.org/officeDocument/2006/relationships/footer" Target="footer11.xml" /><Relationship Id="rId21" Type="http://schemas.openxmlformats.org/officeDocument/2006/relationships/footer" Target="footer12.xml" /><Relationship Id="rId22" Type="http://schemas.openxmlformats.org/officeDocument/2006/relationships/header" Target="header7.xml" /><Relationship Id="rId23" Type="http://schemas.openxmlformats.org/officeDocument/2006/relationships/footer" Target="footer13.xml" /><Relationship Id="rId24" Type="http://schemas.openxmlformats.org/officeDocument/2006/relationships/footer" Target="footer14.xml" /><Relationship Id="rId25" Type="http://schemas.openxmlformats.org/officeDocument/2006/relationships/hyperlink" Target="https://d.book118.com/615023022100011124" TargetMode="External" /><Relationship Id="rId26" Type="http://schemas.openxmlformats.org/officeDocument/2006/relationships/header" Target="header8.xml" /><Relationship Id="rId27" Type="http://schemas.openxmlformats.org/officeDocument/2006/relationships/footer" Target="footer15.xml" /><Relationship Id="rId28" Type="http://schemas.openxmlformats.org/officeDocument/2006/relationships/footer" Target="footer16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0</TotalTime>
  <Pages>10</Pages>
  <Words>27380</Words>
  <Characters>31438</Characters>
  <Application>Microsoft Office Word</Application>
  <DocSecurity>0</DocSecurity>
  <Lines>13</Lines>
  <Paragraphs>3</Paragraphs>
  <ScaleCrop>false</ScaleCrop>
  <Company>微软中国</Company>
  <LinksUpToDate>false</LinksUpToDate>
  <CharactersWithSpaces>31675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lhj</dc:creator>
  <cp:lastModifiedBy>WPS_1559717548</cp:lastModifiedBy>
  <cp:revision>37</cp:revision>
  <cp:lastPrinted>2020-12-29T02:43:00Z</cp:lastPrinted>
  <dcterms:created xsi:type="dcterms:W3CDTF">2020-12-24T01:29:00Z</dcterms:created>
  <dcterms:modified xsi:type="dcterms:W3CDTF">2024-03-19T02:53:30Z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5869CE962FA546CF833866614E92FE85</vt:lpwstr>
  </property>
  <property fmtid="{D5CDD505-2E9C-101B-9397-08002B2CF9AE}" pid="3" name="KSOProductBuildVer">
    <vt:lpwstr>2052-11.1.0.10009</vt:lpwstr>
  </property>
</Properties>
</file>