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keepNext w:val="0"/>
        <w:keepLines w:val="0"/>
        <w:pageBreakBefore w:val="0"/>
        <w:widowControl w:val="0"/>
        <w:kinsoku/>
        <w:wordWrap/>
        <w:overflowPunct/>
        <w:topLinePunct w:val="0"/>
        <w:autoSpaceDE/>
        <w:autoSpaceDN/>
        <w:bidi w:val="0"/>
        <w:adjustRightInd w:val="0"/>
        <w:snapToGrid w:val="0"/>
        <w:spacing w:after="312" w:afterLines="100" w:line="480" w:lineRule="auto"/>
        <w:ind w:left="630" w:right="630" w:leftChars="300" w:rightChars="300"/>
        <w:jc w:val="center"/>
        <w:textAlignment w:val="auto"/>
        <w:rPr>
          <w:rFonts w:asciiTheme="minorEastAsia" w:hAnsiTheme="minorEastAsia" w:cstheme="minorEastAsia" w:hint="eastAsia"/>
          <w:b/>
          <w:bCs/>
          <w:sz w:val="32"/>
          <w:szCs w:val="32"/>
        </w:rPr>
      </w:pPr>
      <w:r>
        <w:rPr>
          <w:rFonts w:asciiTheme="minorEastAsia" w:eastAsiaTheme="minorEastAsia" w:hAnsiTheme="minorEastAsia" w:cstheme="minorEastAsia" w:hint="eastAsia"/>
          <w:b/>
          <w:bCs/>
          <w:sz w:val="32"/>
          <w:szCs w:val="32"/>
          <w:lang w:val="en-US" w:eastAsia="zh-CN"/>
        </w:rPr>
        <w:t>资本配置商业银行风险管理的核心</w:t>
      </w:r>
    </w:p>
    <w:p>
      <w:pPr>
        <w:keepNext w:val="0"/>
        <w:keepLines w:val="0"/>
        <w:pageBreakBefore w:val="0"/>
        <w:widowControl w:val="0"/>
        <w:kinsoku/>
        <w:wordWrap/>
        <w:overflowPunct/>
        <w:topLinePunct w:val="0"/>
        <w:autoSpaceDE/>
        <w:autoSpaceDN/>
        <w:bidi w:val="0"/>
        <w:adjustRightInd w:val="0"/>
        <w:snapToGrid w:val="0"/>
        <w:spacing w:before="312" w:beforeLines="100" w:line="480" w:lineRule="auto"/>
        <w:ind w:firstLine="640" w:firstLineChars="200"/>
        <w:jc w:val="left"/>
        <w:textAlignment w:val="auto"/>
        <w:rPr>
          <w:rFonts w:asciiTheme="minorEastAsia" w:hAnsiTheme="minorEastAsia" w:cstheme="minorEastAsia" w:hint="eastAsia"/>
          <w:b/>
          <w:bCs/>
          <w:sz w:val="32"/>
          <w:szCs w:val="32"/>
        </w:rPr>
      </w:pPr>
      <w:r>
        <w:rPr>
          <w:rFonts w:asciiTheme="minorEastAsia" w:eastAsiaTheme="minorEastAsia" w:hAnsiTheme="minorEastAsia" w:cstheme="minorEastAsia" w:hint="eastAsia"/>
          <w:b/>
          <w:bCs/>
          <w:sz w:val="32"/>
          <w:szCs w:val="32"/>
          <w:lang w:val="en-US" w:eastAsia="zh-CN"/>
        </w:rPr>
        <w:t>一、本文概述</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随着金融市场的不断发展和全球化趋势的加强，商业银行在资本配置和风险管理方面面临着前所未有的挑战。资本配置作为商业银行经营管理的核心环节，直接关系到银行的稳健运营和风险控制能力。因此，深入探讨资本配置在商业银行风险管理中的核心地位及其优化策略，对于提升银行风险管理水平、保障银行资产质量和维护金融稳定具有重要意义。</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本文旨在全面分析资本配置在商业银行风险管理中的作用，包括资本充足率管理、资产负债配置、内部风险管理机制等多个方面。文章将首先概述商业银行风险管理的基本框架和资本配置的核心地位，然后深入探讨资本配置对银行风险管理的影响，接着分析当前商业银行在资本配置和风险管理方面存在的问题及其成因，最后提出优化资本配置、提升风险管理水平的策略和建议。</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通过本文的研究，我们期望能够为商业银行更好地应对市场风险、信用风险、操作风险等各类风险提供理论支持和实践指导，促进银行业的健康发展和金融市场的稳定运行。</w:t>
      </w:r>
    </w:p>
    <w:p>
      <w:pPr>
        <w:keepNext w:val="0"/>
        <w:keepLines w:val="0"/>
        <w:pageBreakBefore w:val="0"/>
        <w:widowControl w:val="0"/>
        <w:kinsoku/>
        <w:wordWrap/>
        <w:overflowPunct/>
        <w:topLinePunct w:val="0"/>
        <w:autoSpaceDE/>
        <w:autoSpaceDN/>
        <w:bidi w:val="0"/>
        <w:adjustRightInd w:val="0"/>
        <w:snapToGrid w:val="0"/>
        <w:spacing w:before="312" w:beforeLines="100" w:line="480" w:lineRule="auto"/>
        <w:ind w:firstLine="640" w:firstLineChars="200"/>
        <w:jc w:val="left"/>
        <w:textAlignment w:val="auto"/>
        <w:rPr>
          <w:rFonts w:asciiTheme="minorEastAsia" w:hAnsiTheme="minorEastAsia" w:cstheme="minorEastAsia" w:hint="eastAsia"/>
          <w:b/>
          <w:bCs/>
          <w:sz w:val="32"/>
          <w:szCs w:val="32"/>
        </w:rPr>
        <w:sectPr>
          <w:pgSz w:w="11906" w:h="16838"/>
          <w:pgMar w:top="1440" w:right="1800" w:bottom="1440" w:left="1800" w:header="851" w:footer="992" w:gutter="0"/>
          <w:cols w:num="1" w:space="425"/>
          <w:docGrid w:type="lines" w:linePitch="312" w:charSpace="0"/>
        </w:sectPr>
      </w:pPr>
      <w:r>
        <w:rPr>
          <w:rFonts w:asciiTheme="minorEastAsia" w:eastAsiaTheme="minorEastAsia" w:hAnsiTheme="minorEastAsia" w:cstheme="minorEastAsia" w:hint="eastAsia"/>
          <w:b/>
          <w:bCs/>
          <w:sz w:val="32"/>
          <w:szCs w:val="32"/>
          <w:lang w:val="en-US" w:eastAsia="zh-CN"/>
        </w:rPr>
        <w:t>二、商业银行风险管理概述</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商业银行作为金融体系的核心组成部分，其风险管理能力直接关系到银行自身的稳健运营和金融市场的稳定。风险管理，简而言之，就是识别、评估、控制和监控潜在风险的过程，目的是将风险对银行造成的损失降到最低。在商业银行的日常运营中，风险管理涵盖了信用风险、市场风险、操作风险、流动性风险等多个方面。</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信用风险是商业银行面临的最主要风险之一，它源于借款人或债务人无法按照合约履行还款义务。市场风险则与金融市场价格变动有关，如利率、汇率、股票价格的波动等。操作风险则是由内部流程、人为错误或系统故障等因素引起的。流动性风险则是指银行在面临资金流出时，无法以合理成本及时获取足够资金以满足其负债和承诺的风险。</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为了有效管理这些风险，商业银行需要建立健全的风险管理体系。这包括风险识别机制，用于及时发现潜在风险；风险评估体系，用于量化风险的大小和可能造成的损失；风险控制措施，如设置风险限额、制定风险缓释策略等；以及风险监控机制，用于持续跟踪风险状况，确保风险管理措施的有效性。</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2"/>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在资本配置方面，商业银行需要确保有足够的资本来覆盖潜在的风险损失。这要求银行在制定资本配置策略时，不仅要考虑业务的盈利性和发展性，还要考虑风险因素。通过优化资本配置，商业银行可以在确保风险可控的前提下，实现业务的稳健发展。</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商业银行风险管理是一个复杂而重要的任务。它要求银行在识别、评估、控制和监控风险方面做出努力，确保银行业务的稳健运营和金融市场的稳定。而资本配置则是实现这一目标的重要手段之一。</w:t>
      </w:r>
    </w:p>
    <w:p>
      <w:pPr>
        <w:keepNext w:val="0"/>
        <w:keepLines w:val="0"/>
        <w:pageBreakBefore w:val="0"/>
        <w:widowControl w:val="0"/>
        <w:kinsoku/>
        <w:wordWrap/>
        <w:overflowPunct/>
        <w:topLinePunct w:val="0"/>
        <w:autoSpaceDE/>
        <w:autoSpaceDN/>
        <w:bidi w:val="0"/>
        <w:adjustRightInd w:val="0"/>
        <w:snapToGrid w:val="0"/>
        <w:spacing w:before="312" w:beforeLines="100" w:line="480" w:lineRule="auto"/>
        <w:ind w:firstLine="640" w:firstLineChars="200"/>
        <w:jc w:val="left"/>
        <w:textAlignment w:val="auto"/>
        <w:rPr>
          <w:rFonts w:asciiTheme="minorEastAsia" w:hAnsiTheme="minorEastAsia" w:cstheme="minorEastAsia" w:hint="eastAsia"/>
          <w:b/>
          <w:bCs/>
          <w:sz w:val="32"/>
          <w:szCs w:val="32"/>
        </w:rPr>
      </w:pPr>
      <w:r>
        <w:rPr>
          <w:rFonts w:asciiTheme="minorEastAsia" w:eastAsiaTheme="minorEastAsia" w:hAnsiTheme="minorEastAsia" w:cstheme="minorEastAsia" w:hint="eastAsia"/>
          <w:b/>
          <w:bCs/>
          <w:sz w:val="32"/>
          <w:szCs w:val="32"/>
          <w:lang w:val="en-US" w:eastAsia="zh-CN"/>
        </w:rPr>
        <w:t>三、资本配置的基本原理</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资本配置是商业银行风险管理的核心，其基本原理主要基于风险与收益的平衡、资本的有效利用以及银行的长期稳定发展。资本配置的过程，实质上是在保证银行正常运营和满足监管要求的前提下，根据各类风险的特点和银行自身的风险承受能力，将资本在不同风险类别、不同业务领域、不同地区及不同时间段进行合理分配的过程。</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资本配置强调风险与收益的平衡。银行在追求收益的同时，必须充分考虑风险因素，确保资本的配置与风险的大小和性质相匹配。高风险业务需要配置更多的资本以吸收可能的损失，而低风险业务则可以配置相对较少的资本。通过这种方式，银行可以在控制风险的前提下实现收益最大化。</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3"/>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资本配置要求资本的有效利用。这意味着银行应根据自身的风险承受能力和业务特点，合理分配资本，避免资本的过度集中或分散。过度集中可能导致某些领域的资本过剩，而分散则可能使某些关键领域的资本不足。因此，银行应通过科学的资本配置方法，确保资本在不同领域之间的合理配置，以实现资本利用效率的最大化。</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资本配置要服务于银行的长期稳定发展。银行作为经营风险的特殊企业，其资本配置必须考虑银行的长期发展战略和市场环境。通过优化资本配置，银行可以提高自身的风险管理能力，增强市场竞争力，为银行的长期稳定发展奠定坚实的基础。</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资本配置的基本原理是在风险与收益平衡、资本有效利用以及银行长期稳定发展三个方面寻求最佳平衡。通过科学的资本配置方法，商业银行可以更好地管理风险，提高经营效率，实现可持续发展。</w:t>
      </w:r>
    </w:p>
    <w:p>
      <w:pPr>
        <w:keepNext w:val="0"/>
        <w:keepLines w:val="0"/>
        <w:pageBreakBefore w:val="0"/>
        <w:widowControl w:val="0"/>
        <w:kinsoku/>
        <w:wordWrap/>
        <w:overflowPunct/>
        <w:topLinePunct w:val="0"/>
        <w:autoSpaceDE/>
        <w:autoSpaceDN/>
        <w:bidi w:val="0"/>
        <w:adjustRightInd w:val="0"/>
        <w:snapToGrid w:val="0"/>
        <w:spacing w:before="312" w:beforeLines="100" w:line="480" w:lineRule="auto"/>
        <w:ind w:firstLine="640" w:firstLineChars="200"/>
        <w:jc w:val="left"/>
        <w:textAlignment w:val="auto"/>
        <w:rPr>
          <w:rFonts w:asciiTheme="minorEastAsia" w:hAnsiTheme="minorEastAsia" w:cstheme="minorEastAsia" w:hint="eastAsia"/>
          <w:b/>
          <w:bCs/>
          <w:sz w:val="32"/>
          <w:szCs w:val="32"/>
        </w:rPr>
      </w:pPr>
      <w:r>
        <w:rPr>
          <w:rFonts w:asciiTheme="minorEastAsia" w:eastAsiaTheme="minorEastAsia" w:hAnsiTheme="minorEastAsia" w:cstheme="minorEastAsia" w:hint="eastAsia"/>
          <w:b/>
          <w:bCs/>
          <w:sz w:val="32"/>
          <w:szCs w:val="32"/>
          <w:lang w:val="en-US" w:eastAsia="zh-CN"/>
        </w:rPr>
        <w:t>四、资本配置与商业银行风险管理的关系</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资本配置直接影响商业银行的风险承受能力。银行通过合理的资本配置，能够优化资产结构，提高资本使用效率，从而增强对各类风险的抵御能力。资本充足率是衡量银行风险承受能力的重要指标，其高低直接决定了银行在面临风险时的稳定性和持续经营能力。</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资本配置是商业银行实现风险管理战略的重要手段。银行通过制定明确的资本配置策略，可以将资本投向风险较小、收益稳定的业务领域，同时调整或限制高风险业务的资本投入，以实现风险与收益的平衡。这种战略性的资本配置有助于银行在复杂多变的市场环境中保持稳健的风险管理态势。</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4"/>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资本配置还与商业银行的风险管理文化和理念紧密相连。银行在资本配置过程中，需要充分考虑自身的风险偏好、风险承受能力以及市场环境等因素，这要求银行具备科学的风险管理理念和健全的风险管理文化。通过资本配置的引导，银行可以培养全员的风险意识，形成积极向上的风险管理氛围。</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资本配置对商业银行的风险管理效果具有显著影响。合理的资本配置有助于银行优化风险管理流程，提高风险管理效率，降低风险损失。通过资本配置的动态调整，银行可以及时发现并应对潜在风险，保障银行业务的稳健运行。</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资本配置与商业银行风险管理之间存在密切的关系。银行应重视资本配置在风险管理中的作用，通过科学的资本配置策略，提升风险管理水平，保障银行的稳健发展。</w:t>
      </w:r>
    </w:p>
    <w:p>
      <w:pPr>
        <w:keepNext w:val="0"/>
        <w:keepLines w:val="0"/>
        <w:pageBreakBefore w:val="0"/>
        <w:widowControl w:val="0"/>
        <w:kinsoku/>
        <w:wordWrap/>
        <w:overflowPunct/>
        <w:topLinePunct w:val="0"/>
        <w:autoSpaceDE/>
        <w:autoSpaceDN/>
        <w:bidi w:val="0"/>
        <w:adjustRightInd w:val="0"/>
        <w:snapToGrid w:val="0"/>
        <w:spacing w:before="312" w:beforeLines="100" w:line="480" w:lineRule="auto"/>
        <w:ind w:firstLine="640" w:firstLineChars="200"/>
        <w:jc w:val="left"/>
        <w:textAlignment w:val="auto"/>
        <w:rPr>
          <w:rFonts w:asciiTheme="minorEastAsia" w:hAnsiTheme="minorEastAsia" w:cstheme="minorEastAsia" w:hint="eastAsia"/>
          <w:b/>
          <w:bCs/>
          <w:sz w:val="32"/>
          <w:szCs w:val="32"/>
        </w:rPr>
      </w:pPr>
      <w:r>
        <w:rPr>
          <w:rFonts w:asciiTheme="minorEastAsia" w:eastAsiaTheme="minorEastAsia" w:hAnsiTheme="minorEastAsia" w:cstheme="minorEastAsia" w:hint="eastAsia"/>
          <w:b/>
          <w:bCs/>
          <w:sz w:val="32"/>
          <w:szCs w:val="32"/>
          <w:lang w:val="en-US" w:eastAsia="zh-CN"/>
        </w:rPr>
        <w:t>五、资本配置的实践案例分析</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在商业银行风险管理的实践中，资本配置是一个至关重要的环节。通过具体案例分析，可以更好地理解资本配置在风险管理中的核心作用。</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5"/>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以某大型商业银行为例，该银行在面对经济下行压力和信贷风险加大的情况下，积极调整资本配置策略，以应对风险。该银行通过风险评估模型，对各类信贷业务的风险进行了量化评估，明确了高风险业务和低风险业务的分布。在此基础上，银行根据风险承受能力，对资本进行了优化配置，将更多的资本投向低风险业务，同时适当减少高风险业务的资本投入。</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该银行还注重资本配置的动态调整。随着市场环境的变化，银行不断对资本配置进行优化，以适应风险管理的需要。例如，在经济形势好转时，银行适当增加对高风险业务的资本投入，以获取更高的收益；而在经济形势恶化时，银行则更加注重资本的安全性，减少对高风险业务的投入。</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通过这一实践案例，可以看出资本配置在商业银行风险管理中的核心地位。通过科学的资本配置策略，银行可以更好地应对风险，实现稳健经营。资本配置的实践也要求银行不断提升风险管理能力，完善风险评估模型，提高资本配置的准确性和有效性。</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资本配置是商业银行风险管理的核心环节。通过具体的实践案例分析，可以深入了解资本配置在风险管理中的重要作用。对于商业银行而言，不断优化资本配置策略，提高风险管理能力，是实现稳健经营和可持续发展的关键。</w:t>
      </w:r>
    </w:p>
    <w:p>
      <w:pPr>
        <w:keepNext w:val="0"/>
        <w:keepLines w:val="0"/>
        <w:pageBreakBefore w:val="0"/>
        <w:widowControl w:val="0"/>
        <w:kinsoku/>
        <w:wordWrap/>
        <w:overflowPunct/>
        <w:topLinePunct w:val="0"/>
        <w:autoSpaceDE/>
        <w:autoSpaceDN/>
        <w:bidi w:val="0"/>
        <w:adjustRightInd w:val="0"/>
        <w:snapToGrid w:val="0"/>
        <w:spacing w:before="312" w:beforeLines="100" w:line="480" w:lineRule="auto"/>
        <w:ind w:firstLine="640" w:firstLineChars="200"/>
        <w:jc w:val="left"/>
        <w:textAlignment w:val="auto"/>
        <w:rPr>
          <w:rFonts w:asciiTheme="minorEastAsia" w:hAnsiTheme="minorEastAsia" w:cstheme="minorEastAsia" w:hint="eastAsia"/>
          <w:b/>
          <w:bCs/>
          <w:sz w:val="32"/>
          <w:szCs w:val="32"/>
        </w:rPr>
      </w:pPr>
      <w:r>
        <w:rPr>
          <w:rFonts w:asciiTheme="minorEastAsia" w:eastAsiaTheme="minorEastAsia" w:hAnsiTheme="minorEastAsia" w:cstheme="minorEastAsia" w:hint="eastAsia"/>
          <w:b/>
          <w:bCs/>
          <w:sz w:val="32"/>
          <w:szCs w:val="32"/>
          <w:lang w:val="en-US" w:eastAsia="zh-CN"/>
        </w:rPr>
        <w:t>六、优化资本配置以提高商业银行风险管理水平的建议</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6"/>
          <w:cols w:num="1" w:space="425"/>
          <w:titlePg w:val="0"/>
          <w:docGrid w:type="lines" w:linePitch="312" w:charSpace="0"/>
        </w:sectPr>
      </w:pPr>
      <w:r>
        <w:rPr>
          <w:rFonts w:asciiTheme="minorEastAsia" w:eastAsiaTheme="minorEastAsia" w:hAnsiTheme="minorEastAsia" w:cstheme="minorEastAsia" w:hint="eastAsia"/>
          <w:b w:val="0"/>
          <w:bCs w:val="0"/>
          <w:sz w:val="28"/>
          <w:szCs w:val="28"/>
          <w:lang w:val="en-US" w:eastAsia="zh-CN"/>
        </w:rPr>
        <w:t>针对商业银行在风险管理过程中面临的挑战，优化资本配置成为提升风险管理水平的关键。以下是针对商业银行如何优化资本配置以提高风险管理水平的几点建议：</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强化风险识别与评估能力：商业银行应建立完善的风险识别与评估机制，准确识别各类风险，并对其进行科学评估。通过运用先进的风险管理技术和方法，如内部评级法、压力测试等，对风险进行量化分析，为资本配置提供决策依据。</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提升资本管理精细化水平：商业银行应加强资本管理的精细化，确保资本在不同风险领域之间的合理分配。通过建立科学的资本分配模型，综合考虑风险收益平衡，实现资本的有效利用。</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加强内部控制与合规管理：商业银行应完善内部控制体系，确保资本配置过程的合规性和有效性。通过加强内部审计和合规检查，及时发现和纠正资本配置过程中的问题，防范风险的发生。</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推动数字化转型与创新：利用大数据、人工智能等先进技术，推动商业银行风险管理数字化转型，提高资本配置的效率和准确性。通过创新风险管理工具和方法，提升商业银行风险管理的整体水平。</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加强人才培养与团队建设：商业银行应重视风险管理人才的培养和团队建设，提升员工的风险意识和风险管理能力。通过定期培训和交流学习，打造一支高素质的风险管理团队，为资本配置提供有力支持。</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7"/>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建立风险信息共享机制：加强与其他金融机构、监管部门的沟通与协作，建立风险信息共享机制。通过共享风险信息和经验，提升商业银行风险管理的整体水平，为资本配置提供更为准确和全面的参考。</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优化资本配置对于提高商业银行风险管理水平具有重要意义。商业银行应从多个方面入手，加强风险识别与评估、提升资本管理精细化水平、加强内部控制与合规管理、推动数字化转型与创新、加强人才培养与团队建设以及建立风险信息共享机制等方面着手，全面提升风险管理能力，确保银行业务的稳健发展。</w:t>
      </w:r>
    </w:p>
    <w:p>
      <w:pPr>
        <w:keepNext w:val="0"/>
        <w:keepLines w:val="0"/>
        <w:pageBreakBefore w:val="0"/>
        <w:widowControl w:val="0"/>
        <w:kinsoku/>
        <w:wordWrap/>
        <w:overflowPunct/>
        <w:topLinePunct w:val="0"/>
        <w:autoSpaceDE/>
        <w:autoSpaceDN/>
        <w:bidi w:val="0"/>
        <w:adjustRightInd w:val="0"/>
        <w:snapToGrid w:val="0"/>
        <w:spacing w:before="312" w:beforeLines="100" w:line="480" w:lineRule="auto"/>
        <w:ind w:firstLine="640" w:firstLineChars="200"/>
        <w:jc w:val="left"/>
        <w:textAlignment w:val="auto"/>
        <w:rPr>
          <w:rFonts w:asciiTheme="minorEastAsia" w:hAnsiTheme="minorEastAsia" w:cstheme="minorEastAsia" w:hint="eastAsia"/>
          <w:b/>
          <w:bCs/>
          <w:sz w:val="32"/>
          <w:szCs w:val="32"/>
        </w:rPr>
      </w:pPr>
      <w:r>
        <w:rPr>
          <w:rFonts w:asciiTheme="minorEastAsia" w:eastAsiaTheme="minorEastAsia" w:hAnsiTheme="minorEastAsia" w:cstheme="minorEastAsia" w:hint="eastAsia"/>
          <w:b/>
          <w:bCs/>
          <w:sz w:val="32"/>
          <w:szCs w:val="32"/>
          <w:lang w:val="en-US" w:eastAsia="zh-CN"/>
        </w:rPr>
        <w:t>七、结论</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经过对资本配置在商业银行风险管理中的核心作用进行深入分析，我们可以清晰地看到，资本配置不仅是商业银行风险管理的重要组成部分，而且是确保银行稳健运营、持续发展的重要保障。在当前的金融环境下，随着市场竞争加剧和监管要求的日益严格，商业银行必须高度重视资本配置的作用，将其作为风险管理的核心环节来对待。</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资本配置的核心在于平衡风险与收益，确保银行在追求经济效益的同时，有效控制风险。通过科学合理的资本配置，商业银行不仅能够提高自身的风险抵御能力，还能优化资产结构，提升整体运营效率。同时，资本配置还有助于银行更好地应对市场变化和监管要求，增强市场竞争力。</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8"/>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为了实现资本配置的最优化，商业银行需要不断完善内部风险管理机制，提升风险管理水平。这包括加强风险评估、强化风险监控、优化风险处置等方面的工作。银行还应积极运用现代科技手段，如大数据、人工智能等，提高资本配置的精准度和效率。</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展望未来，随着金融市场的不断发展和创新，商业银行资本配置将面临更多挑战和机遇。银行应紧跟时代步伐，不断调整和优化资本配置策略，以适应市场的变化和需求。政府和监管部门也应加强对商业银行资本配置的指导和监管，确保银行业整体健康稳定发展。</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资本配置是商业银行风险管理的核心，对于保障银行稳健运营、持续发展具有重要意义。商业银行应充分认识到资本配置的重要性，不断完善内部风险管理机制，提升风险管理水平，以应对日益复杂的金融环境。</w:t>
      </w:r>
    </w:p>
    <w:p>
      <w:pPr>
        <w:keepNext w:val="0"/>
        <w:keepLines w:val="0"/>
        <w:pageBreakBefore w:val="0"/>
        <w:widowControl w:val="0"/>
        <w:kinsoku/>
        <w:wordWrap/>
        <w:overflowPunct/>
        <w:topLinePunct w:val="0"/>
        <w:autoSpaceDE/>
        <w:autoSpaceDN/>
        <w:bidi w:val="0"/>
        <w:adjustRightInd w:val="0"/>
        <w:snapToGrid w:val="0"/>
        <w:spacing w:before="312" w:beforeLines="100" w:line="480" w:lineRule="auto"/>
        <w:jc w:val="left"/>
        <w:textAlignment w:val="auto"/>
        <w:rPr>
          <w:rFonts w:asciiTheme="minorEastAsia" w:hAnsiTheme="minorEastAsia" w:cstheme="minorEastAsia" w:hint="eastAsia"/>
          <w:b/>
          <w:bCs/>
          <w:sz w:val="32"/>
          <w:szCs w:val="32"/>
        </w:rPr>
      </w:pPr>
      <w:r>
        <w:rPr>
          <w:rFonts w:asciiTheme="minorEastAsia" w:eastAsiaTheme="minorEastAsia" w:hAnsiTheme="minorEastAsia" w:cstheme="minorEastAsia" w:hint="eastAsia"/>
          <w:b/>
          <w:bCs/>
          <w:sz w:val="32"/>
          <w:szCs w:val="32"/>
          <w:lang w:val="en-US" w:eastAsia="zh-CN"/>
        </w:rPr>
        <w:t>参考资料：</w:t>
      </w:r>
      <w:bookmarkStart w:id="0" w:name="_GoBack"/>
      <w:bookmarkEnd w:id="0"/>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随着金融市场的不断发展和全球化，商业银行面临着日益复杂和多元化的风险。这些风险不仅来自外部市场环境，也来自内部管理和运营。因此，如何有效管理和控制这些风险，成为商业银行经营管理的核心问题。经济资本作为一种先进的风险管理工具，可以帮助商业银行更好地理解和计量风险，优化资源配置，提高经营效益。</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9"/>
          <w:cols w:num="1" w:space="425"/>
          <w:titlePg w:val="0"/>
          <w:docGrid w:type="lines" w:linePitch="312" w:charSpace="0"/>
        </w:sectPr>
      </w:pPr>
      <w:r>
        <w:rPr>
          <w:rFonts w:asciiTheme="minorEastAsia" w:eastAsiaTheme="minorEastAsia" w:hAnsiTheme="minorEastAsia" w:cstheme="minorEastAsia" w:hint="eastAsia"/>
          <w:b w:val="0"/>
          <w:bCs w:val="0"/>
          <w:sz w:val="28"/>
          <w:szCs w:val="28"/>
          <w:lang w:val="en-US" w:eastAsia="zh-CN"/>
        </w:rPr>
        <w:t>经济资本（Economic</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 xml:space="preserve"> Capital）是一种用于衡量和预防金融风险的数量化工具。它通过将风险量化，为商业银行提供了一个对风险资本需求的衡量标准。经济资本主要考虑了市场风险、信用风险、操作风险等主要风险因素，并考虑了这些风险的分散效应。</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风险识别与衡量：通过经济资本模型，商业银行可以识别并衡量各类风险，如市场风险、信用风险、操作风险等。这些风险的衡量结果可以帮助商业银行更好地了解自身的风险状况，制定相应的风险管理策略。</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资本优化：经济资本作为一种配置工具，可以帮助商业银行优化资本结构，提高资本效率。通过对不同业务部门的资本需求进行分析，商业银行可以合理分配经济资本，以实现整体资本效率的最大化。</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风险限额管理：通过经济资本，商业银行可以对各类业务设置风险限额，以控制各类业务的风险敞口。这有助于确保商业银行的风险承担能力与其风险管理水平保持一致。</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绩效考核：经济资本还可以作为商业银行绩效考核的重要指标。通过对各业务部门的经济资本回报率（RAROC）进行考核，商业银行可以评估各部门的经营效益和风险控制能力。</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10"/>
          <w:cols w:num="1" w:space="425"/>
          <w:titlePg w:val="0"/>
          <w:docGrid w:type="lines" w:linePitch="312" w:charSpace="0"/>
        </w:sectPr>
      </w:pPr>
      <w:r>
        <w:rPr>
          <w:rFonts w:asciiTheme="minorEastAsia" w:eastAsiaTheme="minorEastAsia" w:hAnsiTheme="minorEastAsia" w:cstheme="minorEastAsia" w:hint="eastAsia"/>
          <w:b w:val="0"/>
          <w:bCs w:val="0"/>
          <w:sz w:val="28"/>
          <w:szCs w:val="28"/>
          <w:lang w:val="en-US" w:eastAsia="zh-CN"/>
        </w:rPr>
        <w:t>随着金融市场的不断发展和全球化，商业银行面临着日益复杂和多元化的风险。通过基于经济资本的风险管理，商业银行可以更有效地识别和衡量风险，优化资本结构，设置风险限额，以及进行绩效考核。这有助于提高商业银行的风险管理水平，确保其健康、稳定的发展。</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商业银行作为金融市场的重要参与者，面临着多种多样的风险。为了有效地管理和控制这些风险，建立一套统一的商业银行风险管理体系和资本配置风险管理模型至关重要。本文旨在探讨这两种风险管理模式的内在和实际应用效果，以及如何应对可能出现的挑战。</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商业银行风险管理领域的研究已经取得了丰富的成果。以前的研究主要集中在风险度量、风险评估和风险控制等方面。然而，这些模型往往只某一特定类型的风险，如信用风险、市场风险或操作风险等，而忽略了其他类型的风险。这些模型的应用场景也存在一定的局限，难以适应现代商业银行复杂多变的风险环境。</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本文采用了定性和定量相结合的研究方法。我们选择了具有代表性的商业银行作为样本，收集并整理了它们的风险管理数据。随后，我们运用统计分析和计量经济学的方法，对这些数据进行了深入挖掘和处理。</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通过对比分析，我们发现，统一的商业银行风险管理体系和资本配置风险管理模型之间存在密切的。具体而言，资本配置风险管理模型可以作为统一商业银行风险管理体系的基础，用于指导各类风险的管理和决策。同时，这种模型还可以有效应对不同类型风险之间的相互影响，从而降低整体风险水平。</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11"/>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然而，在实践过程中，商业银行可能面临一系列挑战，如数据质量不高、模型适应性不足等。为了解决这些问题，我们提出了一些具体的建议，例如加强数据治理、完善模型假设、提高模型的可解释性等。</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本文从理论上探讨了统一的商业银行风险管理体系和资本配置风险管理模型的关系，并通过实证研究验证了这种关系的存在。然而，由于研究时间和样本数据的限制，本文的研究仍存在一定的局限性。未来的研究可以进一步拓展样本范围，考虑更多类型的商业银行，以检验模型的普适性。还可以从更细的时间尺度上考察资本配置风险管理模型的有效性，以应对日益频繁的金融市场波动。</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商业银行资本管理办法是为了保障商业银行的稳健运营和金融市场的稳定而制定的。本办法规定了商业银行的资本构成、资本充足率、风险加权资产等关键指标，以及资本充足率的评估和监管措施。目的是通过规定商业银行的资本管理，控制风险，提高商业银行的抗风险能力，维护金融市场的稳定。</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商业银行的资本构成包括核心一级资本、其他一级资本和二级资本。其中，核心一级资本包括实收资本、资本公积、盈余公积和未分配利润等；其他一级资本包括优先股、永续债等；二级资本包括附属债务和其他二级资本工具等。</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12"/>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资本充足率是衡量商业银行抗风险能力的重要指标。本办法规定了商业银行的资本充足率不得低于8%，其中核心一级资本充足率不得低于6%。同时，还根据不同类型商业银行的特点，规定了不同的资本充足率要求。</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风险加权资产是商业银行根据不同类型资产的风险程度，按照一定比例计算的资产总额。本办法规定了商业银行的风险加权资产的计算方法和比例，用于评估商业银行的风险程度和抗风险能力。</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本办法规定了商业银行应当向监管机构报送的资本充足率报表和相关信息，以及监管机构对商业银行的现场检查和非现场监管措施。监管机构应当根据商业银行的资本充足率和风险状况，采取相应的监管措施，包括限制业务发展、调整风险加权资产比例等。</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商业银行资本管理办法是保障商业银行稳健运营和金融市场稳定的重要法规。通过对商业银行的资本构成、资本充足率、风险加权资产等关键指标的规定，以及对资本充足率的评估和监管措施，实现了对商业银行的风险控制和抗风险能力的提升。也要求商业银行加强内部管理和风险控制，提高运营效率和风险管理水平。</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13"/>
          <w:cols w:num="1" w:space="425"/>
          <w:titlePg w:val="0"/>
          <w:docGrid w:type="lines" w:linePitch="312" w:charSpace="0"/>
        </w:sectPr>
      </w:pPr>
      <w:r>
        <w:rPr>
          <w:rFonts w:asciiTheme="minorEastAsia" w:eastAsiaTheme="minorEastAsia" w:hAnsiTheme="minorEastAsia" w:cstheme="minorEastAsia" w:hint="eastAsia"/>
          <w:b w:val="0"/>
          <w:bCs w:val="0"/>
          <w:sz w:val="28"/>
          <w:szCs w:val="28"/>
          <w:lang w:val="en-US" w:eastAsia="zh-CN"/>
        </w:rPr>
        <w:t>《商业银行资本管理办法》是为加强商业银行资本监管，维护银行体系安全、稳健运行，保护存款人利益，根据《中华人民共和国银行业监督管理法》《中华人民共和国商业银行法》《中华人民共和国外资银行管理条例》等法律法规，制定的办法。</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办法由正文和25个附件组成，主要内容包括：一是构建差异化资本监管体系,使资本监管与银行规模和业务复杂程度相匹配，降低中小银行合规成本。二是全面修订风险加权资产计量规则,包括信用风险权重法和内部评级法、市场风险标准法和内部模型法以及操作风险标准法，提升资本计量的风险敏感性。三是要求银行制定有效的政策、流程、制度和措施，及时、充分地掌握客户风险变化，确保风险权重的适用性和审慎性。四是强化监督检查，优化压力测试，深化第二支柱应用，进一步提升监管有效性。五是提高信息披露标准,强化相关定性和定量信息披露，增强市场约束。</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2023年11月1日，国家金融监督管理总局令第4号公布《商业银行资本管理办法》 ，自2024年1月1日起施行。</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14"/>
          <w:cols w:num="1" w:space="425"/>
          <w:titlePg w:val="0"/>
          <w:docGrid w:type="lines" w:linePitch="312" w:charSpace="0"/>
        </w:sectPr>
      </w:pPr>
      <w:r>
        <w:rPr>
          <w:rFonts w:asciiTheme="minorEastAsia" w:eastAsiaTheme="minorEastAsia" w:hAnsiTheme="minorEastAsia" w:cstheme="minorEastAsia" w:hint="eastAsia"/>
          <w:b w:val="0"/>
          <w:bCs w:val="0"/>
          <w:sz w:val="28"/>
          <w:szCs w:val="28"/>
          <w:lang w:val="en-US" w:eastAsia="zh-CN"/>
        </w:rPr>
        <w:t>金融危机以来，巴塞尔银行监管委员会积极推进国际金融监管体系改革，并出台了第三版巴塞尔协议（巴塞尔III），确立了银行业资本和流动性监管的新标准，要求各成员国从2013年开始实施，2019年前全面达标。在此背景下，中国银监会于2012年6月7日发布了新的《商业银行资本管理办法（试行）》（以下简称“新办法”），此办法将于2013年1月1日起实施。此办法中对资本定义更加严格，并扩大了风险资本的覆盖范围，对于增强银行体系稳健性、引导银行转变发展方式以及促进实体经济信贷都将起到积极作用。</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银行业保持稳健运行对于国民经济健康发展至关重要。近年来，中国银行业稳步推进改革开放，资本实力和风险防控能力持续增强，为成功应对国际金融危机、促进经济金融持续稳定健康发展发挥了关键作用。制定实施《管理办法》，强化商业银行资本约束机制，是贯彻全国金融工作会议精神，进一步加强银行业监管、深化银行业改革的重大举措，对于提升中国银行业稳健度，防范系统性风险，促进商业银行转变发展方式，增强服务实体经济的能力，增强银行业国际竞争力，具有重要意义。</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2010年11月，二十国集团首尔峰会批准了巴塞尔银行监管委员会提交的资本监管和流动性监管改革方案。在2011年11月二十国集团戛纳峰会上，各国领导人承诺于2013年1月1日前实施新资本监管标准，并于2019年前全面达标。据此，中国银监会结合国内银行业实际，制定了《商业银行资本管理办法（试行）》。</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2012年6月7日，中国银行业监督管理委员会令2012年第1号公布《商业银行资本管理办法（试行）》，自2013年1月1日开始实施。</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15"/>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2023年2月18日，银保监会网站消息，为进一步完善商业银行资本监管规则，推动银行提升风险管理水平，提升银行服务实体经济的质效，银保监会会同中国人民银行就《商业银行资本管理办法（征求意见稿）》公开征求意见。</w:t>
      </w:r>
      <w:r>
        <w:rPr>
          <w:rFonts w:asciiTheme="minorEastAsia" w:eastAsiaTheme="minorEastAsia" w:hAnsiTheme="minorEastAsia" w:cstheme="minorEastAsia" w:hint="eastAsia"/>
          <w:b w:val="0"/>
          <w:bCs w:val="0"/>
          <w:sz w:val="28"/>
          <w:szCs w:val="28"/>
          <w:lang w:val="en-US" w:eastAsia="zh-CN"/>
        </w:rPr>
        <w:t xml:space="preserve"> 以对标国际版巴塞尔协议III的第一档银行为例，除了对符合审慎要求的房地产开发风险暴露维持风险权重100%，《办法》新增了其他房地产开发风险暴露，并将风险权重提高至150%。其中，符合审慎要求的房地产开发风险暴露的关键条件在于项目资本金，即项目资本金比例为30%（含）以上，其中保障性住房开发项目资本金比例为25%（含）以上，或与债务人约定按房地产销售进度分批分期归还贷款本息，本金偿还比例超过50%。对于第二档银行，房地产开发贷款的风险加权资产计量规则与第一档银行相同。</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2023年11月1日，国家金融监督管理总局令第4号公布《商业银行资本管理办法》 ，自2024年1月1日起施行。</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(2023年11月1日国家金融监督管理总局令第4号公布 自2024年1月1日起施行)</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第一条 为加强商业银行资本监管，维护银行体系安全、稳健运行，保护存款人利益，根据《中华人民共和国银行业监督管理法》《中华人民共和国商业银行法》《中华人民共和国外资银行管理条例》等法律法规，制定本办法。</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16"/>
          <w:cols w:num="1" w:space="425"/>
          <w:titlePg w:val="0"/>
          <w:docGrid w:type="lines" w:linePitch="312" w:charSpace="0"/>
        </w:sectPr>
      </w:pPr>
      <w:r>
        <w:rPr>
          <w:rFonts w:asciiTheme="minorEastAsia" w:eastAsiaTheme="minorEastAsia" w:hAnsiTheme="minorEastAsia" w:cstheme="minorEastAsia" w:hint="eastAsia"/>
          <w:b w:val="0"/>
          <w:bCs w:val="0"/>
          <w:sz w:val="28"/>
          <w:szCs w:val="28"/>
          <w:lang w:val="en-US" w:eastAsia="zh-CN"/>
        </w:rPr>
        <w:t>第三条 商业银行资本应抵御其所面临的风险，包括个体风险和系统性风险。</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本办法所称资本充足率，是指商业银行持有的、符合本办法规定的资本净额与风险加权资产之间的比率。</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一级资本充足率，是指商业银行持有的、符合本办法规定的一级资本净额与风险加权资产之间的比率。</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核心一级资本充足率，是指商业银行持有的、符合本办法规定的核心一级资本净额与风险加权资产之间的比率。</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杠杆率，是指商业银行持有的、符合本办法规定的一级资本净额与调整后表内外资产余额之间的比率。</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第六条 商业银行应按照本办法规定的机构档次划分标准，适用差异化的资本监管要求。其中，第一档和第二档商业银行应满足本办法各章节和相应附件的监管规定，第三档商业银行应满足本办法附件23的监管规定。</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2．境外债权债务余额300亿元人民币（含）以上且占并表口径调整后表内外资产余额的10%（含）以上。</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1．并表口径调整后表内外资产余额100亿元人民币（含）以上，且不符合第一档商业银行条件。</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2．并表口径调整后表内外资产余额小于100亿元人民币但境外债权债务余额大于0。</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17"/>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（三）第三档商业银行是指并表口径调整后表内外资产余额小于100亿元人民币且境外债权债务余额为0的商业银行。</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境外债权债务，是指银行境外债权和境外债务之和，其中境外债权是指银行持有的对其他国家或地区政府、中央银行、公共部门实体、金融机构、非金融机构和个人的直接境外债权扣除转移回境内的风险敞口之后的最终境外债权；境外债务是指银行对其他国家或地区政府、中央银行、公共部门实体、金融机构、非金融机构和个人的债务。</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国家金融监督管理总局有权根据银行业整体情况适时调整上述机构档次划分标准。国家金融监督管理总局及其派出机构有权根据单家银行经营管理和风险水平等情况，结合监管判断调整其所属的机构档次。</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第七条 商业银行资本监管指标计算应建立在充分计提贷款损失准备等各项减值准备的基础之上。</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第八条 商业银行应按照本办法建立全面风险管理架构和内部资本充足评估程序。</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第九条 国家金融监督管理总局及其派出机构依照本办法对商业银行资本监管指标、资本管理状况进行监督检查，并采取相应的监管措施。</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18"/>
          <w:cols w:num="1" w:space="425"/>
          <w:titlePg w:val="0"/>
          <w:docGrid w:type="lines" w:linePitch="312" w:charSpace="0"/>
        </w:sectPr>
      </w:pPr>
      <w:r>
        <w:rPr>
          <w:rFonts w:asciiTheme="minorEastAsia" w:eastAsiaTheme="minorEastAsia" w:hAnsiTheme="minorEastAsia" w:cstheme="minorEastAsia" w:hint="eastAsia"/>
          <w:b w:val="0"/>
          <w:bCs w:val="0"/>
          <w:sz w:val="28"/>
          <w:szCs w:val="28"/>
          <w:lang w:val="en-US" w:eastAsia="zh-CN"/>
        </w:rPr>
        <w:t>第十一条</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 xml:space="preserve"> 商业银行未并表资本监管指标的计算范围应包括商业银行境内外所有分支机构。并表资本监管指标的计算范围应包括商业银行以及符合本办法规定的其直接或间接投资的金融机构。商业银行及被投资金融机构共同构成银行集团。</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第十二条 商业银行计算并表资本监管指标，应将以下境内外被投资金融机构纳入并表范围：</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（二）商业银行拥有50%以下（含）表决权的被投资金融机构，但通过与其他表决权持有人之间的协议能够控制50%以上表决权的。</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（三）商业银行拥有50%以下（含）表决权的被投资金融机构，但综合考虑下列事实和情况后，判断商业银行持有的表决权足以使其有能力主导被投资金融机构相关活动的：</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商业银行持有的表决权相对于其他投资方持有的表决权份额的大小，以及其他投资方持有表决权的分散程度。</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商业银行和其他投资方持有的被投资金融机构的潜在表决权，如可转换公司债券、可执行认股权证等。</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控制，是指投资方拥有对被投资方的权力,通过参与被投资方的相关活动而享有可变回报，并且有能力运用对被投资方的权力影响其回报金额。</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第十三条 商业银行未拥有被投资金融机构多数表决权或控制权，具有下列情况之一的，应纳入并表资本监管指标计算范围：</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19"/>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（一）具有业务同质性的多个金融机构，虽然单个金融机构资产规模占银行集团整体资产规模的比例较小，但该类金融机构总体风险足以对银行集团的财务状况及风险水平造成重大影响。</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（二）被投资金融机构所产生的合规风险、声誉风险造成的危害和损失足以对银行集团的声誉造成重大影响。</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第十四条 符合本办法第十二条、第十三条规定的保险公司不纳入并表范围。</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商业银行计算并表资本监管指标，应按照本办法第三十七条、第三十八条规定的方法扣除对保险公司的资本投资。</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商业银行计算未并表资本监管指标，应按照本办法第十六条的规定扣除对保险公司的资本投资。</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第十五条 商业银行拥有被投资金融机构50％以上表决权或对被投资金融机构的控制权，但被投资金融机构处于以下状态之一的，可不纳入并表范围：</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（三）受所在国外汇管制及其他突发事件的影响，资金调度受到限制的境外被投资金融机构。</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商业银行应从各级资本中对应扣除对有前款规定情形的被投资金融机构的资本投资。若被投资金融机构存在资本缺口，还应扣除相应的资本缺口。</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20"/>
          <w:cols w:num="1" w:space="425"/>
          <w:titlePg w:val="0"/>
          <w:docGrid w:type="lines" w:linePitch="312" w:charSpace="0"/>
        </w:sectPr>
      </w:pPr>
      <w:r>
        <w:rPr>
          <w:rFonts w:asciiTheme="minorEastAsia" w:eastAsiaTheme="minorEastAsia" w:hAnsiTheme="minorEastAsia" w:cstheme="minorEastAsia" w:hint="eastAsia"/>
          <w:b w:val="0"/>
          <w:bCs w:val="0"/>
          <w:sz w:val="28"/>
          <w:szCs w:val="28"/>
          <w:lang w:val="en-US" w:eastAsia="zh-CN"/>
        </w:rPr>
        <w:t>第十六条</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 xml:space="preserve"> 商业银行计算未并表资本监管指标，应从各级资本中对应扣除其对符合本办法第十二条和第十三条规定的金融机构的所有资本投资。若这些金融机构存在资本缺口，还应扣除相应的资本缺口。</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第十七条 商业银行应根据本办法制定并表和未并表资本监管指标计算内部制度。商业银行调整并表和未并表资本监管指标计算范围的，应说明理由并及时向国家金融监督管理总局或其派出机构报告。</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第十八条 国家金融监督管理总局及其派出机构有权根据商业银行及其附属机构股权结构变动、业务类别及风险状况确定和调整其并表资本监管指标的计算范围。</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第二十一条 商业银行总资本包括一级资本和二级资本。其中，一级资本包括核心一级资本和其他一级资本。商业银行应按照本办法第三章的规定计算各级资本和扣除项。</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第二十二条 商业银行风险加权资产包括信用风险加权资产、市场风险加权资产和操作风险加权资产。商业银行应按照本办法第四章、第五章和第六章的规定分别计量信用风险加权资产、市场风险加权资产和操作风险加权资产。</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21"/>
          <w:cols w:num="1" w:space="425"/>
          <w:titlePg w:val="0"/>
          <w:docGrid w:type="lines" w:linePitch="312" w:charSpace="0"/>
        </w:sectPr>
      </w:pPr>
      <w:r>
        <w:rPr>
          <w:rFonts w:asciiTheme="minorEastAsia" w:eastAsiaTheme="minorEastAsia" w:hAnsiTheme="minorEastAsia" w:cstheme="minorEastAsia" w:hint="eastAsia"/>
          <w:b w:val="0"/>
          <w:bCs w:val="0"/>
          <w:sz w:val="28"/>
          <w:szCs w:val="28"/>
          <w:lang w:val="en-US" w:eastAsia="zh-CN"/>
        </w:rPr>
        <w:t>调整后表内外资产余额=调整后表内资产余额（不包括表内衍生工具和证券融资交易）+衍生工具资产余额+证券融资交易资产余额+调整后表外项目余额-一级资本扣除项</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从调整后表内外资产余额中扣减的一级资本扣除项不包括商业银行因自身信用风险变化导致其负债公允价值变化带来的未实现损益。</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第二十四条 商业银行在计算调整后表内外资产余额时,除本办法附件19另有规定外，不考虑抵质押品、保证和信用衍生工具等信用风险缓释因素。</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第二十五条 资本充足率监管要求包括最低资本要求、储备资本和逆周期资本要求、系统重要性银行附加资本要求以及第二支柱资本要求。</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第二十七条 商业银行应在最低资本要求的基础上计提储备资本。储备资本要求为风险加权资产的5%，由核心一级资本来满足。国家金融监督管理总局有权根据宏观经济金融形势、银行业整体风险状况以及单家银行经营管理和风险水平等情况，对储备资本要求进行调整。</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商业银行应在最低资本要求和储备资本要求之上计提逆周期资本。逆周期资本的计提与运用规则由中国人民银行会同国家金融监督管理总局另行规定。</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22"/>
          <w:cols w:num="1" w:space="425"/>
          <w:titlePg w:val="0"/>
          <w:docGrid w:type="lines" w:linePitch="312" w:charSpace="0"/>
        </w:sectPr>
      </w:pPr>
      <w:r>
        <w:rPr>
          <w:rFonts w:asciiTheme="minorEastAsia" w:eastAsiaTheme="minorEastAsia" w:hAnsiTheme="minorEastAsia" w:cstheme="minorEastAsia" w:hint="eastAsia"/>
          <w:b w:val="0"/>
          <w:bCs w:val="0"/>
          <w:sz w:val="28"/>
          <w:szCs w:val="28"/>
          <w:lang w:val="en-US" w:eastAsia="zh-CN"/>
        </w:rPr>
        <w:t>第二十八条 除本办法第二十六条和第二十七条规定的最低资本要求、储备资本和逆周期资本要求外，系统重要性银行还应计提附加资本。</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国内系统重要性银行的认定标准及其附加资本要求由中国人民银行会同国家金融监督管理总局另行规定。</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若商业银行同时被认定为国内系统重要性银行和全球系统重要性银行，附加资本要求不叠加，采用二者孰高原则确定。</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第二十九条 除本办法第二十六条、第二十七条和第二十八条规定的资本要求以外，国家金融监督管理总局及其派出机构有权在第二支柱框架下提出更审慎的资本要求，确保资本充分覆盖风险，包括：</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国家金融监督管理总局及其派出机构有权确定第二支柱资本要求应由核心一级资本、其他一级资本或二级资本来满足。</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第三十条 除上述资本充足率监管要求外，商业银行的杠杆率不得低于4%。</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系统重要性银行在满足上述最低杠杆率要求的基础上，还应满足附加杠杆率要求。</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国内系统重要性银行的附加杠杆率要求由中国人民银行会同国家金融监督管理总局另行规定。</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第三十一条 商业银行发行的资本工具应符合本办法附件1规定的合格标准。</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23"/>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商业银行发行的二级资本工具在距到期日前最后五年，可计入二级资本的金额，应按100％、80％、60％、40％、20％的比例逐年减计。</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商业银行采用权重法计量信用风险加权资产的，超额损失准备可计入二级资本，但不得超过信用风险加权资产的25％。</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前款所称超额损失准备是指商业银行实际计提的损失准备超过损失准备最低要求的部分。损失准备最低要求由国家金融监督管理总局另行规定。</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商业银行采用内部评级法计量信用风险加权资产的，超额损失准备可计入二级资本，但不得超过信用风险加权资产的6％。</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前款所称超额损失准备是指商业银行实际计提的损失准备超过预期损失的部分。</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第三十五条 计算资本充足率时，商业银行应从核心一级资本中全额扣除以下项目：</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商业银行采用权重法计量信用风险加权资产的，损失准备缺口是指商业银行实际计提的损失准备低于损失准备最低要求的部分。</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商业银行采用内部评级法计量信用风险加权资产的，损失准备缺口是指商业银行实际计提的损失准备低于预期损失的部分。</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（八）对资产负债表中未按公允价值计量的项目进行套期形成的现金流储备，若为正值，应予以扣除；若为负值，应予以加回。</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24"/>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（九）商业银行自身信用风险变化导致其负债公允价值变化带来的未实现损益。</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第三十六条 商业银行之间通过协议相互持有的各级资本工具，或国家金融监督管理总局认定为虚增资本的各级资本投资，应从相应监管资本中对应扣除。</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商业银行直接或间接持有本银行发行的其他一级资本工具和二级资本工具，应从相应监管资本中对应扣除。</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对应扣除是指从商业银行自身相应层级资本中扣除。商业银行某一级资本净额小于应扣除数额的，缺口部分应从更高一级的资本净额中扣除。</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第三十七条 商业银行对未并表金融机构的小额少数资本投资，合计超出本银行核心一级资本净额10％的部分，应从各级监管资本中对应扣除。</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小额少数资本投资是指商业银行对金融机构各级资本投资（包括直接和间接投资）之和，占该被投资金融机构实收资本（普通股加普通股溢价）10％（不含）以下，且不符合本办法第十二条、第十三条规定的资本投资。</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25"/>
          <w:cols w:num="1" w:space="425"/>
          <w:titlePg w:val="0"/>
          <w:docGrid w:type="lines" w:linePitch="312" w:charSpace="0"/>
        </w:sectPr>
      </w:pPr>
      <w:r>
        <w:rPr>
          <w:rFonts w:asciiTheme="minorEastAsia" w:eastAsiaTheme="minorEastAsia" w:hAnsiTheme="minorEastAsia" w:cstheme="minorEastAsia" w:hint="eastAsia"/>
          <w:b w:val="0"/>
          <w:bCs w:val="0"/>
          <w:sz w:val="28"/>
          <w:szCs w:val="28"/>
          <w:lang w:val="en-US" w:eastAsia="zh-CN"/>
        </w:rPr>
        <w:t>第三十八条</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 xml:space="preserve"> 商业银行对未并表金融机构的大额少数资本投资中，核心一级资本投资合计超出本银行核心一级资本净额10％的部分应从本银行核心一级资本中扣除；其他一级资本投资和二级资本投资应从相应层级资本中全额扣除。</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大额少数资本投资是指商业银行对金融机构各级资本投资（包括直接和间接投资）占该被投资金融机构实收资本（普通股加普通股溢价）10％（含）以上，且不符合本办法第十二条、第十三条规定的资本投资。</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第三十九条 除本办法第三十五条第三款规定的递延税资产外，其他依赖于本银行未来盈利的净递延税资产，超出本银行核心一级资本净额10％的部分应从核心一级资本中扣除。</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第四十条 根据本办法第三十八条、第三十九条的规定，未在商业银行核心一级资本中扣除的对金融机构的大额少数资本投资和相应的净递延税资产，合计金额不得超过本银行核心一级资本净额的15％。</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第四十一条 商业银行持有的外部总损失吸收能力非资本债务工具的扣除规则，由中国人民银行会同国家金融监督管理总局另行规定。</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第四十二条 商业银行附属公司适用于资本监管的，附属公司直接发行且由第三方持有的少数股东资本可以部分计入监管资本。</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26"/>
          <w:cols w:num="1" w:space="425"/>
          <w:titlePg w:val="0"/>
          <w:docGrid w:type="lines" w:linePitch="312" w:charSpace="0"/>
        </w:sectPr>
      </w:pPr>
      <w:r>
        <w:rPr>
          <w:rFonts w:asciiTheme="minorEastAsia" w:eastAsiaTheme="minorEastAsia" w:hAnsiTheme="minorEastAsia" w:cstheme="minorEastAsia" w:hint="eastAsia"/>
          <w:b w:val="0"/>
          <w:bCs w:val="0"/>
          <w:sz w:val="28"/>
          <w:szCs w:val="28"/>
          <w:lang w:val="en-US" w:eastAsia="zh-CN"/>
        </w:rPr>
        <w:t>第四十三条 附属公司核心一级资本中少数股东资本用于满足核心一级资本最低要求和储备资本要求的部分，可计入并表核心一级资本。</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（二）母公司并表核心一级资本最低要求与储备资本要求归属于附属公司的部分。</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第四十四条 附属公司一级资本中少数股东资本用于满足一级资本最低要求和储备资本要求的部分，扣除已计入并表核心一级资本的部分后，剩余部分可以计入并表其他一级资本。</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（二）母公司并表一级资本最低要求与储备资本要求归属于附属公司的部分。</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第四十五条 附属公司总资本中少数股东资本用于满足总资本最低要求和储备资本要求的部分，扣除已计入并表一级资本的部分后，剩余部分可以计入并表二级资本。</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（二）母公司并表总资本最低要求与储备资本要求归属于附属公司的部分。</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第四十六条 商业银行可以采用权重法或内部评级法计量信用风险加权资产。商业银行采用内部评级法计量信用风险加权资产的，应符合本办法的规定，并经国家金融监督管理总局或其派出机构验收通过。内部评级法未覆盖的风险暴露应采用权重法计量信用风险加权资产。</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27"/>
          <w:cols w:num="1" w:space="425"/>
          <w:titlePg w:val="0"/>
          <w:docGrid w:type="lines" w:linePitch="312" w:charSpace="0"/>
        </w:sectPr>
      </w:pPr>
      <w:r>
        <w:rPr>
          <w:rFonts w:asciiTheme="minorEastAsia" w:eastAsiaTheme="minorEastAsia" w:hAnsiTheme="minorEastAsia" w:cstheme="minorEastAsia" w:hint="eastAsia"/>
          <w:b w:val="0"/>
          <w:bCs w:val="0"/>
          <w:sz w:val="28"/>
          <w:szCs w:val="28"/>
          <w:lang w:val="en-US" w:eastAsia="zh-CN"/>
        </w:rPr>
        <w:t>未经国家金融监督管理总局或其派出机构认可，商业银行不得变更信用风险加权资产计量方法。</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第四十七条 商业银行采用权重法，应按照本办法规定的机构划分标准，实施差异化的银行账簿信用风险暴露分类和信用风险加权资产计量规则。</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（一）第一档商业银行应按照本办法附件2的规定对银行账簿信用风险暴露进行分类，按照本章第二节的规定计量信用风险加权资产。</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二）第二档商业银行应按照本办法第六十五条第五款、第六十六条第二款、第六十七条第二款、第六十八条第三款、第六十九条第三款、第七十一条第三款、第七十二条第三款、第七十四条、第七十九条第三款、第八十条第三款的规定，对商业银行风险暴露、其他金融机构风险暴露、公司风险暴露、个人风险暴露、房地产风险暴露、存在币种错配情形的个人风险暴露和向个人发放的居住用房地产风险暴露、合格资产担保债券、已违约风险暴露进行划分和计量。</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第四十八条 商业银行采用权重法，可以按照本办法附件3的规定审慎考虑信用风险缓释工具的风险抵补作用。</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第四十九条 商业银行申请采用内部评级法计量信用风险加权资产的，提交申请时内部评级法资产覆盖率应不低于50%。</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28"/>
          <w:cols w:num="1" w:space="425"/>
          <w:titlePg w:val="0"/>
          <w:docGrid w:type="lines" w:linePitch="312" w:charSpace="0"/>
        </w:sectPr>
      </w:pPr>
      <w:r>
        <w:rPr>
          <w:rFonts w:asciiTheme="minorEastAsia" w:eastAsiaTheme="minorEastAsia" w:hAnsiTheme="minorEastAsia" w:cstheme="minorEastAsia" w:hint="eastAsia"/>
          <w:b w:val="0"/>
          <w:bCs w:val="0"/>
          <w:sz w:val="28"/>
          <w:szCs w:val="28"/>
          <w:lang w:val="en-US" w:eastAsia="zh-CN"/>
        </w:rPr>
        <w:t>内部评级法资产覆盖率=按内部评级法计量的风险加权资产/（按内部评级法计量的风险加权资产＋按权重法计量的内部评级法未覆盖信用风险暴露的风险加权资产）×100%</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第五十条 商业银行采用内部评级法，应按照本办法附件4的规定对银行账簿信用风险暴露进行分类，按照本办法附件5的规定建立内部评级体系，按照本办法附件6的规定计量信用风险加权资产。</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商业银行采用内部评级法，可以按照本办法附件7的规定审慎考虑信用风险缓释工具的风险抵补作用。</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商业银行采用内部评级法，可以按照本办法附件8的规定采用监管映射法计量专业贷款信用风险加权资产。</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第五十一条 商业银行应按照本办法附件9的规定计量银行账簿和交易账簿的交易对手信用风险加权资产，按照本办法附件10的规定计量中央交易对手风险暴露的信用风险加权资产。</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第五十二条 商业银行应按照本办法附件11的规定计量银行账簿资产证券化风险暴露的信用风险加权资产。</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第五十三条 商业银行应按照本办法附件12的规定计量银行账簿资产管理产品的信用风险加权资产。</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第五十四条 权重法下信用风险加权资产为银行账簿表内资产信用风险加权资产与表外项目信用风险加权资产之和。</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第五十五条 商业银行计量各类表内资产的风险加权资产，应首先从资产账面价值中扣除相应的减值准备，然后乘以风险权重。</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29"/>
          <w:cols w:num="1" w:space="425"/>
          <w:titlePg w:val="0"/>
          <w:docGrid w:type="lines" w:linePitch="312" w:charSpace="0"/>
        </w:sectPr>
      </w:pPr>
      <w:r>
        <w:rPr>
          <w:rFonts w:asciiTheme="minorEastAsia" w:eastAsiaTheme="minorEastAsia" w:hAnsiTheme="minorEastAsia" w:cstheme="minorEastAsia" w:hint="eastAsia"/>
          <w:b w:val="0"/>
          <w:bCs w:val="0"/>
          <w:sz w:val="28"/>
          <w:szCs w:val="28"/>
          <w:lang w:val="en-US" w:eastAsia="zh-CN"/>
        </w:rPr>
        <w:t>第五十六条</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 xml:space="preserve"> 商业银行计量各类表外项目的风险加权资产，应将表外项目名义金额乘以信用转换系数得到等值的表内资产，再按表内资产的处理方式计量风险加权资产。</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第五十八条 商业银行对境外主权和公共部门实体风险暴露的风险权重，以所在国家或地区的外部信用评级结果为基准。</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一）对其他国家或地区政府及其中央银行风险暴露，该国家或地区的评级为AA-（含）以上的，风险权重为0%；AA-以下，A-（含）以上的，风险权重为20%；A-以下，BBB-（含）以上的，风险权重为50%；BBB-以下，B-（含）以上的，风险权重为100%；B-以下的，风险权重为150%；未评级的，风险权重为100%。</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二）对境外公共部门实体风险暴露，注册地所在国家或地区的评级为AA-（含）以上的，风险权重为20%；AA-以下，A-（含）以上的，风险权重为50%；A-以下，B-（含）以上的，风险权重为100%；B-以下的，风险权重为150%；未评级的，风险权重为100%。</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第五十九条 商业银行对国际清算银行、国际货币基金组织、欧洲中央银行、欧盟、欧洲稳定机制和欧洲金融稳定机制风险暴露的风险权重为0%。</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（一）对经巴塞尔委员会认定的合格多边开发银行风险暴露的风险权重为0%。</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30"/>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二）对其他多边开发银行风险暴露的风险权重，以其自身外部信用评级结果为基准。评级为AA-（含）以上的，风险权重为20%；AA-以下，A-（含）以上的，风险权重为30%；A-以下，BBB-（含）以上的，风险权重为50%；BBB-以下，B-（含）以上的，风险权重为100%；B-以下的，风险权重为150%；未评级的，风险权重为50%。</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第六十一条 商业银行对我国中央政府和中国人民银行风险暴露的风险权重为0%。</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第六十二条 商业银行对视同我国主权的公共部门实体风险暴露的风险权重。</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（一）对我国中央政府投资的金融资产管理公司为收购国有银行不良贷款而定向发行的债券的风险权重为0%。</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（二）对省（自治区、直辖市）及计划单列市人民政府风险暴露的风险权重根据债券类型确定。一般债券风险权重为10%，专项债券风险权重为20%。</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（三）对除财政部和中国人民银行外，其他收入主要源于中央财政的公共部门实体风险暴露的风险权重为20%。</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商业银行对前款所列视同我国主权的公共部门实体投资的工商企业的风险暴露不适用上述风险权重。</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31"/>
          <w:cols w:num="1" w:space="425"/>
          <w:titlePg w:val="0"/>
          <w:docGrid w:type="lines" w:linePitch="312" w:charSpace="0"/>
        </w:sectPr>
      </w:pPr>
      <w:r>
        <w:rPr>
          <w:rFonts w:asciiTheme="minorEastAsia" w:eastAsiaTheme="minorEastAsia" w:hAnsiTheme="minorEastAsia" w:cstheme="minorEastAsia" w:hint="eastAsia"/>
          <w:b w:val="0"/>
          <w:bCs w:val="0"/>
          <w:sz w:val="28"/>
          <w:szCs w:val="28"/>
          <w:lang w:val="en-US" w:eastAsia="zh-CN"/>
        </w:rPr>
        <w:t>第六十三条 商业银行对经国家金融监督管理总局认定的我国一般公共部门实体风险暴露的风险权重为50%。</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商业银行对我国一般公共部门实体投资的工商企业的风险暴露不适用50%的风险权重。</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第六十四条 商业银行对我国开发性金融机构和政策性银行风险暴露（不含次级债权）的风险权重为0%。</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第六十五条 商业银行对境内外其他商业银行风险暴露（不含次级债权）的风险权重，以本办法附件2规定的标准信用风险评估结果为基准。</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（一）对A+级商业银行风险暴露的风险权重为30%，A级商业银行风险暴露的风险权重为40%，其中原始期限三个月（含）以内，或因跨境货物贸易而产生的原始期限六个月（含）以内风险暴露的风险权重为20%。</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（二）对B级商业银行风险暴露的风险权重为75%，其中原始期限三个月（含）以内，或因跨境货物贸易而产生的原始期限六个月（含）以内风险暴露的风险权重为50%。</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四）商业银行对境外其他商业银行风险暴露（不含次级债权）的风险权重，应不低于其注册地所在国家或地区的主权风险暴露对应的风险权重，其中原始期限三个月（含）以内，或因跨境货物贸易而产生的原始期限六个月（含）以内风险暴露，不受上述底线约束。</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32"/>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五）第二档商业银行不对境内外其他商业银行划分级别。对境内外其他商业银行风险暴露的风险权重为40%，其中原始期限三个月（含）以内，或因跨境货物贸易而产生的原始期限六个月（含）以内风险暴露的风险权重为20%。</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第二档商业银行对境外其他商业银行风险暴露的风险权重应满足本条第（四）款的规定。</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第六十六条 商业银行对境内外其他金融机构风险暴露（不含次级债权）的风险权重为100%，其中符合本办法附件2规定的投资级其他金融机构风险暴露的风险权重为75%。</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第二档商业银行不单独划分投资级其他金融机构风险暴露，按照一般其他金融机构风险暴露的风险权重计量。</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第六十七条 商业银行对一般公司风险暴露的风险权重为100%，其中符合本办法附件2规定的投资级公司风险暴露的风险权重为75%，中小企业风险暴露的风险权重为85%，小微企业风险暴露的风险权重为75%。</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第二档商业银行不单独划分投资级公司风险暴露，按照一般公司风险暴露的风险权重计量。</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（三）第二档商业银行不单独划分专业贷款，按照一般公司风险暴露的风险权重计量。</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33"/>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（一）对符合本办法附件2规定的监管零售个人风险暴露的风险权重为75%，其中符合标准的合格交易者个人风险暴露的风险权重为45%。</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（三）第二档商业银行对个人住房抵押贷款的风险权重为50%。对已抵押房产，商业银行以再评估后的净值为抵押追加贷款并用于房地产投资的，追加部分的风险权重为150%。</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第七十条 商业银行对房地产开发风险暴露的风险权重为150%，其中符合本办法附件2第八部分（三）规定的审慎要求的，风险权重为100%。</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（一）对还款不实质性依赖于房地产所产生的现金流的风险暴露的风险权重。</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对符合本办法附件2第八部分（五）规定的审慎要求的，贷款价值比为50%（含）以下的，风险权重为20%；50%至60%（含）的，风险权重为25%；60%至70%（含）的，风险权重为30%；70%至80%（含）的，风险权重为35%；80%至90%（含）的，风险权重为40%；90%至100%（含）的，风险权重为50%；100%以上的，按照交易对手风险权重计量。</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对不符合本办法附件2第八部分（五）规定的审慎要求的，按照交易对手风险权重计量。</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34"/>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（二）对还款实质性依赖于房地产所产生的现金流的风险暴露的风险权重。</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对符合本办法附件2第八部分（五）规定的审慎要求的，贷款价值比为50%（含）以下的，风险权重为30%；50%至60%（含）的，风险权重为35%；60%至70%（含）的，风险权重为45%；70%至80%（含）的，风险权重为50%；80%至90%（含）的，风险权重为60%；90%至100%（含）的，风险权重为75%；100%以上的，风险权重为105%。</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对不符合本办法附件2第八部分（五）规定的审慎要求的，风险权重为150%。</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（三）第二档商业银行不单独划分居住用房地产风险暴露，按照交易对手风险权重计量。</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（一）对还款不实质性依赖于房地产所产生的现金流的风险暴露的风险权重。</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对符合本办法附件2第八部分（五）规定的审慎要求的，贷款价值比为60%（含）以下的，风险权重为65%；60%（不含）以上的，按照交易对手风险权重计量。</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对不符合本办法附件2第八部分（五）规定的审慎要求的，按照交易对手风险权重计量。</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35"/>
          <w:cols w:num="1" w:space="425"/>
          <w:titlePg w:val="0"/>
          <w:docGrid w:type="lines" w:linePitch="312" w:charSpace="0"/>
        </w:sectPr>
      </w:pPr>
      <w:r>
        <w:rPr>
          <w:rFonts w:asciiTheme="minorEastAsia" w:eastAsiaTheme="minorEastAsia" w:hAnsiTheme="minorEastAsia" w:cstheme="minorEastAsia" w:hint="eastAsia"/>
          <w:b w:val="0"/>
          <w:bCs w:val="0"/>
          <w:sz w:val="28"/>
          <w:szCs w:val="28"/>
          <w:lang w:val="en-US" w:eastAsia="zh-CN"/>
        </w:rPr>
        <w:t>（二）对还款实质性依赖于房地产所产生的现金流的风险暴露的风险权重。</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对符合本办法附件2第八部分（五）规定的审慎要求的，贷款价值比为60%（含）以下的，风险权重为75%；60%至80%（含）的，风险权重为90%与交易对手风险权重中的较大值；80%以上的，风险权重为110%。</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对不符合本办法附件2第八部分（五）规定的审慎要求的，风险权重为150%。</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（三）第二档商业银行不单独划分商用房地产风险暴露，按照交易对手风险权重计量。</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第七十三条 商业银行自用不动产的风险权重为100%，商业银行非自用不动产的风险权重为400%。</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商业银行因行使抵押权等方式而持有的非自用不动产在法律规定处分期限内的风险权重为100%。</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第七十四条 商业银行对存在币种错配情形的个人风险暴露和向个人发放的居住用房地产风险暴露的风险权重，分别为第六十九条、第七十一条中对应风险权重的5倍,最高不超过150%。</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第二档商业银行不单独划分存在币种错配情形的个人风险暴露和向个人发放的居住用房地产风险暴露，按照交易对手风险权重计量。</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36"/>
          <w:cols w:num="1" w:space="425"/>
          <w:titlePg w:val="0"/>
          <w:docGrid w:type="lines" w:linePitch="312" w:charSpace="0"/>
        </w:sectPr>
      </w:pPr>
      <w:r>
        <w:rPr>
          <w:rFonts w:asciiTheme="minorEastAsia" w:eastAsiaTheme="minorEastAsia" w:hAnsiTheme="minorEastAsia" w:cstheme="minorEastAsia" w:hint="eastAsia"/>
          <w:b w:val="0"/>
          <w:bCs w:val="0"/>
          <w:sz w:val="28"/>
          <w:szCs w:val="28"/>
          <w:lang w:val="en-US" w:eastAsia="zh-CN"/>
        </w:rPr>
        <w:t>国家金融监督管理总局有权根据实际风险水平对商业银行存在币种错配情形且未对冲的公司风险暴露的风险权重进行调整。</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（一）被动持有的对工商企业股权投资在法律规定处分期限内的风险权重为250%。</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（二）对因市场化债转股持有的工商企业股权投资的风险权重为250%。</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（三）对获得国家重大补贴并受到政府监督的股权投资的风险权重为250%。</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第七十七条 商业银行对次级债权（不含我国开发性金融机构和政策性银行）和全球系统重要性银行发行的外部总损失吸收能力非资本债务工具（未扣除部分）的风险权重为150%。</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商业银行对我国开发性金融机构和政策性银行的次级债权（未扣除部分）的风险权重为100%。</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一）债券自身具有外部信用评级的，以债券自身的外部信用评级结果为基准。债券评级为AA-（含）以上的，风险权重为10%；AA-以下，BBB-（含）以上的，风险权重为20%；BBB-以下，B-（含）以上的，风险权重为50%；B-以下的，风险权重为100%。</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37"/>
          <w:cols w:num="1" w:space="425"/>
          <w:titlePg w:val="0"/>
          <w:docGrid w:type="lines" w:linePitch="312" w:charSpace="0"/>
        </w:sectPr>
      </w:pPr>
      <w:r>
        <w:rPr>
          <w:rFonts w:asciiTheme="minorEastAsia" w:eastAsiaTheme="minorEastAsia" w:hAnsiTheme="minorEastAsia" w:cstheme="minorEastAsia" w:hint="eastAsia"/>
          <w:b w:val="0"/>
          <w:bCs w:val="0"/>
          <w:sz w:val="28"/>
          <w:szCs w:val="28"/>
          <w:lang w:val="en-US" w:eastAsia="zh-CN"/>
        </w:rPr>
        <w:t>（二）债券自身不具有外部信用评级的，以债券发行银行的标准信用风险评估结果为基准。债券发行银行为A+级的，风险权重为15%；A级的，风险权重为20%；B级的，风险权重为35%；C级的，风险权重为100%。</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（三）第二档商业银行不单独划分合格资产担保债券，按照交易对手风险权重计量。</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（一）以居住用房为抵押、还款不实质性依赖于房地产所产生的现金流的已违约风险暴露，风险权重为100%。</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（二）对其他已违约风险暴露，损失准备低于资产账面价值的20%的，风险权重为150%；损失准备不低于资产账面价值的20%的，风险权重为100%。</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（三）第二档商业银行不单独划分已违约风险暴露，按照交易对手风险权重计量。</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国家金融监督管理总局有权根据实际风险水平对其中部分资产的风险权重进行调整。</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（二）贷款承诺的信用转换系数为40%，其中可随时无条件撤销的贷款承诺的信用转换系数为10%。满足本办法附件3规定的特定条件的可随时无条件撤销的贷款承诺可豁免计量信用风险加权资产。</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（三）未使用的信用卡授信额度的信用转换系数为40%，但符合以下条件的未使用的信用卡授信额度的信用转换系数为20%。</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商业银行应至少每年一次评估持卡人的信用程度，按季监控授信额度的使用情况；若持卡人信用状况恶化，商业银行有权降低甚至取消授信额度。</w:t>
      </w:r>
      <w:r>
        <w:rPr>
          <w:rFonts w:asciiTheme="minorEastAsia" w:hAnsiTheme="minorEastAsia" w:cstheme="minorEastAsia" w:hint="eastAsia"/>
          <w:b w:val="0"/>
          <w:bCs w:val="0"/>
          <w:sz w:val="28"/>
          <w:szCs w:val="28"/>
        </w:rPr>
        <w:br/>
      </w:r>
      <w:r>
        <w:rPr>
          <w:rFonts w:asciiTheme="minorEastAsia" w:hAnsiTheme="minorEastAsia" w:cstheme="minorEastAsia" w:hint="eastAsia"/>
          <w:b w:val="0"/>
          <w:bCs w:val="0"/>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https://d.book118.com/615031230314011121</w:t>
        </w:r>
      </w:hyperlink>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p>
    <w:sectPr>
      <w:type w:val="nextPage"/>
      <w:pgSz w:w="11906" w:h="16838"/>
      <w:pgMar w:top="1440" w:right="1800" w:bottom="1440" w:left="1800" w:header="851" w:footer="992" w:gutter="0"/>
      <w:pgNumType w:start="38"/>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05C08D2"/>
    <w:rsid w:val="067C1866"/>
    <w:rsid w:val="0F697E5D"/>
    <w:rsid w:val="1C8F2DB1"/>
    <w:rsid w:val="1D2716F5"/>
    <w:rsid w:val="1D3B35D7"/>
    <w:rsid w:val="1DE178C0"/>
    <w:rsid w:val="2AE9366F"/>
    <w:rsid w:val="2B08765C"/>
    <w:rsid w:val="2B884C9E"/>
    <w:rsid w:val="2DAA5F1D"/>
    <w:rsid w:val="2DB05D43"/>
    <w:rsid w:val="2E0A6B39"/>
    <w:rsid w:val="33254B06"/>
    <w:rsid w:val="3AEB4233"/>
    <w:rsid w:val="3C1179C6"/>
    <w:rsid w:val="472B04A0"/>
    <w:rsid w:val="474369E5"/>
    <w:rsid w:val="54A412C2"/>
    <w:rsid w:val="5CCA69AB"/>
    <w:rsid w:val="5F9F377A"/>
    <w:rsid w:val="62950E47"/>
    <w:rsid w:val="646D2B27"/>
    <w:rsid w:val="67C371D6"/>
    <w:rsid w:val="701B538A"/>
    <w:rsid w:val="748044F1"/>
    <w:rsid w:val="768A705F"/>
    <w:rsid w:val="7A410474"/>
    <w:rsid w:val="7C9C658A"/>
    <w:rsid w:val="7DFB53BB"/>
  </w:rsids>
  <w:docVars>
    <w:docVar w:name="commondata" w:val="eyJoZGlkIjoiMWEyMGJhYzIzYWM2MjM4MWE2Zjc3MTdkNDQ5Mzk1Nm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NormalWeb">
    <w:name w:val="Normal (Web)"/>
    <w:basedOn w:val="Normal"/>
    <w:pPr>
      <w:spacing w:before="0" w:beforeAutospacing="1" w:after="0" w:afterAutospacing="1"/>
      <w:ind w:left="0" w:right="0"/>
      <w:jc w:val="left"/>
    </w:pPr>
    <w:rPr>
      <w:kern w:val="0"/>
      <w:sz w:val="24"/>
      <w:lang w:val="en-US" w:eastAsia="zh-CN" w:bidi="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615031230314011121"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49</Pages>
  <Words>2</Words>
  <Characters>20</Characters>
  <Application>Microsoft Office Word</Application>
  <DocSecurity>0</DocSecurity>
  <Lines>0</Lines>
  <Paragraphs>0</Paragraphs>
  <ScaleCrop>false</ScaleCrop>
  <Company/>
  <LinksUpToDate>false</LinksUpToDate>
  <CharactersWithSpaces>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hzx</dc:creator>
  <cp:lastModifiedBy>inet</cp:lastModifiedBy>
  <cp:revision>0</cp:revision>
  <dcterms:created xsi:type="dcterms:W3CDTF">2022-11-20T09:51:00Z</dcterms:created>
  <dcterms:modified xsi:type="dcterms:W3CDTF">2024-03-03T04:40:05Z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CACC8A293FAA447F8BB4AE21836289BE</vt:lpwstr>
  </property>
  <property fmtid="{D5CDD505-2E9C-101B-9397-08002B2CF9AE}" pid="3" name="KSOProductBuildVer">
    <vt:lpwstr>2052-12.1.0.16399</vt:lpwstr>
  </property>
</Properties>
</file>