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2024年体育器材行业分析报告及未来五到十年行业发展趋势报告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7192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行业的外部环境及发展趋势分析</w:t>
        </w:r>
        <w:r>
          <w:tab/>
        </w:r>
        <w:r>
          <w:fldChar w:fldCharType="begin"/>
        </w:r>
        <w:r>
          <w:instrText xml:space="preserve"> PAGEREF _Toc7192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9735" w:history="1">
        <w:r>
          <w:rPr>
            <w:rFonts w:eastAsia="微软雅黑" w:hint="eastAsia"/>
            <w:snapToGrid/>
            <w:lang w:val="en-US" w:eastAsia="en-US"/>
          </w:rPr>
          <w:t>(一)、国际政治经济发展对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_Toc9735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434" w:history="1">
        <w:r>
          <w:rPr>
            <w:rFonts w:eastAsia="微软雅黑" w:hint="eastAsia"/>
            <w:snapToGrid/>
            <w:lang w:val="en-US" w:eastAsia="zh-CN"/>
          </w:rPr>
          <w:t>(二)、国内政治经济发展对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_Toc25434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14" w:history="1">
        <w:r>
          <w:rPr>
            <w:rFonts w:eastAsia="微软雅黑" w:hint="eastAsia"/>
            <w:snapToGrid/>
            <w:lang w:val="en-US" w:eastAsia="zh-CN"/>
          </w:rPr>
          <w:t>(三)、国内突出经济问题对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_Toc12014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079" w:history="1">
        <w:r>
          <w:rPr>
            <w:rFonts w:eastAsia="微软雅黑" w:hint="eastAsia"/>
            <w:snapToGrid/>
            <w:lang w:val="en-US" w:eastAsia="en-US"/>
          </w:rPr>
          <w:t>二、关于未来5-10年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_Toc17079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639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_Toc24639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67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_Toc1967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599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_Toc12599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632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_Toc13632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099" w:history="1">
        <w:r>
          <w:rPr>
            <w:rFonts w:eastAsia="微软雅黑" w:hint="eastAsia"/>
            <w:snapToGrid/>
            <w:lang w:val="en-US" w:eastAsia="en-US"/>
          </w:rPr>
          <w:t>三、宏观经济对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_Toc18099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13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_Toc7013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45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_Toc7455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6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_Toc1964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7463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_Toc27463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22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_Toc16223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532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_Toc19532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4357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行业数据预测与分析</w:t>
        </w:r>
        <w:r>
          <w:tab/>
        </w:r>
        <w:r>
          <w:fldChar w:fldCharType="begin"/>
        </w:r>
        <w:r>
          <w:instrText xml:space="preserve"> PAGEREF _Toc14357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31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行业时间序列预测与分析</w:t>
        </w:r>
        <w:r>
          <w:tab/>
        </w:r>
        <w:r>
          <w:fldChar w:fldCharType="begin"/>
        </w:r>
        <w:r>
          <w:instrText xml:space="preserve"> PAGEREF _Toc29311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04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行业时间曲线预测模型分析</w:t>
        </w:r>
        <w:r>
          <w:tab/>
        </w:r>
        <w:r>
          <w:fldChar w:fldCharType="begin"/>
        </w:r>
        <w:r>
          <w:instrText xml:space="preserve"> PAGEREF _Toc27042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8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行业差分方程预测模型分析</w:t>
        </w:r>
        <w:r>
          <w:tab/>
        </w:r>
        <w:r>
          <w:fldChar w:fldCharType="begin"/>
        </w:r>
        <w:r>
          <w:instrText xml:space="preserve"> PAGEREF _Toc29184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463" w:history="1">
        <w:r>
          <w:rPr>
            <w:rFonts w:eastAsia="微软雅黑" w:hint="eastAsia"/>
            <w:snapToGrid/>
            <w:lang w:val="en-US" w:eastAsia="zh-CN"/>
          </w:rPr>
          <w:t>(四)、未来5-10年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行业预测结论</w:t>
        </w:r>
        <w:r>
          <w:tab/>
        </w:r>
        <w:r>
          <w:fldChar w:fldCharType="begin"/>
        </w:r>
        <w:r>
          <w:instrText xml:space="preserve"> PAGEREF _Toc11463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947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_Toc26947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70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_Toc29705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1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_Toc16119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68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_Toc22681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207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_Toc10207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26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_Toc826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891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_Toc31891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102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_Toc31102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190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_Toc26190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000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_Toc23000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398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_Toc25398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559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_Toc9559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040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_Toc26040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7643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_Toc27643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271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_Toc12271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6411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_Toc6411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305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_Toc21305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141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_Toc18141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706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_Toc15706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218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_Toc32218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404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_Toc18404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406" w:history="1">
        <w:r>
          <w:rPr>
            <w:rFonts w:eastAsia="微软雅黑" w:hint="eastAsia"/>
            <w:snapToGrid/>
            <w:lang w:val="en-US" w:eastAsia="en-US"/>
          </w:rPr>
          <w:t>八、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_Toc8406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153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_Toc9153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82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_Toc6382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8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_Toc2568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10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_Toc9610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351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_Toc9351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451" w:history="1">
        <w:r>
          <w:rPr>
            <w:rFonts w:eastAsia="微软雅黑" w:hint="eastAsia"/>
            <w:snapToGrid/>
            <w:lang w:val="en-US" w:eastAsia="en-US"/>
          </w:rPr>
          <w:t>九、2024-2029年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_Toc6451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617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_Toc29617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089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_Toc21089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799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_Toc25799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69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_Toc30569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818" w:history="1">
        <w:r>
          <w:rPr>
            <w:rFonts w:eastAsia="微软雅黑" w:hint="eastAsia"/>
            <w:snapToGrid/>
            <w:lang w:val="en-US" w:eastAsia="en-US"/>
          </w:rPr>
          <w:t>十、关于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_Toc8818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519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_Toc30519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160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_Toc15160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7288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_Toc7288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60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_Toc21602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117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_Toc12117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460" w:history="1">
        <w:r>
          <w:rPr>
            <w:rFonts w:eastAsia="微软雅黑" w:hint="eastAsia"/>
            <w:snapToGrid/>
            <w:lang w:val="en-US" w:eastAsia="en-US"/>
          </w:rPr>
          <w:t>十一、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_Toc5460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899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_Toc16899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3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_Toc5733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7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_Toc26272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265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_Toc14265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703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_Toc16703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15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_Toc10157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6145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_Toc16145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015" w:history="1">
        <w:r>
          <w:rPr>
            <w:rFonts w:eastAsia="微软雅黑" w:hint="eastAsia"/>
            <w:snapToGrid/>
            <w:lang w:val="en-US" w:eastAsia="en-US"/>
          </w:rPr>
          <w:t>十二、2024-2029年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_Toc24015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41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体育器材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_Toc17414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952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体育器材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_Toc13952 \h </w:instrText>
        </w:r>
        <w:r>
          <w:fldChar w:fldCharType="separate"/>
        </w:r>
        <w:r>
          <w:t>37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https://d.book118.com/615041341134011033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autoRedefine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61504134113401103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