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7"/>
        </w:rPr>
      </w:pPr>
    </w:p>
    <w:p>
      <w:pPr>
        <w:pStyle w:val="Heading1"/>
        <w:tabs>
          <w:tab w:val="left" w:pos="2159"/>
        </w:tabs>
        <w:spacing w:before="24"/>
        <w:ind w:left="0"/>
      </w:pPr>
      <w:r>
        <w:t>第一章</w:t>
        <w:tab/>
        <w:t>工程概况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6"/>
        <w:rPr>
          <w:rFonts w:ascii="黑体"/>
          <w:sz w:val="29"/>
        </w:rPr>
      </w:pPr>
    </w:p>
    <w:p>
      <w:pPr>
        <w:pStyle w:val="Heading2"/>
        <w:spacing w:before="32"/>
        <w:ind w:left="2700" w:firstLine="0"/>
      </w:pPr>
      <w:r>
        <w:t>1.工程概况</w:t>
      </w:r>
    </w:p>
    <w:p>
      <w:pPr>
        <w:pStyle w:val="BodyText"/>
        <w:spacing w:before="409" w:line="417" w:lineRule="auto"/>
        <w:ind w:left="2700" w:right="2462" w:firstLine="626"/>
      </w:pPr>
      <w:r>
        <w:rPr>
          <w:spacing w:val="2"/>
        </w:rPr>
        <w:t xml:space="preserve">本标段主要施工从起点西城街交叉口南侧 </w:t>
      </w:r>
      <w:r>
        <w:t>60m，至终点克西街交</w:t>
      </w:r>
      <w:r>
        <w:rPr>
          <w:w w:val="100"/>
        </w:rPr>
        <w:t>叉口北侧</w:t>
      </w:r>
      <w:r>
        <w:rPr>
          <w:spacing w:val="-106"/>
        </w:rPr>
        <w:t xml:space="preserve"> </w:t>
      </w:r>
      <w:r>
        <w:rPr>
          <w:w w:val="100"/>
        </w:rPr>
        <w:t>200</w:t>
      </w:r>
      <w:r>
        <w:rPr>
          <w:spacing w:val="-8"/>
          <w:w w:val="100"/>
        </w:rPr>
        <w:t>m</w:t>
      </w:r>
      <w:r>
        <w:rPr>
          <w:spacing w:val="-60"/>
          <w:w w:val="100"/>
        </w:rPr>
        <w:t>，全长</w:t>
      </w:r>
      <w:r>
        <w:rPr>
          <w:spacing w:val="-60"/>
        </w:rPr>
        <w:t xml:space="preserve"> </w:t>
      </w:r>
      <w:r>
        <w:rPr>
          <w:w w:val="100"/>
        </w:rPr>
        <w:t>1050</w:t>
      </w:r>
      <w:r>
        <w:rPr>
          <w:spacing w:val="-2"/>
          <w:w w:val="100"/>
        </w:rPr>
        <w:t>m</w:t>
      </w:r>
      <w:r>
        <w:rPr>
          <w:spacing w:val="-14"/>
          <w:w w:val="100"/>
        </w:rPr>
        <w:t>，在现状西外环路地面道路上新建高架桥，</w:t>
      </w:r>
      <w:r>
        <w:rPr>
          <w:spacing w:val="-8"/>
        </w:rPr>
        <w:t>在西城街交叉口南侧设置有两对剪刀形上下匝道，同时对改建地面道</w:t>
      </w:r>
      <w:r>
        <w:rPr>
          <w:spacing w:val="-7"/>
        </w:rPr>
        <w:t>路及两侧绿化带、人行道，同步改建雨.水、污水、给水、电力、电信、燃气、热力管线，全线新建雨水口。</w:t>
      </w:r>
    </w:p>
    <w:p>
      <w:pPr>
        <w:pStyle w:val="BodyText"/>
        <w:spacing w:line="417" w:lineRule="auto"/>
        <w:ind w:left="2700" w:right="2486" w:firstLine="838"/>
      </w:pPr>
      <w:r>
        <w:rPr>
          <w:spacing w:val="-15"/>
        </w:rPr>
        <w:t xml:space="preserve">其中主线盖梁 </w:t>
      </w:r>
      <w:r>
        <w:t>50</w:t>
      </w:r>
      <w:r>
        <w:rPr>
          <w:spacing w:val="-65"/>
        </w:rPr>
        <w:t xml:space="preserve"> 座，长度 </w:t>
      </w:r>
      <w:r>
        <w:t>24.5m~40.3m</w:t>
      </w:r>
      <w:r>
        <w:rPr>
          <w:spacing w:val="-40"/>
        </w:rPr>
        <w:t xml:space="preserve"> 范围内，匝道盖梁 </w:t>
      </w:r>
      <w:r>
        <w:t>72</w:t>
      </w:r>
      <w:r>
        <w:rPr>
          <w:spacing w:val="-41"/>
        </w:rPr>
        <w:t xml:space="preserve"> 座， </w:t>
      </w:r>
      <w:r>
        <w:rPr>
          <w:spacing w:val="-27"/>
        </w:rPr>
        <w:t xml:space="preserve">长度为 </w:t>
      </w:r>
      <w:r>
        <w:t>6.8m</w:t>
      </w:r>
      <w:r>
        <w:rPr>
          <w:spacing w:val="16"/>
        </w:rPr>
        <w:t>。盖梁均采用</w:t>
      </w:r>
      <w:r>
        <w:t>C50</w:t>
      </w:r>
      <w:r>
        <w:rPr>
          <w:spacing w:val="-24"/>
        </w:rPr>
        <w:t xml:space="preserve"> 混凝土。</w:t>
      </w:r>
    </w:p>
    <w:p>
      <w:pPr>
        <w:pStyle w:val="BodyText"/>
        <w:spacing w:line="417" w:lineRule="auto"/>
        <w:ind w:left="2700" w:right="2552" w:firstLine="838"/>
      </w:pPr>
      <w:r>
        <w:rPr>
          <w:spacing w:val="-12"/>
        </w:rPr>
        <w:t xml:space="preserve">该工程墩柱高度为 </w:t>
      </w:r>
      <w:r>
        <w:t>1.2~10.55m</w:t>
      </w:r>
      <w:r>
        <w:rPr>
          <w:spacing w:val="-24"/>
        </w:rPr>
        <w:t xml:space="preserve"> 不等，最大高度约为 </w:t>
      </w:r>
      <w:r>
        <w:t>10.55m；主</w:t>
      </w:r>
      <w:r>
        <w:rPr>
          <w:spacing w:val="104"/>
        </w:rPr>
        <w:t>桥</w:t>
      </w:r>
      <w:r>
        <w:t>Pw0040~Pw0067</w:t>
      </w:r>
      <w:r>
        <w:rPr>
          <w:spacing w:val="-36"/>
        </w:rPr>
        <w:t xml:space="preserve"> 盖梁长度 </w:t>
      </w:r>
      <w:r>
        <w:t>24.5</w:t>
      </w:r>
      <w:r>
        <w:rPr>
          <w:spacing w:val="-35"/>
        </w:rPr>
        <w:t xml:space="preserve"> 米，宽度 </w:t>
      </w:r>
      <w:r>
        <w:t>2.94</w:t>
      </w:r>
      <w:r>
        <w:rPr>
          <w:spacing w:val="-36"/>
        </w:rPr>
        <w:t xml:space="preserve"> 米，高度 </w:t>
      </w:r>
      <w:r>
        <w:t>2.805</w:t>
      </w:r>
      <w:r>
        <w:rPr>
          <w:spacing w:val="-40"/>
        </w:rPr>
        <w:t xml:space="preserve"> 米。</w:t>
      </w:r>
      <w:r>
        <w:rPr>
          <w:spacing w:val="-17"/>
        </w:rPr>
        <w:t xml:space="preserve">混凝土量为 </w:t>
      </w:r>
      <w:r>
        <w:rPr>
          <w:spacing w:val="-19"/>
        </w:rPr>
        <w:t>71.6m</w:t>
      </w:r>
      <w:r>
        <w:rPr>
          <w:spacing w:val="-19"/>
          <w:position w:val="3"/>
          <w:sz w:val="29"/>
        </w:rPr>
        <w:t>3</w:t>
      </w:r>
      <w:r>
        <w:rPr>
          <w:spacing w:val="-31"/>
        </w:rPr>
        <w:t xml:space="preserve">；主线 </w:t>
      </w:r>
      <w:r>
        <w:t>A</w:t>
      </w:r>
      <w:r>
        <w:rPr>
          <w:spacing w:val="-83"/>
        </w:rPr>
        <w:t>、</w:t>
      </w:r>
      <w:r>
        <w:t>B</w:t>
      </w:r>
      <w:r>
        <w:rPr>
          <w:spacing w:val="-25"/>
        </w:rPr>
        <w:t xml:space="preserve"> 型门墩盖梁长度 </w:t>
      </w:r>
      <w:r>
        <w:t>40.3</w:t>
      </w:r>
      <w:r>
        <w:rPr>
          <w:spacing w:val="-44"/>
        </w:rPr>
        <w:t xml:space="preserve"> 米。宽度为 </w:t>
      </w:r>
      <w:r>
        <w:t xml:space="preserve">2.94 </w:t>
      </w:r>
      <w:r>
        <w:rPr>
          <w:spacing w:val="10"/>
        </w:rPr>
        <w:t xml:space="preserve">米，高度 </w:t>
      </w:r>
      <w:r>
        <w:t>2.763</w:t>
      </w:r>
      <w:r>
        <w:rPr>
          <w:spacing w:val="9"/>
        </w:rPr>
        <w:t xml:space="preserve"> 米，混凝土量为 </w:t>
      </w:r>
      <w:r>
        <w:rPr>
          <w:spacing w:val="2"/>
        </w:rPr>
        <w:t>139m</w:t>
      </w:r>
      <w:r>
        <w:rPr>
          <w:rFonts w:ascii="宋体" w:eastAsia="宋体" w:hAnsi="宋体" w:hint="eastAsia"/>
          <w:spacing w:val="2"/>
        </w:rPr>
        <w:t>³</w:t>
      </w:r>
      <w:r>
        <w:rPr>
          <w:spacing w:val="10"/>
        </w:rPr>
        <w:t xml:space="preserve">；主线 </w:t>
      </w:r>
      <w:r>
        <w:t>C 型门墩盖梁长度28.6~40.3</w:t>
      </w:r>
      <w:r>
        <w:rPr>
          <w:spacing w:val="-36"/>
        </w:rPr>
        <w:t xml:space="preserve"> 米，宽度 </w:t>
      </w:r>
      <w:r>
        <w:t>2.94</w:t>
      </w:r>
      <w:r>
        <w:rPr>
          <w:spacing w:val="-35"/>
        </w:rPr>
        <w:t xml:space="preserve"> 米，高度 </w:t>
      </w:r>
      <w:r>
        <w:t>2.773</w:t>
      </w:r>
      <w:r>
        <w:rPr>
          <w:spacing w:val="-24"/>
        </w:rPr>
        <w:t xml:space="preserve"> 米，最大混凝量为 </w:t>
      </w:r>
      <w:r>
        <w:rPr>
          <w:spacing w:val="-4"/>
        </w:rPr>
        <w:t>191m</w:t>
      </w:r>
      <w:r>
        <w:rPr>
          <w:rFonts w:ascii="宋体" w:eastAsia="宋体" w:hAnsi="宋体" w:hint="eastAsia"/>
          <w:spacing w:val="-4"/>
        </w:rPr>
        <w:t>³</w:t>
      </w:r>
      <w:r>
        <w:rPr>
          <w:spacing w:val="-4"/>
        </w:rPr>
        <w:t xml:space="preserve">， </w:t>
      </w:r>
      <w:r>
        <w:rPr>
          <w:spacing w:val="2"/>
        </w:rPr>
        <w:t xml:space="preserve">由于全线盖梁高度较低，盖梁排架立杆间距均采用 </w:t>
      </w:r>
      <w:r>
        <w:t>600×900；盖梁模板全部采用定型钢模，钢模设计见附图。</w:t>
      </w:r>
    </w:p>
    <w:p>
      <w:pPr>
        <w:pStyle w:val="BodyText"/>
        <w:rPr>
          <w:sz w:val="33"/>
        </w:rPr>
      </w:pPr>
    </w:p>
    <w:p>
      <w:pPr>
        <w:pStyle w:val="Heading1"/>
        <w:tabs>
          <w:tab w:val="left" w:pos="1892"/>
        </w:tabs>
      </w:pPr>
      <w:r>
        <w:t>第二章</w:t>
        <w:tab/>
        <w:t>编制依据</w:t>
      </w:r>
    </w:p>
    <w:p>
      <w:pPr>
        <w:pStyle w:val="BodyText"/>
        <w:spacing w:before="11"/>
        <w:rPr>
          <w:rFonts w:ascii="黑体"/>
          <w:sz w:val="78"/>
        </w:rPr>
      </w:pPr>
    </w:p>
    <w:p>
      <w:pPr>
        <w:pStyle w:val="ListParagraph"/>
        <w:numPr>
          <w:ilvl w:val="0"/>
          <w:numId w:val="7"/>
        </w:numPr>
        <w:tabs>
          <w:tab w:val="left" w:pos="3123"/>
        </w:tabs>
        <w:spacing w:before="0" w:after="0" w:line="240" w:lineRule="auto"/>
        <w:ind w:left="3123" w:right="0" w:hanging="423"/>
        <w:jc w:val="left"/>
        <w:rPr>
          <w:sz w:val="42"/>
        </w:rPr>
      </w:pPr>
      <w:r>
        <w:rPr>
          <w:sz w:val="42"/>
        </w:rPr>
        <w:t>《乌鲁木齐市克拉玛依路高架道路工程施工Ⅰ标段施工图》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7"/>
        </w:numPr>
        <w:tabs>
          <w:tab w:val="left" w:pos="3123"/>
        </w:tabs>
        <w:spacing w:before="0" w:after="0" w:line="240" w:lineRule="auto"/>
        <w:ind w:left="3123" w:right="0" w:hanging="423"/>
        <w:jc w:val="left"/>
        <w:rPr>
          <w:sz w:val="42"/>
        </w:rPr>
      </w:pPr>
      <w:r>
        <w:rPr>
          <w:spacing w:val="-2"/>
          <w:sz w:val="42"/>
        </w:rPr>
        <w:t>《公路桥涵施工技术规范》</w:t>
      </w:r>
      <w:r>
        <w:rPr>
          <w:sz w:val="42"/>
        </w:rPr>
        <w:t>JTG/T F50-2011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7"/>
        </w:numPr>
        <w:tabs>
          <w:tab w:val="left" w:pos="3123"/>
        </w:tabs>
        <w:spacing w:before="0" w:after="0" w:line="240" w:lineRule="auto"/>
        <w:ind w:left="3123" w:right="0" w:hanging="423"/>
        <w:jc w:val="left"/>
        <w:rPr>
          <w:sz w:val="42"/>
        </w:rPr>
      </w:pPr>
      <w:r>
        <w:rPr>
          <w:spacing w:val="-2"/>
          <w:sz w:val="42"/>
        </w:rPr>
        <w:t>《城市桥梁工程施工与质量验收规范》</w:t>
      </w:r>
      <w:r>
        <w:rPr>
          <w:sz w:val="42"/>
        </w:rPr>
        <w:t>CJJ2-2008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4"/>
          <w:type w:val="continuous"/>
          <w:pgSz w:w="17860" w:h="25260"/>
          <w:pgMar w:top="1740" w:right="0" w:bottom="280" w:left="0" w:header="1540" w:footer="708"/>
          <w:cols w:space="708"/>
        </w:sectPr>
      </w:pPr>
    </w:p>
    <w:p>
      <w:pPr>
        <w:pStyle w:val="BodyText"/>
        <w:spacing w:before="10"/>
        <w:rPr>
          <w:sz w:val="16"/>
        </w:rPr>
      </w:pPr>
    </w:p>
    <w:p>
      <w:pPr>
        <w:pStyle w:val="ListParagraph"/>
        <w:numPr>
          <w:ilvl w:val="0"/>
          <w:numId w:val="7"/>
        </w:numPr>
        <w:tabs>
          <w:tab w:val="left" w:pos="3335"/>
        </w:tabs>
        <w:spacing w:before="42" w:after="0" w:line="417" w:lineRule="auto"/>
        <w:ind w:left="2700" w:right="2703" w:firstLine="0"/>
        <w:jc w:val="left"/>
        <w:rPr>
          <w:sz w:val="42"/>
        </w:rPr>
      </w:pPr>
      <w:r>
        <w:rPr>
          <w:spacing w:val="1"/>
          <w:sz w:val="42"/>
        </w:rPr>
        <w:t xml:space="preserve">外环快速路道路扩容改建(二期)道路工程 </w:t>
      </w:r>
      <w:r>
        <w:rPr>
          <w:sz w:val="42"/>
        </w:rPr>
        <w:t>B1.2</w:t>
      </w:r>
      <w:r>
        <w:rPr>
          <w:spacing w:val="-2"/>
          <w:sz w:val="42"/>
        </w:rPr>
        <w:t xml:space="preserve"> 标段施工组织设</w:t>
      </w:r>
      <w:r>
        <w:rPr>
          <w:sz w:val="42"/>
        </w:rPr>
        <w:t>计</w:t>
      </w:r>
    </w:p>
    <w:p>
      <w:pPr>
        <w:pStyle w:val="BodyText"/>
        <w:spacing w:before="3"/>
        <w:rPr>
          <w:sz w:val="33"/>
        </w:rPr>
      </w:pPr>
    </w:p>
    <w:p>
      <w:pPr>
        <w:pStyle w:val="Heading1"/>
        <w:tabs>
          <w:tab w:val="left" w:pos="1892"/>
        </w:tabs>
      </w:pPr>
      <w:r>
        <w:t>第三章</w:t>
        <w:tab/>
        <w:t>施工计划</w:t>
      </w:r>
    </w:p>
    <w:p>
      <w:pPr>
        <w:pStyle w:val="BodyText"/>
        <w:spacing w:before="12"/>
        <w:rPr>
          <w:rFonts w:ascii="黑体"/>
          <w:sz w:val="71"/>
        </w:rPr>
      </w:pPr>
    </w:p>
    <w:p>
      <w:pPr>
        <w:pStyle w:val="Heading2"/>
        <w:numPr>
          <w:ilvl w:val="0"/>
          <w:numId w:val="6"/>
        </w:numPr>
        <w:tabs>
          <w:tab w:val="left" w:pos="3183"/>
        </w:tabs>
        <w:spacing w:before="0" w:after="0" w:line="240" w:lineRule="auto"/>
        <w:ind w:left="3183" w:right="0" w:hanging="483"/>
        <w:jc w:val="left"/>
      </w:pPr>
      <w:r>
        <w:t>进度计划</w:t>
      </w:r>
    </w:p>
    <w:p>
      <w:pPr>
        <w:pStyle w:val="BodyText"/>
        <w:spacing w:before="215"/>
        <w:ind w:left="3456"/>
      </w:pPr>
      <w:r>
        <w:t>5</w:t>
      </w:r>
      <w:r>
        <w:rPr>
          <w:spacing w:val="-70"/>
        </w:rPr>
        <w:t xml:space="preserve"> 月 </w:t>
      </w:r>
      <w:r>
        <w:t>15</w:t>
      </w:r>
      <w:r>
        <w:rPr>
          <w:spacing w:val="-55"/>
        </w:rPr>
        <w:t xml:space="preserve"> 日</w:t>
      </w:r>
      <w:r>
        <w:t>--7</w:t>
      </w:r>
      <w:r>
        <w:rPr>
          <w:spacing w:val="-71"/>
        </w:rPr>
        <w:t xml:space="preserve"> 月 </w:t>
      </w:r>
      <w:r>
        <w:t>10</w:t>
      </w:r>
      <w:r>
        <w:rPr>
          <w:spacing w:val="-14"/>
        </w:rPr>
        <w:t xml:space="preserve"> 日完成主线桥盖梁;</w:t>
      </w:r>
    </w:p>
    <w:p>
      <w:pPr>
        <w:pStyle w:val="BodyText"/>
        <w:spacing w:before="2"/>
        <w:rPr>
          <w:sz w:val="30"/>
        </w:rPr>
      </w:pPr>
    </w:p>
    <w:p>
      <w:pPr>
        <w:pStyle w:val="Heading2"/>
        <w:numPr>
          <w:ilvl w:val="0"/>
          <w:numId w:val="6"/>
        </w:numPr>
        <w:tabs>
          <w:tab w:val="left" w:pos="3183"/>
        </w:tabs>
        <w:spacing w:before="0" w:after="0" w:line="240" w:lineRule="auto"/>
        <w:ind w:left="3183" w:right="0" w:hanging="483"/>
        <w:jc w:val="left"/>
      </w:pPr>
      <w:r>
        <w:t>材料、机械设备计划</w:t>
      </w:r>
    </w:p>
    <w:p>
      <w:pPr>
        <w:pStyle w:val="BodyText"/>
        <w:spacing w:before="214" w:line="364" w:lineRule="auto"/>
        <w:ind w:left="2952" w:right="2691"/>
        <w:jc w:val="both"/>
      </w:pPr>
      <w:r>
        <w:t>3.2.1 所有工程材料质量必须合格，符合有关要求，并严格执行进厂检验验收制度；有关材料按业主指定的生产厂家（地点）和品牌进行采购；对进场的机械设备必须进行进场检查验收，对特种机械</w:t>
      </w:r>
    </w:p>
    <w:p>
      <w:pPr>
        <w:pStyle w:val="BodyText"/>
        <w:spacing w:line="536" w:lineRule="exact"/>
        <w:ind w:left="2952"/>
      </w:pPr>
      <w:r>
        <w:t>（起重机械）应检查</w:t>
      </w:r>
    </w:p>
    <w:p>
      <w:pPr>
        <w:pStyle w:val="BodyText"/>
        <w:spacing w:before="279" w:line="364" w:lineRule="auto"/>
        <w:ind w:left="2700" w:right="2520" w:firstLine="881"/>
      </w:pPr>
      <w:r>
        <w:t>1、合理制定施工进度计划，准确做好进场材料计划，科学管理使用各种材料，使各工序都做到工完、料净、场清。做好现场材料的堆放、看管和防护措施。</w:t>
      </w:r>
    </w:p>
    <w:p>
      <w:pPr>
        <w:pStyle w:val="BodyText"/>
        <w:spacing w:line="364" w:lineRule="auto"/>
        <w:ind w:left="2733" w:right="2474" w:firstLine="881"/>
      </w:pPr>
      <w:r>
        <w:t>2</w:t>
      </w:r>
      <w:r>
        <w:rPr>
          <w:spacing w:val="-18"/>
        </w:rPr>
        <w:t xml:space="preserve">、待用材料分类放置，码放整齐，挂牌标示。需要防水的材料， </w:t>
      </w:r>
      <w:r>
        <w:t>作好防水、防潮、防雨措施。做好现场安全管理以防材料丢失。</w:t>
      </w:r>
    </w:p>
    <w:p>
      <w:pPr>
        <w:pStyle w:val="BodyText"/>
        <w:spacing w:line="364" w:lineRule="auto"/>
        <w:ind w:left="2733" w:right="2474" w:firstLine="881"/>
        <w:jc w:val="both"/>
      </w:pPr>
      <w:r>
        <w:t>3</w:t>
      </w:r>
      <w:r>
        <w:rPr>
          <w:spacing w:val="-17"/>
        </w:rPr>
        <w:t xml:space="preserve">、采用限额领料制度，杜绝材料浪费。严格材料出入库的管理， </w:t>
      </w:r>
      <w:r>
        <w:t>对进场材料、构配件的数量、型号、批号、生产日期做详细记录。现场材料，构配件的出入库采取入库登记签名，出库清点检查。</w:t>
      </w:r>
    </w:p>
    <w:p>
      <w:pPr>
        <w:pStyle w:val="BodyText"/>
        <w:spacing w:line="362" w:lineRule="auto"/>
        <w:ind w:left="2733" w:right="2661" w:firstLine="881"/>
      </w:pPr>
      <w:r>
        <w:t>4、对施工现场的机械、材料、人工进行合理的组织调配，避免怠工、窝工现象。</w:t>
      </w:r>
    </w:p>
    <w:p>
      <w:pPr>
        <w:pStyle w:val="BodyText"/>
        <w:spacing w:before="2" w:line="364" w:lineRule="auto"/>
        <w:ind w:left="2700" w:right="2693" w:firstLine="881"/>
      </w:pPr>
      <w:r>
        <w:t>5、保质保量地完成操作程序，坚决杜绝因安排不当造成的返工浪费。</w:t>
      </w:r>
    </w:p>
    <w:p>
      <w:pPr>
        <w:pStyle w:val="BodyText"/>
        <w:spacing w:line="536" w:lineRule="exact"/>
        <w:ind w:left="3582"/>
      </w:pPr>
      <w:r>
        <w:t>6、合理组织安排现场施工机械，严禁有任何机械的闲置和不必</w:t>
      </w:r>
    </w:p>
    <w:p>
      <w:pPr>
        <w:spacing w:after="0" w:line="536" w:lineRule="exact"/>
        <w:sectPr>
          <w:headerReference w:type="default" r:id="rId5"/>
          <w:pgSz w:w="17860" w:h="25260"/>
          <w:pgMar w:top="1740" w:right="0" w:bottom="280" w:left="0" w:header="1540" w:footer="0"/>
          <w:pgNumType w:start="2"/>
          <w:cols w:space="708"/>
        </w:sectPr>
      </w:pPr>
    </w:p>
    <w:p>
      <w:pPr>
        <w:pStyle w:val="BodyText"/>
        <w:spacing w:before="63"/>
        <w:ind w:left="2700"/>
      </w:pPr>
      <w:r>
        <w:t>要的停留，减少非生产用工、用车。</w:t>
      </w:r>
    </w:p>
    <w:p>
      <w:pPr>
        <w:pStyle w:val="BodyText"/>
        <w:spacing w:before="279"/>
        <w:ind w:left="886"/>
        <w:jc w:val="center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1435100</wp:posOffset>
            </wp:positionH>
            <wp:positionV relativeFrom="paragraph">
              <wp:posOffset>1764156</wp:posOffset>
            </wp:positionV>
            <wp:extent cx="8462391" cy="528266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2391" cy="5282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7、严格执行市政劳动定额，实行计件工资制，保证工序工期不</w:t>
      </w:r>
    </w:p>
    <w:p>
      <w:pPr>
        <w:pStyle w:val="BodyText"/>
        <w:spacing w:before="4"/>
        <w:rPr>
          <w:sz w:val="26"/>
        </w:rPr>
      </w:pPr>
    </w:p>
    <w:tbl>
      <w:tblPr>
        <w:tblStyle w:val="TableNormal0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23"/>
        <w:gridCol w:w="4726"/>
        <w:gridCol w:w="2522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75"/>
          <w:jc w:val="left"/>
        </w:trPr>
        <w:tc>
          <w:tcPr>
            <w:tcW w:w="4423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拖延。</w:t>
            </w: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8"/>
              <w:rPr>
                <w:sz w:val="44"/>
              </w:rPr>
            </w:pPr>
          </w:p>
          <w:p>
            <w:pPr>
              <w:pStyle w:val="TableParagraph"/>
              <w:spacing w:before="1"/>
              <w:ind w:left="1320"/>
              <w:rPr>
                <w:sz w:val="42"/>
              </w:rPr>
            </w:pPr>
            <w:r>
              <w:rPr>
                <w:sz w:val="42"/>
              </w:rPr>
              <w:t>设备名称</w:t>
            </w:r>
          </w:p>
        </w:tc>
        <w:tc>
          <w:tcPr>
            <w:tcW w:w="4726" w:type="dxa"/>
          </w:tcPr>
          <w:p>
            <w:pPr>
              <w:pStyle w:val="TableParagraph"/>
              <w:spacing w:before="3"/>
              <w:rPr>
                <w:sz w:val="59"/>
              </w:rPr>
            </w:pPr>
          </w:p>
          <w:p>
            <w:pPr>
              <w:pStyle w:val="TableParagraph"/>
              <w:ind w:left="357"/>
              <w:rPr>
                <w:sz w:val="42"/>
              </w:rPr>
            </w:pPr>
            <w:r>
              <w:rPr>
                <w:sz w:val="42"/>
              </w:rPr>
              <w:t>一、机械进场时间表</w:t>
            </w:r>
          </w:p>
          <w:p>
            <w:pPr>
              <w:pStyle w:val="TableParagraph"/>
              <w:spacing w:before="293"/>
              <w:ind w:left="1694" w:right="2152"/>
              <w:jc w:val="center"/>
              <w:rPr>
                <w:sz w:val="42"/>
              </w:rPr>
            </w:pPr>
            <w:r>
              <w:rPr>
                <w:sz w:val="42"/>
              </w:rPr>
              <w:t>数量</w:t>
            </w:r>
          </w:p>
        </w:tc>
        <w:tc>
          <w:tcPr>
            <w:tcW w:w="2522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2"/>
              <w:rPr>
                <w:sz w:val="40"/>
              </w:rPr>
            </w:pPr>
          </w:p>
          <w:p>
            <w:pPr>
              <w:pStyle w:val="TableParagraph"/>
              <w:ind w:right="155"/>
              <w:jc w:val="right"/>
              <w:rPr>
                <w:sz w:val="42"/>
              </w:rPr>
            </w:pPr>
            <w:r>
              <w:rPr>
                <w:sz w:val="42"/>
              </w:rPr>
              <w:t>进场时间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4423" w:type="dxa"/>
          </w:tcPr>
          <w:p>
            <w:pPr>
              <w:pStyle w:val="TableParagraph"/>
              <w:spacing w:before="147"/>
              <w:ind w:left="247" w:right="343"/>
              <w:jc w:val="center"/>
              <w:rPr>
                <w:sz w:val="42"/>
              </w:rPr>
            </w:pPr>
            <w:r>
              <w:rPr>
                <w:sz w:val="42"/>
              </w:rPr>
              <w:t>发电机 50Kw</w:t>
            </w:r>
          </w:p>
        </w:tc>
        <w:tc>
          <w:tcPr>
            <w:tcW w:w="4726" w:type="dxa"/>
          </w:tcPr>
          <w:p>
            <w:pPr>
              <w:pStyle w:val="TableParagraph"/>
              <w:spacing w:before="147"/>
              <w:ind w:left="1765"/>
              <w:rPr>
                <w:sz w:val="42"/>
              </w:rPr>
            </w:pPr>
            <w:r>
              <w:rPr>
                <w:sz w:val="42"/>
              </w:rPr>
              <w:t>3</w:t>
            </w:r>
            <w:r>
              <w:rPr>
                <w:spacing w:val="-54"/>
                <w:sz w:val="42"/>
              </w:rPr>
              <w:t xml:space="preserve"> 台</w:t>
            </w:r>
          </w:p>
        </w:tc>
        <w:tc>
          <w:tcPr>
            <w:tcW w:w="2522" w:type="dxa"/>
          </w:tcPr>
          <w:p>
            <w:pPr>
              <w:pStyle w:val="TableParagraph"/>
              <w:spacing w:before="147"/>
              <w:ind w:right="155"/>
              <w:jc w:val="right"/>
              <w:rPr>
                <w:sz w:val="42"/>
              </w:rPr>
            </w:pPr>
            <w:r>
              <w:rPr>
                <w:sz w:val="42"/>
              </w:rPr>
              <w:t>2013.4.3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4423" w:type="dxa"/>
          </w:tcPr>
          <w:p>
            <w:pPr>
              <w:pStyle w:val="TableParagraph"/>
              <w:spacing w:before="147"/>
              <w:ind w:left="252" w:right="343"/>
              <w:jc w:val="center"/>
              <w:rPr>
                <w:sz w:val="42"/>
              </w:rPr>
            </w:pPr>
            <w:r>
              <w:rPr>
                <w:sz w:val="42"/>
              </w:rPr>
              <w:t>钢筋弯曲机</w:t>
            </w:r>
          </w:p>
        </w:tc>
        <w:tc>
          <w:tcPr>
            <w:tcW w:w="4726" w:type="dxa"/>
          </w:tcPr>
          <w:p>
            <w:pPr>
              <w:pStyle w:val="TableParagraph"/>
              <w:spacing w:before="147"/>
              <w:ind w:left="1765"/>
              <w:rPr>
                <w:sz w:val="42"/>
              </w:rPr>
            </w:pPr>
            <w:r>
              <w:rPr>
                <w:sz w:val="42"/>
              </w:rPr>
              <w:t>6</w:t>
            </w:r>
            <w:r>
              <w:rPr>
                <w:spacing w:val="-54"/>
                <w:sz w:val="42"/>
              </w:rPr>
              <w:t xml:space="preserve"> 台</w:t>
            </w:r>
          </w:p>
        </w:tc>
        <w:tc>
          <w:tcPr>
            <w:tcW w:w="2522" w:type="dxa"/>
          </w:tcPr>
          <w:p>
            <w:pPr>
              <w:pStyle w:val="TableParagraph"/>
              <w:spacing w:before="147"/>
              <w:ind w:right="155"/>
              <w:jc w:val="right"/>
              <w:rPr>
                <w:sz w:val="42"/>
              </w:rPr>
            </w:pPr>
            <w:r>
              <w:rPr>
                <w:sz w:val="42"/>
              </w:rPr>
              <w:t>2013.4.3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2"/>
          <w:jc w:val="left"/>
        </w:trPr>
        <w:tc>
          <w:tcPr>
            <w:tcW w:w="4423" w:type="dxa"/>
          </w:tcPr>
          <w:p>
            <w:pPr>
              <w:pStyle w:val="TableParagraph"/>
              <w:spacing w:before="147"/>
              <w:ind w:left="252" w:right="343"/>
              <w:jc w:val="center"/>
              <w:rPr>
                <w:sz w:val="42"/>
              </w:rPr>
            </w:pPr>
            <w:r>
              <w:rPr>
                <w:sz w:val="42"/>
              </w:rPr>
              <w:t>钢筋调直机</w:t>
            </w:r>
          </w:p>
        </w:tc>
        <w:tc>
          <w:tcPr>
            <w:tcW w:w="4726" w:type="dxa"/>
          </w:tcPr>
          <w:p>
            <w:pPr>
              <w:pStyle w:val="TableParagraph"/>
              <w:spacing w:before="147"/>
              <w:ind w:left="1765"/>
              <w:rPr>
                <w:sz w:val="42"/>
              </w:rPr>
            </w:pPr>
            <w:r>
              <w:rPr>
                <w:sz w:val="42"/>
              </w:rPr>
              <w:t>6</w:t>
            </w:r>
            <w:r>
              <w:rPr>
                <w:spacing w:val="-54"/>
                <w:sz w:val="42"/>
              </w:rPr>
              <w:t xml:space="preserve"> 台</w:t>
            </w:r>
          </w:p>
        </w:tc>
        <w:tc>
          <w:tcPr>
            <w:tcW w:w="2522" w:type="dxa"/>
          </w:tcPr>
          <w:p>
            <w:pPr>
              <w:pStyle w:val="TableParagraph"/>
              <w:spacing w:before="147"/>
              <w:ind w:right="155"/>
              <w:jc w:val="right"/>
              <w:rPr>
                <w:sz w:val="42"/>
              </w:rPr>
            </w:pPr>
            <w:r>
              <w:rPr>
                <w:sz w:val="42"/>
              </w:rPr>
              <w:t>2013.4.3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4423" w:type="dxa"/>
          </w:tcPr>
          <w:p>
            <w:pPr>
              <w:pStyle w:val="TableParagraph"/>
              <w:spacing w:before="147"/>
              <w:ind w:left="252" w:right="343"/>
              <w:jc w:val="center"/>
              <w:rPr>
                <w:sz w:val="42"/>
              </w:rPr>
            </w:pPr>
            <w:r>
              <w:rPr>
                <w:sz w:val="42"/>
              </w:rPr>
              <w:t>钢筋切割机</w:t>
            </w:r>
          </w:p>
        </w:tc>
        <w:tc>
          <w:tcPr>
            <w:tcW w:w="4726" w:type="dxa"/>
          </w:tcPr>
          <w:p>
            <w:pPr>
              <w:pStyle w:val="TableParagraph"/>
              <w:spacing w:before="147"/>
              <w:ind w:left="1765"/>
              <w:rPr>
                <w:sz w:val="42"/>
              </w:rPr>
            </w:pPr>
            <w:r>
              <w:rPr>
                <w:sz w:val="42"/>
              </w:rPr>
              <w:t>6</w:t>
            </w:r>
            <w:r>
              <w:rPr>
                <w:spacing w:val="-54"/>
                <w:sz w:val="42"/>
              </w:rPr>
              <w:t xml:space="preserve"> 台</w:t>
            </w:r>
          </w:p>
        </w:tc>
        <w:tc>
          <w:tcPr>
            <w:tcW w:w="2522" w:type="dxa"/>
          </w:tcPr>
          <w:p>
            <w:pPr>
              <w:pStyle w:val="TableParagraph"/>
              <w:spacing w:before="147"/>
              <w:ind w:right="155"/>
              <w:jc w:val="right"/>
              <w:rPr>
                <w:sz w:val="42"/>
              </w:rPr>
            </w:pPr>
            <w:r>
              <w:rPr>
                <w:sz w:val="42"/>
              </w:rPr>
              <w:t>2013.4.3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4423" w:type="dxa"/>
          </w:tcPr>
          <w:p>
            <w:pPr>
              <w:pStyle w:val="TableParagraph"/>
              <w:spacing w:before="149"/>
              <w:ind w:left="247" w:right="343"/>
              <w:jc w:val="center"/>
              <w:rPr>
                <w:sz w:val="42"/>
              </w:rPr>
            </w:pPr>
            <w:r>
              <w:rPr>
                <w:sz w:val="42"/>
              </w:rPr>
              <w:t>吊车</w:t>
            </w:r>
          </w:p>
        </w:tc>
        <w:tc>
          <w:tcPr>
            <w:tcW w:w="4726" w:type="dxa"/>
          </w:tcPr>
          <w:p>
            <w:pPr>
              <w:pStyle w:val="TableParagraph"/>
              <w:spacing w:before="149"/>
              <w:ind w:left="1765"/>
              <w:rPr>
                <w:sz w:val="42"/>
              </w:rPr>
            </w:pPr>
            <w:r>
              <w:rPr>
                <w:sz w:val="42"/>
              </w:rPr>
              <w:t>6</w:t>
            </w:r>
            <w:r>
              <w:rPr>
                <w:spacing w:val="-54"/>
                <w:sz w:val="42"/>
              </w:rPr>
              <w:t xml:space="preserve"> 台</w:t>
            </w:r>
          </w:p>
        </w:tc>
        <w:tc>
          <w:tcPr>
            <w:tcW w:w="2522" w:type="dxa"/>
          </w:tcPr>
          <w:p>
            <w:pPr>
              <w:pStyle w:val="TableParagraph"/>
              <w:spacing w:before="149"/>
              <w:ind w:right="50"/>
              <w:jc w:val="right"/>
              <w:rPr>
                <w:sz w:val="42"/>
              </w:rPr>
            </w:pPr>
            <w:r>
              <w:rPr>
                <w:sz w:val="42"/>
              </w:rPr>
              <w:t>2013.3.30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4423" w:type="dxa"/>
          </w:tcPr>
          <w:p>
            <w:pPr>
              <w:pStyle w:val="TableParagraph"/>
              <w:spacing w:before="147"/>
              <w:ind w:left="252" w:right="343"/>
              <w:jc w:val="center"/>
              <w:rPr>
                <w:sz w:val="42"/>
              </w:rPr>
            </w:pPr>
            <w:r>
              <w:rPr>
                <w:sz w:val="42"/>
              </w:rPr>
              <w:t>冲击夯</w:t>
            </w:r>
          </w:p>
        </w:tc>
        <w:tc>
          <w:tcPr>
            <w:tcW w:w="4726" w:type="dxa"/>
          </w:tcPr>
          <w:p>
            <w:pPr>
              <w:pStyle w:val="TableParagraph"/>
              <w:spacing w:before="147"/>
              <w:ind w:left="1765"/>
              <w:rPr>
                <w:sz w:val="42"/>
              </w:rPr>
            </w:pPr>
            <w:r>
              <w:rPr>
                <w:sz w:val="42"/>
              </w:rPr>
              <w:t>6</w:t>
            </w:r>
            <w:r>
              <w:rPr>
                <w:spacing w:val="-54"/>
                <w:sz w:val="42"/>
              </w:rPr>
              <w:t xml:space="preserve"> 台</w:t>
            </w:r>
          </w:p>
        </w:tc>
        <w:tc>
          <w:tcPr>
            <w:tcW w:w="2522" w:type="dxa"/>
          </w:tcPr>
          <w:p>
            <w:pPr>
              <w:pStyle w:val="TableParagraph"/>
              <w:spacing w:before="147"/>
              <w:ind w:right="50"/>
              <w:jc w:val="right"/>
              <w:rPr>
                <w:sz w:val="42"/>
              </w:rPr>
            </w:pPr>
            <w:r>
              <w:rPr>
                <w:sz w:val="42"/>
              </w:rPr>
              <w:t>2013.3.30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4423" w:type="dxa"/>
          </w:tcPr>
          <w:p>
            <w:pPr>
              <w:pStyle w:val="TableParagraph"/>
              <w:spacing w:before="147"/>
              <w:ind w:left="256" w:right="343"/>
              <w:jc w:val="center"/>
              <w:rPr>
                <w:sz w:val="42"/>
              </w:rPr>
            </w:pPr>
            <w:r>
              <w:rPr>
                <w:sz w:val="42"/>
              </w:rPr>
              <w:t>手扶式小型压路机</w:t>
            </w:r>
          </w:p>
        </w:tc>
        <w:tc>
          <w:tcPr>
            <w:tcW w:w="4726" w:type="dxa"/>
          </w:tcPr>
          <w:p>
            <w:pPr>
              <w:pStyle w:val="TableParagraph"/>
              <w:spacing w:before="147"/>
              <w:ind w:left="1765"/>
              <w:rPr>
                <w:sz w:val="42"/>
              </w:rPr>
            </w:pPr>
            <w:r>
              <w:rPr>
                <w:sz w:val="42"/>
              </w:rPr>
              <w:t>3</w:t>
            </w:r>
            <w:r>
              <w:rPr>
                <w:spacing w:val="-54"/>
                <w:sz w:val="42"/>
              </w:rPr>
              <w:t xml:space="preserve"> 台</w:t>
            </w:r>
          </w:p>
        </w:tc>
        <w:tc>
          <w:tcPr>
            <w:tcW w:w="2522" w:type="dxa"/>
          </w:tcPr>
          <w:p>
            <w:pPr>
              <w:pStyle w:val="TableParagraph"/>
              <w:spacing w:before="147"/>
              <w:ind w:right="50"/>
              <w:jc w:val="right"/>
              <w:rPr>
                <w:sz w:val="42"/>
              </w:rPr>
            </w:pPr>
            <w:r>
              <w:rPr>
                <w:sz w:val="42"/>
              </w:rPr>
              <w:t>2013.3.30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4423" w:type="dxa"/>
          </w:tcPr>
          <w:p>
            <w:pPr>
              <w:pStyle w:val="TableParagraph"/>
              <w:spacing w:before="147"/>
              <w:ind w:left="252" w:right="343"/>
              <w:jc w:val="center"/>
              <w:rPr>
                <w:sz w:val="42"/>
              </w:rPr>
            </w:pPr>
            <w:r>
              <w:rPr>
                <w:sz w:val="42"/>
              </w:rPr>
              <w:t>洒水车</w:t>
            </w:r>
          </w:p>
        </w:tc>
        <w:tc>
          <w:tcPr>
            <w:tcW w:w="4726" w:type="dxa"/>
          </w:tcPr>
          <w:p>
            <w:pPr>
              <w:pStyle w:val="TableParagraph"/>
              <w:spacing w:before="147"/>
              <w:ind w:left="1765"/>
              <w:rPr>
                <w:sz w:val="42"/>
              </w:rPr>
            </w:pPr>
            <w:r>
              <w:rPr>
                <w:sz w:val="42"/>
              </w:rPr>
              <w:t>3</w:t>
            </w:r>
            <w:r>
              <w:rPr>
                <w:spacing w:val="-54"/>
                <w:sz w:val="42"/>
              </w:rPr>
              <w:t xml:space="preserve"> 辆</w:t>
            </w:r>
          </w:p>
        </w:tc>
        <w:tc>
          <w:tcPr>
            <w:tcW w:w="2522" w:type="dxa"/>
          </w:tcPr>
          <w:p>
            <w:pPr>
              <w:pStyle w:val="TableParagraph"/>
              <w:spacing w:before="147"/>
              <w:ind w:right="50"/>
              <w:jc w:val="right"/>
              <w:rPr>
                <w:sz w:val="42"/>
              </w:rPr>
            </w:pPr>
            <w:r>
              <w:rPr>
                <w:sz w:val="42"/>
              </w:rPr>
              <w:t>2013.3.30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4423" w:type="dxa"/>
          </w:tcPr>
          <w:p>
            <w:pPr>
              <w:pStyle w:val="TableParagraph"/>
              <w:spacing w:before="147" w:line="459" w:lineRule="exact"/>
              <w:ind w:left="260" w:right="343"/>
              <w:jc w:val="center"/>
              <w:rPr>
                <w:sz w:val="42"/>
              </w:rPr>
            </w:pPr>
            <w:r>
              <w:rPr>
                <w:sz w:val="42"/>
              </w:rPr>
              <w:t>大型挖运及碾压设备</w:t>
            </w:r>
          </w:p>
        </w:tc>
        <w:tc>
          <w:tcPr>
            <w:tcW w:w="4726" w:type="dxa"/>
          </w:tcPr>
          <w:p>
            <w:pPr>
              <w:pStyle w:val="TableParagraph"/>
              <w:spacing w:before="147" w:line="459" w:lineRule="exact"/>
              <w:ind w:left="1765"/>
              <w:rPr>
                <w:sz w:val="42"/>
              </w:rPr>
            </w:pPr>
            <w:r>
              <w:rPr>
                <w:sz w:val="42"/>
              </w:rPr>
              <w:t>3</w:t>
            </w:r>
            <w:r>
              <w:rPr>
                <w:spacing w:val="-54"/>
                <w:sz w:val="42"/>
              </w:rPr>
              <w:t xml:space="preserve"> 台</w:t>
            </w:r>
          </w:p>
        </w:tc>
        <w:tc>
          <w:tcPr>
            <w:tcW w:w="2522" w:type="dxa"/>
          </w:tcPr>
          <w:p>
            <w:pPr>
              <w:pStyle w:val="TableParagraph"/>
              <w:spacing w:before="147" w:line="459" w:lineRule="exact"/>
              <w:ind w:right="50"/>
              <w:jc w:val="right"/>
              <w:rPr>
                <w:sz w:val="42"/>
              </w:rPr>
            </w:pPr>
            <w:r>
              <w:rPr>
                <w:sz w:val="42"/>
              </w:rPr>
              <w:t>2013.3.30</w:t>
            </w:r>
          </w:p>
        </w:tc>
      </w:tr>
    </w:tbl>
    <w:p>
      <w:pPr>
        <w:pStyle w:val="BodyText"/>
      </w:pP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798"/>
        <w:jc w:val="center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1435100</wp:posOffset>
            </wp:positionH>
            <wp:positionV relativeFrom="paragraph">
              <wp:posOffset>542925</wp:posOffset>
            </wp:positionV>
            <wp:extent cx="8462391" cy="4763262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2391" cy="4763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二、材料、设备进场时间表</w:t>
      </w:r>
    </w:p>
    <w:p>
      <w:pPr>
        <w:pStyle w:val="BodyText"/>
        <w:spacing w:before="5"/>
        <w:rPr>
          <w:sz w:val="27"/>
        </w:rPr>
      </w:pPr>
    </w:p>
    <w:tbl>
      <w:tblPr>
        <w:tblStyle w:val="TableNormal0"/>
        <w:tblW w:w="0" w:type="auto"/>
        <w:jc w:val="left"/>
        <w:tblInd w:w="25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28"/>
        <w:gridCol w:w="2083"/>
        <w:gridCol w:w="1506"/>
        <w:gridCol w:w="3081"/>
      </w:tblGrid>
      <w:tr>
        <w:tblPrEx>
          <w:tblW w:w="0" w:type="auto"/>
          <w:jc w:val="left"/>
          <w:tblInd w:w="256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5128" w:type="dxa"/>
          </w:tcPr>
          <w:p>
            <w:pPr>
              <w:pStyle w:val="TableParagraph"/>
              <w:spacing w:line="480" w:lineRule="exact"/>
              <w:ind w:left="35" w:right="644"/>
              <w:jc w:val="center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材料、设备名称</w:t>
            </w:r>
          </w:p>
        </w:tc>
        <w:tc>
          <w:tcPr>
            <w:tcW w:w="2083" w:type="dxa"/>
          </w:tcPr>
          <w:p>
            <w:pPr>
              <w:pStyle w:val="TableParagraph"/>
              <w:spacing w:line="480" w:lineRule="exact"/>
              <w:ind w:right="102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数量</w:t>
            </w:r>
          </w:p>
        </w:tc>
        <w:tc>
          <w:tcPr>
            <w:tcW w:w="150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081" w:type="dxa"/>
          </w:tcPr>
          <w:p>
            <w:pPr>
              <w:pStyle w:val="TableParagraph"/>
              <w:spacing w:line="480" w:lineRule="exact"/>
              <w:ind w:right="152"/>
              <w:jc w:val="righ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进场时间</w:t>
            </w:r>
          </w:p>
        </w:tc>
      </w:tr>
      <w:tr>
        <w:tblPrEx>
          <w:tblW w:w="0" w:type="auto"/>
          <w:jc w:val="left"/>
          <w:tblInd w:w="2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5128" w:type="dxa"/>
          </w:tcPr>
          <w:p>
            <w:pPr>
              <w:pStyle w:val="TableParagraph"/>
              <w:spacing w:before="147"/>
              <w:ind w:left="35" w:right="644"/>
              <w:jc w:val="center"/>
              <w:rPr>
                <w:sz w:val="42"/>
              </w:rPr>
            </w:pPr>
            <w:r>
              <w:rPr>
                <w:sz w:val="42"/>
              </w:rPr>
              <w:t>腕扣式支架</w:t>
            </w:r>
          </w:p>
        </w:tc>
        <w:tc>
          <w:tcPr>
            <w:tcW w:w="2083" w:type="dxa"/>
          </w:tcPr>
          <w:p>
            <w:pPr>
              <w:pStyle w:val="TableParagraph"/>
              <w:spacing w:before="147"/>
              <w:ind w:right="102"/>
              <w:jc w:val="right"/>
              <w:rPr>
                <w:sz w:val="42"/>
              </w:rPr>
            </w:pPr>
            <w:r>
              <w:rPr>
                <w:sz w:val="42"/>
              </w:rPr>
              <w:t>800t</w:t>
            </w:r>
          </w:p>
        </w:tc>
        <w:tc>
          <w:tcPr>
            <w:tcW w:w="150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081" w:type="dxa"/>
          </w:tcPr>
          <w:p>
            <w:pPr>
              <w:pStyle w:val="TableParagraph"/>
              <w:spacing w:before="147"/>
              <w:ind w:right="46"/>
              <w:jc w:val="right"/>
              <w:rPr>
                <w:sz w:val="42"/>
              </w:rPr>
            </w:pPr>
            <w:r>
              <w:rPr>
                <w:sz w:val="42"/>
              </w:rPr>
              <w:t>2013.5.10</w:t>
            </w:r>
          </w:p>
        </w:tc>
      </w:tr>
      <w:tr>
        <w:tblPrEx>
          <w:tblW w:w="0" w:type="auto"/>
          <w:jc w:val="left"/>
          <w:tblInd w:w="2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5128" w:type="dxa"/>
          </w:tcPr>
          <w:p>
            <w:pPr>
              <w:pStyle w:val="TableParagraph"/>
              <w:spacing w:before="147"/>
              <w:ind w:left="34" w:right="646"/>
              <w:jc w:val="center"/>
              <w:rPr>
                <w:sz w:val="42"/>
              </w:rPr>
            </w:pPr>
            <w:r>
              <w:rPr>
                <w:sz w:val="42"/>
              </w:rPr>
              <w:t>盖梁模板</w:t>
            </w:r>
          </w:p>
        </w:tc>
        <w:tc>
          <w:tcPr>
            <w:tcW w:w="2083" w:type="dxa"/>
          </w:tcPr>
          <w:p>
            <w:pPr>
              <w:pStyle w:val="TableParagraph"/>
              <w:spacing w:before="147"/>
              <w:ind w:right="53"/>
              <w:jc w:val="right"/>
              <w:rPr>
                <w:sz w:val="42"/>
              </w:rPr>
            </w:pPr>
            <w:r>
              <w:rPr>
                <w:sz w:val="42"/>
              </w:rPr>
              <w:t>16</w:t>
            </w:r>
            <w:r>
              <w:rPr>
                <w:spacing w:val="-52"/>
                <w:sz w:val="42"/>
              </w:rPr>
              <w:t xml:space="preserve"> 套</w:t>
            </w:r>
          </w:p>
        </w:tc>
        <w:tc>
          <w:tcPr>
            <w:tcW w:w="150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081" w:type="dxa"/>
          </w:tcPr>
          <w:p>
            <w:pPr>
              <w:pStyle w:val="TableParagraph"/>
              <w:spacing w:before="147"/>
              <w:ind w:right="46"/>
              <w:jc w:val="right"/>
              <w:rPr>
                <w:sz w:val="42"/>
              </w:rPr>
            </w:pPr>
            <w:r>
              <w:rPr>
                <w:sz w:val="42"/>
              </w:rPr>
              <w:t>2013.5.20</w:t>
            </w:r>
          </w:p>
        </w:tc>
      </w:tr>
      <w:tr>
        <w:tblPrEx>
          <w:tblW w:w="0" w:type="auto"/>
          <w:jc w:val="left"/>
          <w:tblInd w:w="2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5128" w:type="dxa"/>
          </w:tcPr>
          <w:p>
            <w:pPr>
              <w:pStyle w:val="TableParagraph"/>
              <w:spacing w:before="149"/>
              <w:ind w:left="35" w:right="646"/>
              <w:jc w:val="center"/>
              <w:rPr>
                <w:sz w:val="42"/>
              </w:rPr>
            </w:pPr>
            <w:r>
              <w:rPr>
                <w:sz w:val="42"/>
              </w:rPr>
              <w:t>HRB335</w:t>
            </w:r>
            <w:r>
              <w:rPr>
                <w:spacing w:val="-27"/>
                <w:sz w:val="42"/>
              </w:rPr>
              <w:t xml:space="preserve"> 钢筋、</w:t>
            </w:r>
            <w:r>
              <w:rPr>
                <w:sz w:val="42"/>
              </w:rPr>
              <w:t>R235</w:t>
            </w:r>
            <w:r>
              <w:rPr>
                <w:spacing w:val="-35"/>
                <w:sz w:val="42"/>
              </w:rPr>
              <w:t xml:space="preserve"> 钢筋</w:t>
            </w:r>
          </w:p>
        </w:tc>
        <w:tc>
          <w:tcPr>
            <w:tcW w:w="2083" w:type="dxa"/>
          </w:tcPr>
          <w:p>
            <w:pPr>
              <w:pStyle w:val="TableParagraph"/>
              <w:spacing w:before="149"/>
              <w:ind w:right="102"/>
              <w:jc w:val="right"/>
              <w:rPr>
                <w:sz w:val="42"/>
              </w:rPr>
            </w:pPr>
            <w:r>
              <w:rPr>
                <w:sz w:val="42"/>
              </w:rPr>
              <w:t>500t</w:t>
            </w:r>
          </w:p>
        </w:tc>
        <w:tc>
          <w:tcPr>
            <w:tcW w:w="150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081" w:type="dxa"/>
          </w:tcPr>
          <w:p>
            <w:pPr>
              <w:pStyle w:val="TableParagraph"/>
              <w:spacing w:before="149"/>
              <w:ind w:right="46"/>
              <w:jc w:val="right"/>
              <w:rPr>
                <w:sz w:val="42"/>
              </w:rPr>
            </w:pPr>
            <w:r>
              <w:rPr>
                <w:sz w:val="42"/>
              </w:rPr>
              <w:t>2013.5.10</w:t>
            </w:r>
          </w:p>
        </w:tc>
      </w:tr>
      <w:tr>
        <w:tblPrEx>
          <w:tblW w:w="0" w:type="auto"/>
          <w:jc w:val="left"/>
          <w:tblInd w:w="2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5128" w:type="dxa"/>
          </w:tcPr>
          <w:p>
            <w:pPr>
              <w:pStyle w:val="TableParagraph"/>
              <w:spacing w:before="147" w:line="459" w:lineRule="exact"/>
              <w:ind w:left="35" w:right="644"/>
              <w:jc w:val="center"/>
              <w:rPr>
                <w:sz w:val="42"/>
              </w:rPr>
            </w:pPr>
            <w:r>
              <w:rPr>
                <w:sz w:val="42"/>
              </w:rPr>
              <w:t>盖梁混凝土</w:t>
            </w:r>
          </w:p>
        </w:tc>
        <w:tc>
          <w:tcPr>
            <w:tcW w:w="2083" w:type="dxa"/>
          </w:tcPr>
          <w:p>
            <w:pPr>
              <w:pStyle w:val="TableParagraph"/>
              <w:spacing w:before="147" w:line="459" w:lineRule="exact"/>
              <w:ind w:right="152"/>
              <w:jc w:val="right"/>
              <w:rPr>
                <w:sz w:val="42"/>
              </w:rPr>
            </w:pPr>
            <w:r>
              <w:rPr>
                <w:sz w:val="42"/>
              </w:rPr>
              <w:t>5049.7</w:t>
            </w:r>
          </w:p>
        </w:tc>
        <w:tc>
          <w:tcPr>
            <w:tcW w:w="1506" w:type="dxa"/>
          </w:tcPr>
          <w:p>
            <w:pPr>
              <w:pStyle w:val="TableParagraph"/>
              <w:spacing w:before="151" w:line="455" w:lineRule="exact"/>
              <w:ind w:left="55"/>
              <w:rPr>
                <w:sz w:val="21"/>
              </w:rPr>
            </w:pPr>
            <w:r>
              <w:rPr>
                <w:position w:val="-2"/>
                <w:sz w:val="42"/>
              </w:rPr>
              <w:t>m</w:t>
            </w:r>
            <w:r>
              <w:rPr>
                <w:sz w:val="21"/>
              </w:rPr>
              <w:t>3</w:t>
            </w:r>
          </w:p>
        </w:tc>
        <w:tc>
          <w:tcPr>
            <w:tcW w:w="3081" w:type="dxa"/>
          </w:tcPr>
          <w:p>
            <w:pPr>
              <w:pStyle w:val="TableParagraph"/>
              <w:spacing w:before="147" w:line="459" w:lineRule="exact"/>
              <w:ind w:right="46"/>
              <w:jc w:val="right"/>
              <w:rPr>
                <w:sz w:val="42"/>
              </w:rPr>
            </w:pPr>
            <w:r>
              <w:rPr>
                <w:sz w:val="42"/>
              </w:rPr>
              <w:t>2013.5.20</w:t>
            </w:r>
          </w:p>
        </w:tc>
      </w:tr>
      <w:tr>
        <w:tblPrEx>
          <w:tblW w:w="0" w:type="auto"/>
          <w:jc w:val="left"/>
          <w:tblInd w:w="2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7"/>
          <w:jc w:val="left"/>
        </w:trPr>
        <w:tc>
          <w:tcPr>
            <w:tcW w:w="5128" w:type="dxa"/>
          </w:tcPr>
          <w:p>
            <w:pPr>
              <w:pStyle w:val="TableParagraph"/>
              <w:spacing w:before="353"/>
              <w:ind w:left="34" w:right="646"/>
              <w:jc w:val="center"/>
              <w:rPr>
                <w:sz w:val="42"/>
              </w:rPr>
            </w:pPr>
            <w:r>
              <w:rPr>
                <w:sz w:val="42"/>
              </w:rPr>
              <w:t>塑料薄膜</w:t>
            </w:r>
          </w:p>
        </w:tc>
        <w:tc>
          <w:tcPr>
            <w:tcW w:w="3589" w:type="dxa"/>
            <w:gridSpan w:val="2"/>
          </w:tcPr>
          <w:p>
            <w:pPr>
              <w:pStyle w:val="TableParagraph"/>
              <w:spacing w:before="353"/>
              <w:ind w:left="873"/>
              <w:rPr>
                <w:sz w:val="21"/>
              </w:rPr>
            </w:pPr>
            <w:r>
              <w:rPr>
                <w:sz w:val="42"/>
              </w:rPr>
              <w:t>10000m</w:t>
            </w:r>
            <w:r>
              <w:rPr>
                <w:position w:val="3"/>
                <w:sz w:val="21"/>
              </w:rPr>
              <w:t>2</w:t>
            </w:r>
          </w:p>
        </w:tc>
        <w:tc>
          <w:tcPr>
            <w:tcW w:w="3081" w:type="dxa"/>
          </w:tcPr>
          <w:p>
            <w:pPr>
              <w:pStyle w:val="TableParagraph"/>
              <w:spacing w:before="353"/>
              <w:ind w:right="46"/>
              <w:jc w:val="right"/>
              <w:rPr>
                <w:sz w:val="42"/>
              </w:rPr>
            </w:pPr>
            <w:r>
              <w:rPr>
                <w:sz w:val="42"/>
              </w:rPr>
              <w:t>2013.5.10</w:t>
            </w:r>
          </w:p>
        </w:tc>
      </w:tr>
      <w:tr>
        <w:tblPrEx>
          <w:tblW w:w="0" w:type="auto"/>
          <w:jc w:val="left"/>
          <w:tblInd w:w="2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5128" w:type="dxa"/>
          </w:tcPr>
          <w:p>
            <w:pPr>
              <w:pStyle w:val="TableParagraph"/>
              <w:spacing w:before="147"/>
              <w:ind w:left="34" w:right="646"/>
              <w:jc w:val="center"/>
              <w:rPr>
                <w:sz w:val="42"/>
              </w:rPr>
            </w:pPr>
            <w:r>
              <w:rPr>
                <w:sz w:val="42"/>
              </w:rPr>
              <w:t>试验设备</w:t>
            </w:r>
          </w:p>
        </w:tc>
        <w:tc>
          <w:tcPr>
            <w:tcW w:w="3589" w:type="dxa"/>
            <w:gridSpan w:val="2"/>
          </w:tcPr>
          <w:p>
            <w:pPr>
              <w:pStyle w:val="TableParagraph"/>
              <w:spacing w:before="147"/>
              <w:ind w:left="1190"/>
              <w:rPr>
                <w:sz w:val="42"/>
              </w:rPr>
            </w:pPr>
            <w:r>
              <w:rPr>
                <w:sz w:val="42"/>
              </w:rPr>
              <w:t>3</w:t>
            </w:r>
            <w:r>
              <w:rPr>
                <w:spacing w:val="-54"/>
                <w:sz w:val="42"/>
              </w:rPr>
              <w:t xml:space="preserve"> 套</w:t>
            </w:r>
          </w:p>
        </w:tc>
        <w:tc>
          <w:tcPr>
            <w:tcW w:w="3081" w:type="dxa"/>
          </w:tcPr>
          <w:p>
            <w:pPr>
              <w:pStyle w:val="TableParagraph"/>
              <w:spacing w:before="147"/>
              <w:ind w:right="46"/>
              <w:jc w:val="right"/>
              <w:rPr>
                <w:sz w:val="42"/>
              </w:rPr>
            </w:pPr>
            <w:r>
              <w:rPr>
                <w:sz w:val="42"/>
              </w:rPr>
              <w:t>2013.5.10</w:t>
            </w:r>
          </w:p>
        </w:tc>
      </w:tr>
      <w:tr>
        <w:tblPrEx>
          <w:tblW w:w="0" w:type="auto"/>
          <w:jc w:val="left"/>
          <w:tblInd w:w="2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5128" w:type="dxa"/>
          </w:tcPr>
          <w:p>
            <w:pPr>
              <w:pStyle w:val="TableParagraph"/>
              <w:spacing w:before="147"/>
              <w:ind w:left="35" w:right="644"/>
              <w:jc w:val="center"/>
              <w:rPr>
                <w:sz w:val="42"/>
              </w:rPr>
            </w:pPr>
            <w:r>
              <w:rPr>
                <w:sz w:val="42"/>
              </w:rPr>
              <w:t>全站仪</w:t>
            </w:r>
          </w:p>
        </w:tc>
        <w:tc>
          <w:tcPr>
            <w:tcW w:w="3589" w:type="dxa"/>
            <w:gridSpan w:val="2"/>
          </w:tcPr>
          <w:p>
            <w:pPr>
              <w:pStyle w:val="TableParagraph"/>
              <w:spacing w:before="147"/>
              <w:ind w:left="1190"/>
              <w:rPr>
                <w:sz w:val="42"/>
              </w:rPr>
            </w:pPr>
            <w:r>
              <w:rPr>
                <w:sz w:val="42"/>
              </w:rPr>
              <w:t>3</w:t>
            </w:r>
            <w:r>
              <w:rPr>
                <w:spacing w:val="-54"/>
                <w:sz w:val="42"/>
              </w:rPr>
              <w:t xml:space="preserve"> 套</w:t>
            </w:r>
          </w:p>
        </w:tc>
        <w:tc>
          <w:tcPr>
            <w:tcW w:w="3081" w:type="dxa"/>
          </w:tcPr>
          <w:p>
            <w:pPr>
              <w:pStyle w:val="TableParagraph"/>
              <w:spacing w:before="147"/>
              <w:ind w:right="46"/>
              <w:jc w:val="right"/>
              <w:rPr>
                <w:sz w:val="42"/>
              </w:rPr>
            </w:pPr>
            <w:r>
              <w:rPr>
                <w:sz w:val="42"/>
              </w:rPr>
              <w:t>2013.5.10</w:t>
            </w:r>
          </w:p>
        </w:tc>
      </w:tr>
      <w:tr>
        <w:tblPrEx>
          <w:tblW w:w="0" w:type="auto"/>
          <w:jc w:val="left"/>
          <w:tblInd w:w="25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5128" w:type="dxa"/>
          </w:tcPr>
          <w:p>
            <w:pPr>
              <w:pStyle w:val="TableParagraph"/>
              <w:spacing w:before="147" w:line="459" w:lineRule="exact"/>
              <w:ind w:left="35" w:right="644"/>
              <w:jc w:val="center"/>
              <w:rPr>
                <w:sz w:val="42"/>
              </w:rPr>
            </w:pPr>
            <w:r>
              <w:rPr>
                <w:sz w:val="42"/>
              </w:rPr>
              <w:t>水平仪</w:t>
            </w:r>
          </w:p>
        </w:tc>
        <w:tc>
          <w:tcPr>
            <w:tcW w:w="3589" w:type="dxa"/>
            <w:gridSpan w:val="2"/>
          </w:tcPr>
          <w:p>
            <w:pPr>
              <w:pStyle w:val="TableParagraph"/>
              <w:spacing w:before="147" w:line="459" w:lineRule="exact"/>
              <w:ind w:left="1190"/>
              <w:rPr>
                <w:sz w:val="42"/>
              </w:rPr>
            </w:pPr>
            <w:r>
              <w:rPr>
                <w:sz w:val="42"/>
              </w:rPr>
              <w:t>6</w:t>
            </w:r>
            <w:r>
              <w:rPr>
                <w:spacing w:val="-54"/>
                <w:sz w:val="42"/>
              </w:rPr>
              <w:t xml:space="preserve"> 套</w:t>
            </w:r>
          </w:p>
        </w:tc>
        <w:tc>
          <w:tcPr>
            <w:tcW w:w="3081" w:type="dxa"/>
          </w:tcPr>
          <w:p>
            <w:pPr>
              <w:pStyle w:val="TableParagraph"/>
              <w:spacing w:before="147" w:line="459" w:lineRule="exact"/>
              <w:ind w:right="46"/>
              <w:jc w:val="right"/>
              <w:rPr>
                <w:sz w:val="42"/>
              </w:rPr>
            </w:pPr>
            <w:r>
              <w:rPr>
                <w:sz w:val="42"/>
              </w:rPr>
              <w:t>2013.5.10</w:t>
            </w:r>
          </w:p>
        </w:tc>
      </w:tr>
    </w:tbl>
    <w:p>
      <w:pPr>
        <w:spacing w:after="0" w:line="459" w:lineRule="exact"/>
        <w:jc w:val="right"/>
        <w:rPr>
          <w:sz w:val="42"/>
        </w:rPr>
        <w:sectPr>
          <w:headerReference w:type="default" r:id="rId8"/>
          <w:pgSz w:w="17860" w:h="25260"/>
          <w:pgMar w:top="1740" w:right="0" w:bottom="280" w:left="0" w:header="1540" w:footer="0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Heading1"/>
        <w:tabs>
          <w:tab w:val="left" w:pos="1892"/>
        </w:tabs>
        <w:spacing w:before="24"/>
      </w:pPr>
      <w:r>
        <w:t>第四章</w:t>
        <w:tab/>
        <w:t>施工方案</w:t>
      </w:r>
    </w:p>
    <w:p>
      <w:pPr>
        <w:pStyle w:val="BodyText"/>
        <w:spacing w:before="9"/>
        <w:rPr>
          <w:rFonts w:ascii="黑体"/>
          <w:sz w:val="23"/>
        </w:rPr>
      </w:pPr>
    </w:p>
    <w:p>
      <w:pPr>
        <w:pStyle w:val="Heading2"/>
        <w:numPr>
          <w:ilvl w:val="0"/>
          <w:numId w:val="8"/>
        </w:numPr>
        <w:tabs>
          <w:tab w:val="left" w:pos="3183"/>
        </w:tabs>
        <w:spacing w:before="32" w:after="0" w:line="240" w:lineRule="auto"/>
        <w:ind w:left="3183" w:right="0" w:hanging="483"/>
        <w:jc w:val="left"/>
      </w:pPr>
      <w:r>
        <w:t>施工流程</w:t>
      </w:r>
    </w:p>
    <w:p>
      <w:pPr>
        <w:pStyle w:val="BodyText"/>
        <w:spacing w:before="409" w:line="417" w:lineRule="auto"/>
        <w:ind w:left="2700" w:right="2524" w:firstLine="838"/>
      </w:pPr>
      <w:r>
        <w:t>按照设计要求及施工部署，安排施工流程如下：承台定位（</w:t>
      </w:r>
      <w:r>
        <w:rPr>
          <w:spacing w:val="-9"/>
        </w:rPr>
        <w:t>测量</w:t>
      </w:r>
      <w:r>
        <w:t>放线及抄标高</w:t>
      </w:r>
      <w:r>
        <w:rPr>
          <w:spacing w:val="-74"/>
        </w:rPr>
        <w:t>）</w:t>
      </w:r>
      <w:r>
        <w:rPr>
          <w:spacing w:val="-9"/>
        </w:rPr>
        <w:t>→承台基坑土方开挖→破除桩头→检测桩基础→承台混凝土垫层浇筑→承台及墩柱放样→置设承台模板→钢筋绑扎→混 凝土浇筑→养护</w:t>
      </w:r>
    </w:p>
    <w:p>
      <w:pPr>
        <w:pStyle w:val="Heading2"/>
        <w:numPr>
          <w:ilvl w:val="0"/>
          <w:numId w:val="8"/>
        </w:numPr>
        <w:tabs>
          <w:tab w:val="left" w:pos="3183"/>
        </w:tabs>
        <w:spacing w:before="0" w:after="0" w:line="527" w:lineRule="exact"/>
        <w:ind w:left="3183" w:right="0" w:hanging="483"/>
        <w:jc w:val="left"/>
      </w:pPr>
      <w:r>
        <w:t>施工方案</w:t>
      </w:r>
    </w:p>
    <w:p>
      <w:pPr>
        <w:pStyle w:val="Heading4"/>
        <w:numPr>
          <w:ilvl w:val="1"/>
          <w:numId w:val="8"/>
        </w:numPr>
        <w:tabs>
          <w:tab w:val="left" w:pos="3493"/>
        </w:tabs>
        <w:spacing w:before="365" w:after="0" w:line="240" w:lineRule="auto"/>
        <w:ind w:left="3492" w:right="0" w:hanging="793"/>
        <w:jc w:val="both"/>
      </w:pPr>
      <w:r>
        <w:t>施工准备</w:t>
      </w:r>
    </w:p>
    <w:p>
      <w:pPr>
        <w:pStyle w:val="BodyText"/>
        <w:spacing w:before="5"/>
        <w:rPr>
          <w:b/>
          <w:sz w:val="31"/>
        </w:rPr>
      </w:pPr>
    </w:p>
    <w:p>
      <w:pPr>
        <w:pStyle w:val="BodyText"/>
        <w:spacing w:before="1" w:line="417" w:lineRule="auto"/>
        <w:ind w:left="2700" w:right="2471" w:firstLine="806"/>
        <w:jc w:val="both"/>
      </w:pPr>
      <w:r>
        <w:rPr>
          <w:spacing w:val="-20"/>
        </w:rPr>
        <w:t xml:space="preserve">承台开工前，完成水、电、路三通；测量工作资料已报监理签认； </w:t>
      </w:r>
      <w:r>
        <w:t>试验工作已完成，资料已签认批复；人员、机械、设备已进场；施工用原材料已进场检验合格；各项组织机械体系等已建立。</w:t>
      </w:r>
    </w:p>
    <w:p>
      <w:pPr>
        <w:pStyle w:val="Heading4"/>
        <w:numPr>
          <w:ilvl w:val="1"/>
          <w:numId w:val="8"/>
        </w:numPr>
        <w:tabs>
          <w:tab w:val="left" w:pos="3493"/>
        </w:tabs>
        <w:spacing w:before="0" w:after="0" w:line="532" w:lineRule="exact"/>
        <w:ind w:left="3492" w:right="0" w:hanging="793"/>
        <w:jc w:val="both"/>
      </w:pPr>
      <w:r>
        <w:t>基础开挖</w:t>
      </w:r>
    </w:p>
    <w:p>
      <w:pPr>
        <w:pStyle w:val="BodyText"/>
        <w:spacing w:before="6"/>
        <w:rPr>
          <w:b/>
          <w:sz w:val="31"/>
        </w:rPr>
      </w:pPr>
    </w:p>
    <w:p>
      <w:pPr>
        <w:pStyle w:val="BodyText"/>
        <w:spacing w:line="417" w:lineRule="auto"/>
        <w:ind w:left="2700" w:right="2469" w:firstLine="806"/>
      </w:pPr>
      <w:r>
        <w:t>基坑按规范规定进行放坡,基底工作宽度比基础尺寸放宽不小于</w:t>
      </w:r>
      <w:r>
        <w:rPr>
          <w:spacing w:val="-16"/>
        </w:rPr>
        <w:t>80cm</w:t>
      </w:r>
      <w:r>
        <w:rPr>
          <w:spacing w:val="-12"/>
        </w:rPr>
        <w:t>；对开挖土方、垃圾等边挖边清理,用自卸车运到指定地点处理。</w:t>
      </w:r>
      <w:r>
        <w:t>基坑开挖完成后对基础进行测量放样。</w:t>
      </w:r>
    </w:p>
    <w:p>
      <w:pPr>
        <w:pStyle w:val="Heading4"/>
        <w:numPr>
          <w:ilvl w:val="1"/>
          <w:numId w:val="8"/>
        </w:numPr>
        <w:tabs>
          <w:tab w:val="left" w:pos="3493"/>
        </w:tabs>
        <w:spacing w:before="0" w:after="0" w:line="532" w:lineRule="exact"/>
        <w:ind w:left="3492" w:right="0" w:hanging="793"/>
        <w:jc w:val="left"/>
      </w:pPr>
      <w:r>
        <w:t>破除桩头</w:t>
      </w:r>
    </w:p>
    <w:p>
      <w:pPr>
        <w:pStyle w:val="BodyText"/>
        <w:spacing w:before="6"/>
        <w:rPr>
          <w:b/>
          <w:sz w:val="31"/>
        </w:rPr>
      </w:pPr>
    </w:p>
    <w:p>
      <w:pPr>
        <w:pStyle w:val="BodyText"/>
        <w:spacing w:line="417" w:lineRule="auto"/>
        <w:ind w:left="2700" w:right="2687" w:firstLine="806"/>
        <w:jc w:val="both"/>
      </w:pPr>
      <w:r>
        <w:rPr>
          <w:spacing w:val="-13"/>
        </w:rPr>
        <w:t>基坑开挖完成后，利用风镐破除桩头，要保证不扰动设计桩顶以</w:t>
      </w:r>
      <w:r>
        <w:rPr>
          <w:spacing w:val="2"/>
        </w:rPr>
        <w:t xml:space="preserve">下的桩身砼。桩头截断高程控制在设计桩顶以上 </w:t>
      </w:r>
      <w:r>
        <w:t>20cm，桩头凿断后</w:t>
      </w:r>
      <w:r>
        <w:rPr>
          <w:spacing w:val="-6"/>
        </w:rPr>
        <w:t xml:space="preserve">用风镐整平桩头至设计桩顶高程，保证桩身嵌入承台 </w:t>
      </w:r>
      <w:r>
        <w:t>15cm。</w:t>
      </w:r>
    </w:p>
    <w:p>
      <w:pPr>
        <w:pStyle w:val="BodyText"/>
        <w:spacing w:line="417" w:lineRule="auto"/>
        <w:ind w:left="2700" w:right="2691" w:firstLine="806"/>
      </w:pPr>
      <w:r>
        <w:rPr>
          <w:spacing w:val="-11"/>
        </w:rPr>
        <w:t>凿好的桩要求桩顶平整，断面碎石出露均匀，桩周围含泥及杂质</w:t>
      </w:r>
      <w:r>
        <w:t>砼必须凿除；将桩身钢筋整修成设计形状。</w:t>
      </w:r>
    </w:p>
    <w:p>
      <w:pPr>
        <w:spacing w:after="0" w:line="417" w:lineRule="auto"/>
        <w:sectPr>
          <w:headerReference w:type="default" r:id="rId9"/>
          <w:pgSz w:w="17860" w:h="25260"/>
          <w:pgMar w:top="1740" w:right="0" w:bottom="280" w:left="0" w:header="1540" w:footer="0"/>
          <w:pgNumType w:start="4"/>
          <w:cols w:space="708"/>
        </w:sectPr>
      </w:pPr>
    </w:p>
    <w:p>
      <w:pPr>
        <w:pStyle w:val="BodyText"/>
        <w:spacing w:before="10"/>
        <w:rPr>
          <w:sz w:val="13"/>
        </w:rPr>
      </w:pPr>
    </w:p>
    <w:p>
      <w:pPr>
        <w:pStyle w:val="Heading4"/>
        <w:numPr>
          <w:ilvl w:val="1"/>
          <w:numId w:val="5"/>
        </w:numPr>
        <w:tabs>
          <w:tab w:val="left" w:pos="3493"/>
        </w:tabs>
        <w:spacing w:before="37" w:after="0" w:line="240" w:lineRule="auto"/>
        <w:ind w:left="3492" w:right="0" w:hanging="793"/>
        <w:jc w:val="both"/>
      </w:pPr>
      <w:r>
        <w:t>垫层浇筑</w:t>
      </w:r>
    </w:p>
    <w:p>
      <w:pPr>
        <w:pStyle w:val="BodyText"/>
        <w:spacing w:before="6"/>
        <w:rPr>
          <w:b/>
          <w:sz w:val="31"/>
        </w:rPr>
      </w:pPr>
    </w:p>
    <w:p>
      <w:pPr>
        <w:pStyle w:val="BodyText"/>
        <w:spacing w:line="417" w:lineRule="auto"/>
        <w:ind w:left="2700" w:right="2475" w:firstLine="806"/>
        <w:jc w:val="both"/>
      </w:pPr>
      <w:r>
        <w:rPr>
          <w:spacing w:val="-21"/>
        </w:rPr>
        <w:t xml:space="preserve">基坑开挖后，基坑排水，对桩基顶面标高进行复测，确认无误后， </w:t>
      </w:r>
      <w:r>
        <w:rPr>
          <w:spacing w:val="-9"/>
        </w:rPr>
        <w:t xml:space="preserve">进行垫层浇筑施工，厚度为 </w:t>
      </w:r>
      <w:r>
        <w:t>10cm</w:t>
      </w:r>
      <w:r>
        <w:rPr>
          <w:spacing w:val="-72"/>
        </w:rPr>
        <w:t xml:space="preserve"> 的 </w:t>
      </w:r>
      <w:r>
        <w:t>C15</w:t>
      </w:r>
      <w:r>
        <w:rPr>
          <w:spacing w:val="-23"/>
        </w:rPr>
        <w:t xml:space="preserve"> 混凝土。</w:t>
      </w:r>
    </w:p>
    <w:p>
      <w:pPr>
        <w:pStyle w:val="Heading4"/>
        <w:numPr>
          <w:ilvl w:val="1"/>
          <w:numId w:val="5"/>
        </w:numPr>
        <w:tabs>
          <w:tab w:val="left" w:pos="3493"/>
        </w:tabs>
        <w:spacing w:before="0" w:after="0" w:line="532" w:lineRule="exact"/>
        <w:ind w:left="3492" w:right="0" w:hanging="793"/>
        <w:jc w:val="both"/>
      </w:pPr>
      <w:r>
        <w:t>钢筋加工及安装</w:t>
      </w:r>
    </w:p>
    <w:p>
      <w:pPr>
        <w:pStyle w:val="BodyText"/>
        <w:spacing w:before="6"/>
        <w:rPr>
          <w:b/>
          <w:sz w:val="31"/>
        </w:rPr>
      </w:pPr>
    </w:p>
    <w:p>
      <w:pPr>
        <w:pStyle w:val="BodyText"/>
        <w:spacing w:before="1" w:line="417" w:lineRule="auto"/>
        <w:ind w:left="2700" w:right="2683" w:firstLine="860"/>
        <w:jc w:val="both"/>
      </w:pPr>
      <w:r>
        <w:rPr>
          <w:spacing w:val="-10"/>
        </w:rPr>
        <w:t>承台钢筋绑扎时要注意墩身预埋钢筋的位置、尺寸；高度较高时</w:t>
      </w:r>
      <w:r>
        <w:rPr>
          <w:spacing w:val="-17"/>
        </w:rPr>
        <w:t>制做钢筋定位框。承台需在上部预埋钢板，与落地钢管支架底部焊接</w:t>
      </w:r>
      <w:r>
        <w:t>以保证钢管支架的稳定性。</w:t>
      </w:r>
    </w:p>
    <w:p>
      <w:pPr>
        <w:pStyle w:val="BodyText"/>
        <w:spacing w:line="417" w:lineRule="auto"/>
        <w:ind w:left="2700" w:right="2695" w:firstLine="860"/>
        <w:jc w:val="both"/>
      </w:pPr>
      <w:r>
        <w:t>A、承台和墩柱（预埋入承台里）的钢筋在现场集中加工，现场</w:t>
      </w:r>
      <w:r>
        <w:rPr>
          <w:spacing w:val="-14"/>
        </w:rPr>
        <w:t>绑扎，钢筋的加工和绑扎严格按照设计和施工规范规定施工，主筋采</w:t>
      </w:r>
      <w:r>
        <w:t>用焊接（墩柱钢筋机械套丝连接</w:t>
      </w:r>
      <w:r>
        <w:rPr>
          <w:spacing w:val="-193"/>
        </w:rPr>
        <w:t>）</w:t>
      </w:r>
      <w:r>
        <w:t>。同一断面内主筋接头数不能超过50％的主筋数，同时钢筋接头不应放置在弯矩最大处。</w:t>
      </w:r>
    </w:p>
    <w:p>
      <w:pPr>
        <w:pStyle w:val="BodyText"/>
        <w:spacing w:line="417" w:lineRule="auto"/>
        <w:ind w:left="2700" w:right="2520" w:firstLine="856"/>
      </w:pPr>
      <w:r>
        <w:t>B、钢筋骨架的制作及安装钢筋调直、连接、切断、弯曲均采用</w:t>
      </w:r>
      <w:r>
        <w:rPr>
          <w:spacing w:val="-14"/>
        </w:rPr>
        <w:t>机械加工，加工好的半成品分类挂牌堆放。钢筋的加工在钢筋加工棚</w:t>
      </w:r>
      <w:r>
        <w:rPr>
          <w:spacing w:val="-15"/>
        </w:rPr>
        <w:t>内进行。所有的钢筋在加工之前，必须清污、调直。下料、弯制要准</w:t>
      </w:r>
      <w:r>
        <w:t>确。</w:t>
      </w:r>
    </w:p>
    <w:p>
      <w:pPr>
        <w:pStyle w:val="BodyText"/>
        <w:spacing w:line="417" w:lineRule="auto"/>
        <w:ind w:left="2700" w:right="2715" w:firstLine="856"/>
      </w:pPr>
      <w:r>
        <w:t>C、钢筋保护层使用预制高强度砂浆垫块。钢筋绑扎完毕核对无误，即可进入下道工序。</w:t>
      </w:r>
    </w:p>
    <w:p>
      <w:pPr>
        <w:pStyle w:val="Heading4"/>
        <w:numPr>
          <w:ilvl w:val="1"/>
          <w:numId w:val="5"/>
        </w:numPr>
        <w:tabs>
          <w:tab w:val="left" w:pos="3493"/>
        </w:tabs>
        <w:spacing w:before="0" w:after="0" w:line="532" w:lineRule="exact"/>
        <w:ind w:left="3492" w:right="0" w:hanging="793"/>
        <w:jc w:val="left"/>
      </w:pPr>
      <w:r>
        <w:t>承台防雷接地系统</w:t>
      </w:r>
    </w:p>
    <w:p>
      <w:pPr>
        <w:pStyle w:val="BodyText"/>
        <w:spacing w:before="3"/>
        <w:rPr>
          <w:b/>
          <w:sz w:val="31"/>
        </w:rPr>
      </w:pPr>
    </w:p>
    <w:p>
      <w:pPr>
        <w:pStyle w:val="BodyText"/>
        <w:spacing w:line="417" w:lineRule="auto"/>
        <w:ind w:left="2700" w:right="2699" w:firstLine="856"/>
      </w:pPr>
      <w:r>
        <w:t>承台内接地采用环形连接线（40×4镀锌扁钢）及连接钢筋和连接扁钢。</w:t>
      </w:r>
    </w:p>
    <w:p>
      <w:pPr>
        <w:pStyle w:val="BodyText"/>
        <w:spacing w:before="1" w:line="417" w:lineRule="auto"/>
        <w:ind w:left="2700" w:right="2695" w:firstLine="856"/>
      </w:pPr>
      <w:r>
        <w:rPr>
          <w:spacing w:val="-9"/>
        </w:rPr>
        <w:t>承台的接地装置在连接时均应加设搭接钢筋予以牢固焊接，搭接</w:t>
      </w:r>
      <w:r>
        <w:rPr>
          <w:spacing w:val="1"/>
        </w:rPr>
        <w:t>筋长度应为接地主筋直径</w:t>
      </w:r>
      <w:r>
        <w:t>6倍，焊接施工严格遵照有关国家施工安装</w:t>
      </w:r>
    </w:p>
    <w:p>
      <w:pPr>
        <w:spacing w:after="0" w:line="417" w:lineRule="auto"/>
        <w:sectPr>
          <w:headerReference w:type="default" r:id="rId10"/>
          <w:pgSz w:w="17860" w:h="25260"/>
          <w:pgMar w:top="1740" w:right="0" w:bottom="280" w:left="0" w:header="1540" w:footer="0"/>
          <w:pgNumType w:start="5"/>
          <w:cols w:space="708"/>
        </w:sectPr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before="42" w:line="417" w:lineRule="auto"/>
        <w:ind w:left="2700" w:right="2687"/>
      </w:pPr>
      <w:r>
        <w:rPr>
          <w:spacing w:val="-14"/>
        </w:rPr>
        <w:t>规范及图集要求。承台内的接地引下主筋遇断接处，必须按上述要求</w:t>
      </w:r>
      <w:r>
        <w:t>焊接连通。</w:t>
      </w:r>
    </w:p>
    <w:p>
      <w:pPr>
        <w:pStyle w:val="BodyText"/>
        <w:spacing w:line="417" w:lineRule="auto"/>
        <w:ind w:left="2700" w:right="2520" w:firstLine="856"/>
      </w:pPr>
      <w:r>
        <w:t>承台内敷设的环形接地线（40×4镀锌扁钢）需将由从钻孔灌注桩接出连接线、面层底层钢筋焊接成环形，并预埋桥墩柱预埋件，桥墩下部分分别在0.5m-0.7m处预埋两块接地钢板，用于接地电阻检测和补打接地极用。</w:t>
      </w:r>
    </w:p>
    <w:p>
      <w:pPr>
        <w:pStyle w:val="Heading4"/>
        <w:numPr>
          <w:ilvl w:val="1"/>
          <w:numId w:val="5"/>
        </w:numPr>
        <w:tabs>
          <w:tab w:val="left" w:pos="3493"/>
        </w:tabs>
        <w:spacing w:before="0" w:after="0" w:line="531" w:lineRule="exact"/>
        <w:ind w:left="3492" w:right="0" w:hanging="793"/>
        <w:jc w:val="left"/>
      </w:pPr>
      <w:r>
        <w:t>模板处理、安装</w:t>
      </w:r>
    </w:p>
    <w:p>
      <w:pPr>
        <w:pStyle w:val="BodyText"/>
        <w:spacing w:before="7"/>
        <w:rPr>
          <w:b/>
          <w:sz w:val="31"/>
        </w:rPr>
      </w:pPr>
    </w:p>
    <w:p>
      <w:pPr>
        <w:pStyle w:val="BodyText"/>
        <w:spacing w:line="417" w:lineRule="auto"/>
        <w:ind w:left="2700" w:right="2520" w:firstLine="838"/>
      </w:pPr>
      <w:r>
        <w:t xml:space="preserve">A、承台在浇砼前，必须复核承台顶标高，在确保标高无误时， </w:t>
      </w:r>
      <w:r>
        <w:rPr>
          <w:spacing w:val="-13"/>
        </w:rPr>
        <w:t>方可浇筑砼。施工前对结构各部位进行准确的测量放线，定出结构轴</w:t>
      </w:r>
      <w:r>
        <w:rPr>
          <w:spacing w:val="-14"/>
        </w:rPr>
        <w:t xml:space="preserve">线及边线。模板支立前精确放样结构外轮廓线，并将基底精确找平， </w:t>
      </w:r>
      <w:r>
        <w:rPr>
          <w:spacing w:val="1"/>
        </w:rPr>
        <w:t>找平误差控制在</w:t>
      </w:r>
      <w:r>
        <w:t>2mm内，此项是为了保证模板拼后的垂直度符合规范要求。</w:t>
      </w:r>
    </w:p>
    <w:p>
      <w:pPr>
        <w:pStyle w:val="BodyText"/>
        <w:spacing w:line="417" w:lineRule="auto"/>
        <w:ind w:left="2700" w:right="2483" w:firstLine="838"/>
      </w:pPr>
      <w:r>
        <w:t>B、承台模板采用钢模板</w:t>
      </w:r>
      <w:r>
        <w:rPr>
          <w:spacing w:val="2"/>
        </w:rPr>
        <w:t>（60×150cm</w:t>
      </w:r>
      <w:r>
        <w:t>、90×150cm）和定型组合</w:t>
      </w:r>
      <w:r>
        <w:rPr>
          <w:spacing w:val="-31"/>
        </w:rPr>
        <w:t>钢模板</w:t>
      </w:r>
      <w:r>
        <w:rPr>
          <w:spacing w:val="-9"/>
        </w:rPr>
        <w:t>（150×300cm）</w:t>
      </w:r>
      <w:r>
        <w:rPr>
          <w:spacing w:val="-13"/>
        </w:rPr>
        <w:t>拼装使用，外侧用</w:t>
      </w:r>
      <w:r>
        <w:t>15×15cm</w:t>
      </w:r>
      <w:r>
        <w:rPr>
          <w:spacing w:val="-4"/>
        </w:rPr>
        <w:t>方木夹杠固定，</w:t>
      </w:r>
      <w:r>
        <w:rPr>
          <w:spacing w:val="-24"/>
        </w:rPr>
        <w:t xml:space="preserve">[10 </w:t>
      </w:r>
      <w:r>
        <w:t>槽钢做竖向夹杠，中间设</w:t>
      </w:r>
      <w:r>
        <w:rPr>
          <w:spacing w:val="-4"/>
        </w:rPr>
        <w:t>Ф16mm</w:t>
      </w:r>
      <w:r>
        <w:t xml:space="preserve">穿墙螺栓，与横纵向主筋对称焊接， </w:t>
      </w:r>
      <w:r>
        <w:rPr>
          <w:spacing w:val="-2"/>
        </w:rPr>
        <w:t>对拉螺栓布置间距为</w:t>
      </w:r>
      <w:r>
        <w:t>60cm×60cm</w:t>
      </w:r>
      <w:r>
        <w:rPr>
          <w:spacing w:val="-27"/>
        </w:rPr>
        <w:t xml:space="preserve">。确保清水砼的外观质量。在支模前， </w:t>
      </w:r>
      <w:r>
        <w:t>应进行支架及模板强度及刚度验算，确保其牢固。模板要洁净，之后涂刷脱模剂，在拼装时采用海绵条夹在模板接缝处以防漏浆。</w:t>
      </w:r>
    </w:p>
    <w:p>
      <w:pPr>
        <w:pStyle w:val="BodyText"/>
        <w:spacing w:line="417" w:lineRule="auto"/>
        <w:ind w:left="2700" w:right="2474" w:firstLine="838"/>
      </w:pPr>
      <w:r>
        <w:t>C</w:t>
      </w:r>
      <w:r>
        <w:rPr>
          <w:spacing w:val="-15"/>
        </w:rPr>
        <w:t xml:space="preserve">、承台周围搭建脚手架及工作平台。脚手架采用碗式支架搭设， </w:t>
      </w:r>
      <w:r>
        <w:rPr>
          <w:spacing w:val="-26"/>
        </w:rPr>
        <w:t xml:space="preserve">立杆间距≯ </w:t>
      </w:r>
      <w:r>
        <w:t>1.5m</w:t>
      </w:r>
      <w:r>
        <w:rPr>
          <w:spacing w:val="-21"/>
        </w:rPr>
        <w:t xml:space="preserve">，横杆步距≯ </w:t>
      </w:r>
      <w:r>
        <w:t>1.2m，剪刀撑自桥体端头起以与地面45～60</w:t>
      </w:r>
      <w:r>
        <w:rPr>
          <w:spacing w:val="-42"/>
        </w:rPr>
        <w:t xml:space="preserve"> 度角每 </w:t>
      </w:r>
      <w:r>
        <w:t>3m</w:t>
      </w:r>
      <w:r>
        <w:rPr>
          <w:spacing w:val="-11"/>
        </w:rPr>
        <w:t xml:space="preserve"> 一组连续布置。为了满足工作需要搭设双排架，工</w:t>
      </w:r>
      <w:r>
        <w:rPr>
          <w:spacing w:val="-26"/>
        </w:rPr>
        <w:t xml:space="preserve">作平台以上设 </w:t>
      </w:r>
      <w:r>
        <w:t>1.5m</w:t>
      </w:r>
      <w:r>
        <w:rPr>
          <w:spacing w:val="-15"/>
        </w:rPr>
        <w:t xml:space="preserve"> 高的安全护栏网。</w:t>
      </w:r>
    </w:p>
    <w:p>
      <w:pPr>
        <w:spacing w:after="0" w:line="417" w:lineRule="auto"/>
        <w:sectPr>
          <w:headerReference w:type="default" r:id="rId11"/>
          <w:pgSz w:w="17860" w:h="25260"/>
          <w:pgMar w:top="1740" w:right="0" w:bottom="280" w:left="0" w:header="1540" w:footer="0"/>
          <w:pgNumType w:start="6"/>
          <w:cols w:space="708"/>
        </w:sectPr>
      </w:pPr>
    </w:p>
    <w:p>
      <w:pPr>
        <w:pStyle w:val="BodyText"/>
        <w:spacing w:before="10"/>
        <w:rPr>
          <w:sz w:val="13"/>
        </w:rPr>
      </w:pPr>
    </w:p>
    <w:p>
      <w:pPr>
        <w:pStyle w:val="Heading4"/>
        <w:numPr>
          <w:ilvl w:val="1"/>
          <w:numId w:val="5"/>
        </w:numPr>
        <w:tabs>
          <w:tab w:val="left" w:pos="3493"/>
        </w:tabs>
        <w:spacing w:before="37" w:after="0" w:line="240" w:lineRule="auto"/>
        <w:ind w:left="3492" w:right="0" w:hanging="793"/>
        <w:jc w:val="both"/>
      </w:pPr>
      <w:r>
        <w:t>混凝土配合比设计</w:t>
      </w:r>
    </w:p>
    <w:p>
      <w:pPr>
        <w:pStyle w:val="BodyText"/>
        <w:spacing w:before="6"/>
        <w:rPr>
          <w:b/>
          <w:sz w:val="31"/>
        </w:rPr>
      </w:pPr>
    </w:p>
    <w:p>
      <w:pPr>
        <w:pStyle w:val="BodyText"/>
        <w:spacing w:line="417" w:lineRule="auto"/>
        <w:ind w:left="2700" w:right="2475" w:firstLine="838"/>
        <w:jc w:val="both"/>
      </w:pPr>
      <w:r>
        <w:t>（1）本工程采用商品混凝土，根据经验和对大体积混凝土开裂</w:t>
      </w:r>
      <w:r>
        <w:rPr>
          <w:spacing w:val="-5"/>
        </w:rPr>
        <w:t>因素(水泥水化热、混凝土内外温差、混凝土收缩徐变)的研究，大体</w:t>
      </w:r>
      <w:r>
        <w:rPr>
          <w:spacing w:val="-12"/>
        </w:rPr>
        <w:t>积混凝土的配合比应根据实际施工时所采用的砂石料、水泥、粉煤灰</w:t>
      </w:r>
      <w:r>
        <w:rPr>
          <w:spacing w:val="-19"/>
        </w:rPr>
        <w:t xml:space="preserve">及外加剂的性能进行配合比试验，确定最佳的混凝土施工配合比。但遵循以下总的原则：大体积混凝土采用低水化热水泥，并采用“双掺技术”（即掺加粉煤灰及外加剂），降低混凝土的入仓温度等措施， </w:t>
      </w:r>
      <w:r>
        <w:rPr>
          <w:spacing w:val="-25"/>
        </w:rPr>
        <w:t>以改善混凝土的性能，减小混凝土的水化热。混凝土的性能要求如下：</w:t>
      </w:r>
    </w:p>
    <w:p>
      <w:pPr>
        <w:pStyle w:val="BodyText"/>
        <w:spacing w:line="537" w:lineRule="exact"/>
        <w:ind w:left="3539"/>
      </w:pPr>
      <w:r>
        <w:t>◇初凝时间：不小于 4 小时；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539"/>
      </w:pPr>
      <w:r>
        <w:t>◇坍落度：12～18cm；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539"/>
      </w:pPr>
      <w:r>
        <w:t>◇具有良好的流动性、和易性及可泵性。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700" w:right="2681" w:firstLine="838"/>
      </w:pPr>
      <w:r>
        <w:rPr>
          <w:spacing w:val="-13"/>
        </w:rPr>
        <w:t>◇混凝土要求具有微膨胀性能，以避免由于混凝土收缩而使两个</w:t>
      </w:r>
      <w:r>
        <w:t>侧面产生收缩裂缝，影响混凝土整体结构受力。</w:t>
      </w:r>
    </w:p>
    <w:p>
      <w:pPr>
        <w:pStyle w:val="ListParagraph"/>
        <w:numPr>
          <w:ilvl w:val="2"/>
          <w:numId w:val="5"/>
        </w:numPr>
        <w:tabs>
          <w:tab w:val="left" w:pos="4390"/>
        </w:tabs>
        <w:spacing w:before="0" w:after="0" w:line="417" w:lineRule="auto"/>
        <w:ind w:left="2700" w:right="2520" w:firstLine="629"/>
        <w:jc w:val="left"/>
        <w:rPr>
          <w:sz w:val="42"/>
        </w:rPr>
      </w:pPr>
      <w:r>
        <w:rPr>
          <w:w w:val="100"/>
          <w:sz w:val="42"/>
        </w:rPr>
        <w:t>采用低水化热水泥（矿渣硅酸盐水泥</w:t>
      </w:r>
      <w:r>
        <w:rPr>
          <w:spacing w:val="-189"/>
          <w:w w:val="100"/>
          <w:sz w:val="42"/>
        </w:rPr>
        <w:t>）</w:t>
      </w:r>
      <w:r>
        <w:rPr>
          <w:w w:val="100"/>
          <w:sz w:val="42"/>
        </w:rPr>
        <w:t>，掺加粉煤灰及外加</w:t>
      </w:r>
      <w:r>
        <w:rPr>
          <w:spacing w:val="-1"/>
          <w:sz w:val="42"/>
        </w:rPr>
        <w:t>剂，在保证混凝土强度的前提下，尽可能降低水泥用量，改善混凝土</w:t>
      </w:r>
      <w:r>
        <w:rPr>
          <w:sz w:val="42"/>
        </w:rPr>
        <w:t>的性能，减小混凝土水化热。降低水灰比。</w:t>
      </w:r>
    </w:p>
    <w:p>
      <w:pPr>
        <w:pStyle w:val="ListParagraph"/>
        <w:numPr>
          <w:ilvl w:val="2"/>
          <w:numId w:val="5"/>
        </w:numPr>
        <w:tabs>
          <w:tab w:val="left" w:pos="4383"/>
        </w:tabs>
        <w:spacing w:before="0" w:after="0" w:line="417" w:lineRule="auto"/>
        <w:ind w:left="2700" w:right="2524" w:firstLine="629"/>
        <w:jc w:val="left"/>
        <w:rPr>
          <w:sz w:val="42"/>
        </w:rPr>
      </w:pPr>
      <w:r>
        <w:rPr>
          <w:spacing w:val="-1"/>
          <w:sz w:val="42"/>
        </w:rPr>
        <w:t>改善骨料级配，防止水泥、砂、石料在太阳中暴晒，混凝土</w:t>
      </w:r>
      <w:r>
        <w:rPr>
          <w:spacing w:val="-11"/>
          <w:sz w:val="42"/>
        </w:rPr>
        <w:t>泵管用草袋遮盖并洒水降温，降低混凝土入模温度的办法。将混凝土</w:t>
      </w:r>
      <w:r>
        <w:rPr>
          <w:spacing w:val="-22"/>
          <w:sz w:val="42"/>
        </w:rPr>
        <w:t xml:space="preserve">的浇注时间选在下午 </w:t>
      </w:r>
      <w:r>
        <w:rPr>
          <w:sz w:val="42"/>
        </w:rPr>
        <w:t>6</w:t>
      </w:r>
      <w:r>
        <w:rPr>
          <w:spacing w:val="-11"/>
          <w:sz w:val="42"/>
        </w:rPr>
        <w:t xml:space="preserve"> 点以后，一夜内浇注完一个承台。</w:t>
      </w:r>
    </w:p>
    <w:p>
      <w:pPr>
        <w:pStyle w:val="BodyText"/>
        <w:spacing w:line="417" w:lineRule="auto"/>
        <w:ind w:left="2700" w:right="2476" w:firstLine="838"/>
      </w:pPr>
      <w:r>
        <w:rPr>
          <w:spacing w:val="-12"/>
        </w:rPr>
        <w:t>承台砼采用商品混凝土，施工现场商品混凝土需附资料检验出厂</w:t>
      </w:r>
      <w:r>
        <w:rPr>
          <w:spacing w:val="-22"/>
        </w:rPr>
        <w:t xml:space="preserve">报告，并对商品混凝土要逐车进行检查，测定混凝土的坍落度和温度， </w:t>
      </w:r>
      <w:r>
        <w:t>检查混凝土量是否相符，严禁混凝土搅拌车在施工现场临时加水。</w:t>
      </w:r>
    </w:p>
    <w:p>
      <w:pPr>
        <w:spacing w:after="0" w:line="417" w:lineRule="auto"/>
        <w:sectPr>
          <w:headerReference w:type="default" r:id="rId12"/>
          <w:pgSz w:w="17860" w:h="25260"/>
          <w:pgMar w:top="1740" w:right="0" w:bottom="280" w:left="0" w:header="1540" w:footer="0"/>
          <w:pgNumType w:start="7"/>
          <w:cols w:space="708"/>
        </w:sectPr>
      </w:pPr>
    </w:p>
    <w:p>
      <w:pPr>
        <w:pStyle w:val="BodyText"/>
        <w:spacing w:before="10"/>
        <w:rPr>
          <w:sz w:val="16"/>
        </w:rPr>
      </w:pPr>
    </w:p>
    <w:p>
      <w:pPr>
        <w:pStyle w:val="ListParagraph"/>
        <w:numPr>
          <w:ilvl w:val="2"/>
          <w:numId w:val="5"/>
        </w:numPr>
        <w:tabs>
          <w:tab w:val="left" w:pos="4383"/>
        </w:tabs>
        <w:spacing w:before="42" w:after="0" w:line="240" w:lineRule="auto"/>
        <w:ind w:left="4382" w:right="0" w:hanging="1053"/>
        <w:jc w:val="left"/>
        <w:rPr>
          <w:sz w:val="42"/>
        </w:rPr>
      </w:pPr>
      <w:r>
        <w:rPr>
          <w:sz w:val="42"/>
        </w:rPr>
        <w:t>大体积混凝土温度和温度应力计算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700" w:right="2520" w:firstLine="860"/>
      </w:pPr>
      <w:r>
        <w:rPr>
          <w:spacing w:val="-5"/>
        </w:rPr>
        <w:t xml:space="preserve">对现浇混凝土进行温度检测，高温一般在混凝土浇筑后 </w:t>
      </w:r>
      <w:r>
        <w:t>3d</w:t>
      </w:r>
      <w:r>
        <w:rPr>
          <w:spacing w:val="-24"/>
        </w:rPr>
        <w:t xml:space="preserve"> 左右产生，以后趋于稳定不再升温，并且开始逐步降温。规范规定，对大</w:t>
      </w:r>
      <w:r>
        <w:rPr>
          <w:spacing w:val="-13"/>
        </w:rPr>
        <w:t>体积混凝土养护，应根据气候条件采取控温措施，并按需要测定浇筑</w:t>
      </w:r>
      <w:r>
        <w:rPr>
          <w:spacing w:val="-19"/>
        </w:rPr>
        <w:t>后的混凝土表面和内部温度，将温差控制在设计要求的范围内；当设</w:t>
      </w:r>
      <w:r>
        <w:rPr>
          <w:spacing w:val="-23"/>
        </w:rPr>
        <w:t xml:space="preserve">计无具体要求时，温差不宜超过 </w:t>
      </w:r>
      <w:r>
        <w:t>25</w:t>
      </w:r>
      <w:r>
        <w:rPr>
          <w:spacing w:val="-9"/>
        </w:rPr>
        <w:t xml:space="preserve"> 度；本工程设计无具体要求，即按规范执行。表面温度的控制可采取调整保温层的厚度。</w:t>
      </w:r>
    </w:p>
    <w:p>
      <w:pPr>
        <w:pStyle w:val="Heading4"/>
        <w:numPr>
          <w:ilvl w:val="1"/>
          <w:numId w:val="5"/>
        </w:numPr>
        <w:tabs>
          <w:tab w:val="left" w:pos="3493"/>
        </w:tabs>
        <w:spacing w:before="0" w:after="0" w:line="532" w:lineRule="exact"/>
        <w:ind w:left="3492" w:right="0" w:hanging="793"/>
        <w:jc w:val="left"/>
      </w:pPr>
      <w:r>
        <w:t>混凝土的浇筑与振捣</w:t>
      </w:r>
    </w:p>
    <w:p>
      <w:pPr>
        <w:pStyle w:val="BodyText"/>
        <w:spacing w:before="6"/>
        <w:rPr>
          <w:b/>
          <w:sz w:val="31"/>
        </w:rPr>
      </w:pPr>
    </w:p>
    <w:p>
      <w:pPr>
        <w:pStyle w:val="BodyText"/>
        <w:spacing w:line="417" w:lineRule="auto"/>
        <w:ind w:left="2700" w:right="2552" w:firstLine="860"/>
      </w:pPr>
      <w:r>
        <w:rPr>
          <w:spacing w:val="-14"/>
        </w:rPr>
        <w:t xml:space="preserve">优化浇筑工艺，“薄层浇注，连续推进；降低混凝土内外温差， </w:t>
      </w:r>
      <w:r>
        <w:rPr>
          <w:spacing w:val="-16"/>
        </w:rPr>
        <w:t>“内排”并“外保”。具体实施办法为：</w:t>
      </w:r>
    </w:p>
    <w:p>
      <w:pPr>
        <w:pStyle w:val="ListParagraph"/>
        <w:numPr>
          <w:ilvl w:val="0"/>
          <w:numId w:val="4"/>
        </w:numPr>
        <w:tabs>
          <w:tab w:val="left" w:pos="4383"/>
        </w:tabs>
        <w:spacing w:before="0" w:after="0" w:line="417" w:lineRule="auto"/>
        <w:ind w:left="2700" w:right="2466" w:firstLine="629"/>
        <w:jc w:val="left"/>
        <w:rPr>
          <w:sz w:val="42"/>
        </w:rPr>
      </w:pPr>
      <w:r>
        <w:rPr>
          <w:spacing w:val="-14"/>
          <w:sz w:val="42"/>
        </w:rPr>
        <w:t>承台按照钢筋一次绑扎，混凝土浇筑一次浇筑施工完成施工</w:t>
      </w:r>
      <w:r>
        <w:rPr>
          <w:spacing w:val="-8"/>
          <w:sz w:val="42"/>
        </w:rPr>
        <w:t xml:space="preserve">，混凝土分层浇筑，分层振捣，每层浇筑厚度 </w:t>
      </w:r>
      <w:r>
        <w:rPr>
          <w:sz w:val="42"/>
        </w:rPr>
        <w:t>30cm</w:t>
      </w:r>
      <w:r>
        <w:rPr>
          <w:spacing w:val="-11"/>
          <w:sz w:val="42"/>
        </w:rPr>
        <w:t xml:space="preserve"> 左右，混凝土的</w:t>
      </w:r>
      <w:r>
        <w:rPr>
          <w:spacing w:val="-16"/>
          <w:sz w:val="42"/>
        </w:rPr>
        <w:t>浇筑应连续进行，如因故间断时，其间断时间应小于下层混凝土的初凝时间。否则设置施工缝，设置施工缝联结钢筋。先浇混凝土表面的水泥砂浆和松弱层应及时凿除，凿除时的混凝土强度，水冲法应达到0.5MPa</w:t>
      </w:r>
      <w:r>
        <w:rPr>
          <w:spacing w:val="-8"/>
          <w:sz w:val="42"/>
        </w:rPr>
        <w:t>，人工凿毛应达到</w:t>
      </w:r>
      <w:r>
        <w:rPr>
          <w:sz w:val="42"/>
        </w:rPr>
        <w:t>2.5MPa</w:t>
      </w:r>
      <w:r>
        <w:rPr>
          <w:spacing w:val="6"/>
          <w:sz w:val="42"/>
        </w:rPr>
        <w:t>，机械凿毛应达到</w:t>
      </w:r>
      <w:r>
        <w:rPr>
          <w:sz w:val="42"/>
        </w:rPr>
        <w:t>10MPa。经凿毛处</w:t>
      </w:r>
      <w:r>
        <w:rPr>
          <w:spacing w:val="-4"/>
          <w:sz w:val="42"/>
        </w:rPr>
        <w:t xml:space="preserve">理的混凝土面应清除干净，在浇筑后续混凝土前应铺 </w:t>
      </w:r>
      <w:r>
        <w:rPr>
          <w:sz w:val="42"/>
        </w:rPr>
        <w:t>10～20mm</w:t>
      </w:r>
      <w:r>
        <w:rPr>
          <w:spacing w:val="-22"/>
          <w:sz w:val="42"/>
        </w:rPr>
        <w:t xml:space="preserve"> 同配比的水泥砂浆。</w:t>
      </w:r>
    </w:p>
    <w:p>
      <w:pPr>
        <w:pStyle w:val="ListParagraph"/>
        <w:numPr>
          <w:ilvl w:val="0"/>
          <w:numId w:val="4"/>
        </w:numPr>
        <w:tabs>
          <w:tab w:val="left" w:pos="4383"/>
        </w:tabs>
        <w:spacing w:before="0" w:after="0" w:line="417" w:lineRule="auto"/>
        <w:ind w:left="2700" w:right="2463" w:firstLine="629"/>
        <w:jc w:val="left"/>
        <w:rPr>
          <w:sz w:val="42"/>
        </w:rPr>
      </w:pPr>
      <w:r>
        <w:rPr>
          <w:spacing w:val="-8"/>
          <w:sz w:val="42"/>
        </w:rPr>
        <w:t xml:space="preserve">因承台高达 </w:t>
      </w:r>
      <w:r>
        <w:rPr>
          <w:sz w:val="42"/>
        </w:rPr>
        <w:t>1.7—2.5m</w:t>
      </w:r>
      <w:r>
        <w:rPr>
          <w:spacing w:val="-11"/>
          <w:sz w:val="42"/>
        </w:rPr>
        <w:t xml:space="preserve">，下部 </w:t>
      </w:r>
      <w:r>
        <w:rPr>
          <w:sz w:val="42"/>
        </w:rPr>
        <w:t>1.5m</w:t>
      </w:r>
      <w:r>
        <w:rPr>
          <w:spacing w:val="-7"/>
          <w:sz w:val="42"/>
        </w:rPr>
        <w:t xml:space="preserve"> 部分的混凝土浇注需用</w:t>
      </w:r>
      <w:r>
        <w:rPr>
          <w:spacing w:val="-23"/>
          <w:sz w:val="42"/>
        </w:rPr>
        <w:t xml:space="preserve">溜槽或串筒入模。分层浇筑，每层灌注须在下层混凝土未初凝前完成， </w:t>
      </w:r>
      <w:r>
        <w:rPr>
          <w:sz w:val="42"/>
        </w:rPr>
        <w:t>以防出现施工冷缝。</w:t>
      </w:r>
    </w:p>
    <w:p>
      <w:pPr>
        <w:pStyle w:val="ListParagraph"/>
        <w:numPr>
          <w:ilvl w:val="0"/>
          <w:numId w:val="4"/>
        </w:numPr>
        <w:tabs>
          <w:tab w:val="left" w:pos="4383"/>
        </w:tabs>
        <w:spacing w:before="0" w:after="0" w:line="538" w:lineRule="exact"/>
        <w:ind w:left="4382" w:right="0" w:hanging="1053"/>
        <w:jc w:val="left"/>
        <w:rPr>
          <w:sz w:val="42"/>
        </w:rPr>
      </w:pPr>
      <w:r>
        <w:rPr>
          <w:spacing w:val="-8"/>
          <w:sz w:val="42"/>
        </w:rPr>
        <w:t xml:space="preserve">混凝土振捣采用直径 </w:t>
      </w:r>
      <w:r>
        <w:rPr>
          <w:sz w:val="42"/>
        </w:rPr>
        <w:t>70mm</w:t>
      </w:r>
      <w:r>
        <w:rPr>
          <w:spacing w:val="-9"/>
          <w:sz w:val="42"/>
        </w:rPr>
        <w:t xml:space="preserve"> 左右的插入式振捣器。振捣时插</w:t>
      </w:r>
    </w:p>
    <w:p>
      <w:pPr>
        <w:spacing w:after="0" w:line="538" w:lineRule="exact"/>
        <w:jc w:val="left"/>
        <w:rPr>
          <w:sz w:val="42"/>
        </w:rPr>
        <w:sectPr>
          <w:headerReference w:type="default" r:id="rId13"/>
          <w:pgSz w:w="17860" w:h="25260"/>
          <w:pgMar w:top="1740" w:right="0" w:bottom="280" w:left="0" w:header="1540" w:footer="0"/>
          <w:pgNumType w:start="8"/>
          <w:cols w:space="708"/>
        </w:sectPr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before="42" w:line="417" w:lineRule="auto"/>
        <w:ind w:left="2700" w:right="2458"/>
      </w:pPr>
      <w:r>
        <w:rPr>
          <w:spacing w:val="-14"/>
        </w:rPr>
        <w:t xml:space="preserve">入下层混凝土 </w:t>
      </w:r>
      <w:r>
        <w:t>10cm</w:t>
      </w:r>
      <w:r>
        <w:rPr>
          <w:spacing w:val="-17"/>
        </w:rPr>
        <w:t xml:space="preserve"> 左右，并保证在下层混凝土初凝前进行一次振捣， </w:t>
      </w:r>
      <w:r>
        <w:rPr>
          <w:spacing w:val="-9"/>
        </w:rPr>
        <w:t>使混凝土具有良好的密实度和整体性。振捣中既要防止漏振，也不能</w:t>
      </w:r>
      <w:r>
        <w:rPr>
          <w:spacing w:val="-14"/>
        </w:rPr>
        <w:t>过振。为保证振捣质量可在模板上安装一定数量的附着式振捣器配合</w:t>
      </w:r>
      <w:r>
        <w:rPr>
          <w:spacing w:val="-19"/>
        </w:rPr>
        <w:t xml:space="preserve">插入式振捣器进行混凝土施工。现场按每浇筑 </w:t>
      </w:r>
      <w:r>
        <w:t>100</w:t>
      </w:r>
      <w:r>
        <w:rPr>
          <w:spacing w:val="-49"/>
        </w:rPr>
        <w:t xml:space="preserve"> 方</w:t>
      </w:r>
      <w:r>
        <w:t xml:space="preserve">（或一个台班） </w:t>
      </w:r>
      <w:r>
        <w:rPr>
          <w:spacing w:val="-35"/>
        </w:rPr>
        <w:t xml:space="preserve">制作 </w:t>
      </w:r>
      <w:r>
        <w:t>3</w:t>
      </w:r>
      <w:r>
        <w:rPr>
          <w:spacing w:val="-27"/>
        </w:rPr>
        <w:t xml:space="preserve"> 组试块</w:t>
      </w:r>
      <w:r>
        <w:t>，1</w:t>
      </w:r>
      <w:r>
        <w:rPr>
          <w:spacing w:val="-53"/>
        </w:rPr>
        <w:t xml:space="preserve"> 组压 </w:t>
      </w:r>
      <w:r>
        <w:t>7d</w:t>
      </w:r>
      <w:r>
        <w:rPr>
          <w:spacing w:val="-34"/>
        </w:rPr>
        <w:t xml:space="preserve"> 强度</w:t>
      </w:r>
      <w:r>
        <w:t>，1</w:t>
      </w:r>
      <w:r>
        <w:rPr>
          <w:spacing w:val="-54"/>
        </w:rPr>
        <w:t xml:space="preserve"> 组压 </w:t>
      </w:r>
      <w:r>
        <w:t>28d</w:t>
      </w:r>
      <w:r>
        <w:rPr>
          <w:spacing w:val="-11"/>
        </w:rPr>
        <w:t xml:space="preserve"> 强度归技术档案资料用； l</w:t>
      </w:r>
      <w:r>
        <w:rPr>
          <w:spacing w:val="-43"/>
        </w:rPr>
        <w:t xml:space="preserve"> 组仍作 </w:t>
      </w:r>
      <w:r>
        <w:t>14d</w:t>
      </w:r>
      <w:r>
        <w:rPr>
          <w:spacing w:val="-19"/>
        </w:rPr>
        <w:t xml:space="preserve"> 强度备用。</w:t>
      </w:r>
    </w:p>
    <w:p>
      <w:pPr>
        <w:pStyle w:val="ListParagraph"/>
        <w:numPr>
          <w:ilvl w:val="0"/>
          <w:numId w:val="9"/>
        </w:numPr>
        <w:tabs>
          <w:tab w:val="left" w:pos="4383"/>
        </w:tabs>
        <w:spacing w:before="0" w:after="0" w:line="417" w:lineRule="auto"/>
        <w:ind w:left="2700" w:right="2520" w:firstLine="629"/>
        <w:jc w:val="left"/>
        <w:rPr>
          <w:sz w:val="42"/>
        </w:rPr>
      </w:pPr>
      <w:r>
        <w:rPr>
          <w:spacing w:val="-5"/>
          <w:sz w:val="42"/>
        </w:rPr>
        <w:t>浇筑过程中设专人检查钢筋和模板的稳固性，发现问题及时</w:t>
      </w:r>
      <w:r>
        <w:rPr>
          <w:spacing w:val="-14"/>
          <w:sz w:val="42"/>
        </w:rPr>
        <w:t>处理。混凝土在浇筑振捣过程中会产生多少不等的泌水，需配备一定</w:t>
      </w:r>
      <w:r>
        <w:rPr>
          <w:spacing w:val="-19"/>
          <w:sz w:val="42"/>
        </w:rPr>
        <w:t>数量的工具如小水泵、大铁勺等用以排出泌水。浇筑过程中还要注意</w:t>
      </w:r>
      <w:r>
        <w:rPr>
          <w:spacing w:val="-24"/>
          <w:sz w:val="42"/>
        </w:rPr>
        <w:t>及时清除粘附在顶层钢筋表面上的松散混凝土。另外，绑扎承台钢筋前，应将地基进行清理使之符合要求。灌注混凝土时，当地基干燥时</w:t>
      </w:r>
      <w:r>
        <w:rPr>
          <w:spacing w:val="-3"/>
          <w:sz w:val="42"/>
        </w:rPr>
        <w:t>应先将地基湿润；如果是岩石地基，在湿润后，先铺一层厚</w:t>
      </w:r>
      <w:r>
        <w:rPr>
          <w:sz w:val="42"/>
        </w:rPr>
        <w:t>2cm</w:t>
      </w:r>
      <w:r>
        <w:rPr>
          <w:spacing w:val="-32"/>
          <w:sz w:val="42"/>
        </w:rPr>
        <w:t xml:space="preserve"> 左右的水泥砂浆，然后再浇筑混凝土。</w:t>
      </w:r>
    </w:p>
    <w:p>
      <w:pPr>
        <w:pStyle w:val="Heading4"/>
        <w:numPr>
          <w:ilvl w:val="1"/>
          <w:numId w:val="5"/>
        </w:numPr>
        <w:tabs>
          <w:tab w:val="left" w:pos="3720"/>
        </w:tabs>
        <w:spacing w:before="0" w:after="0" w:line="532" w:lineRule="exact"/>
        <w:ind w:left="3719" w:right="0" w:hanging="1020"/>
        <w:jc w:val="left"/>
      </w:pPr>
      <w:r>
        <w:t>混凝土养护</w:t>
      </w:r>
    </w:p>
    <w:p>
      <w:pPr>
        <w:pStyle w:val="BodyText"/>
        <w:spacing w:before="5"/>
        <w:rPr>
          <w:b/>
          <w:sz w:val="31"/>
        </w:rPr>
      </w:pPr>
    </w:p>
    <w:p>
      <w:pPr>
        <w:pStyle w:val="ListParagraph"/>
        <w:numPr>
          <w:ilvl w:val="0"/>
          <w:numId w:val="3"/>
        </w:numPr>
        <w:tabs>
          <w:tab w:val="left" w:pos="4383"/>
        </w:tabs>
        <w:spacing w:before="0" w:after="0" w:line="417" w:lineRule="auto"/>
        <w:ind w:left="2700" w:right="2486" w:firstLine="629"/>
        <w:jc w:val="left"/>
        <w:rPr>
          <w:sz w:val="42"/>
        </w:rPr>
      </w:pPr>
      <w:r>
        <w:rPr>
          <w:spacing w:val="-6"/>
          <w:sz w:val="42"/>
        </w:rPr>
        <w:t>混凝土浇注完毕后即转入养护阶段，此时浇注混凝土的水化</w:t>
      </w:r>
      <w:r>
        <w:rPr>
          <w:spacing w:val="-15"/>
          <w:sz w:val="42"/>
        </w:rPr>
        <w:t>作用已基本确定，温度的控制转为降温速度和内外温差的控制，这可</w:t>
      </w:r>
      <w:r>
        <w:rPr>
          <w:spacing w:val="-22"/>
          <w:sz w:val="42"/>
        </w:rPr>
        <w:t>通过给浇注体表面覆盖保温材料进行保温养护来实现。混凝土浇筑及</w:t>
      </w:r>
      <w:r>
        <w:rPr>
          <w:spacing w:val="-24"/>
          <w:sz w:val="42"/>
        </w:rPr>
        <w:t>二次抹面压实后应立即覆盖保温，先在混凝土表面覆盖二层麻袋，然</w:t>
      </w:r>
      <w:r>
        <w:rPr>
          <w:spacing w:val="-23"/>
          <w:sz w:val="42"/>
        </w:rPr>
        <w:t xml:space="preserve">后在上面覆一层塑料薄膜。新浇筑的混凝土水化速度比较快，盖上塑料薄膜后可进行保温保养，防止混凝土表面因脱水而产生干缩裂缝， </w:t>
      </w:r>
      <w:r>
        <w:rPr>
          <w:spacing w:val="-21"/>
          <w:sz w:val="42"/>
        </w:rPr>
        <w:t>同时可避免麻袋因吸水受潮而降低保温性能。内外温差不大于</w:t>
      </w:r>
      <w:r>
        <w:rPr>
          <w:spacing w:val="-6"/>
          <w:sz w:val="42"/>
        </w:rPr>
        <w:t xml:space="preserve">25℃， </w:t>
      </w:r>
      <w:r>
        <w:rPr>
          <w:sz w:val="42"/>
        </w:rPr>
        <w:t>采用内排外保的措施，减少温差，防止出现温差裂缝。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14"/>
          <w:pgSz w:w="17860" w:h="25260"/>
          <w:pgMar w:top="1740" w:right="0" w:bottom="280" w:left="0" w:header="1540" w:footer="0"/>
          <w:pgNumType w:start="9"/>
          <w:cols w:space="708"/>
        </w:sectPr>
      </w:pPr>
    </w:p>
    <w:p>
      <w:pPr>
        <w:pStyle w:val="BodyText"/>
        <w:spacing w:before="10"/>
        <w:rPr>
          <w:sz w:val="16"/>
        </w:rPr>
      </w:pPr>
    </w:p>
    <w:p>
      <w:pPr>
        <w:pStyle w:val="ListParagraph"/>
        <w:numPr>
          <w:ilvl w:val="0"/>
          <w:numId w:val="3"/>
        </w:numPr>
        <w:tabs>
          <w:tab w:val="left" w:pos="4383"/>
        </w:tabs>
        <w:spacing w:before="42" w:after="0" w:line="417" w:lineRule="auto"/>
        <w:ind w:left="2700" w:right="2520" w:firstLine="629"/>
        <w:jc w:val="left"/>
        <w:rPr>
          <w:sz w:val="42"/>
        </w:rPr>
      </w:pPr>
      <w:r>
        <w:rPr>
          <w:spacing w:val="-9"/>
          <w:sz w:val="42"/>
        </w:rPr>
        <w:t xml:space="preserve">采用蓄水养护，蓄水深度取 </w:t>
      </w:r>
      <w:r>
        <w:rPr>
          <w:sz w:val="42"/>
        </w:rPr>
        <w:t>30～50cm</w:t>
      </w:r>
      <w:r>
        <w:rPr>
          <w:spacing w:val="-13"/>
          <w:sz w:val="42"/>
        </w:rPr>
        <w:t xml:space="preserve"> 之内。在升温阶段， </w:t>
      </w:r>
      <w:r>
        <w:rPr>
          <w:spacing w:val="-20"/>
          <w:sz w:val="42"/>
        </w:rPr>
        <w:t>蓄水层能吸收混凝土的大量水化热、减少外部低温环境的影响，起到保温养护与间接散热、降温的双重作用。在降温阶段，蓄水层能起到</w:t>
      </w:r>
      <w:r>
        <w:rPr>
          <w:spacing w:val="-11"/>
          <w:sz w:val="42"/>
        </w:rPr>
        <w:t>延缓混凝土内部的降温速度、减少混凝土表面的热扩散、保持均匀散</w:t>
      </w:r>
      <w:r>
        <w:rPr>
          <w:spacing w:val="-16"/>
          <w:sz w:val="42"/>
        </w:rPr>
        <w:t>热的作用，能有效地防止混凝土因急剧降温而产生的裂缝。经验证明该方法效果较好。</w:t>
      </w:r>
    </w:p>
    <w:p>
      <w:pPr>
        <w:pStyle w:val="ListParagraph"/>
        <w:numPr>
          <w:ilvl w:val="0"/>
          <w:numId w:val="3"/>
        </w:numPr>
        <w:tabs>
          <w:tab w:val="left" w:pos="4383"/>
        </w:tabs>
        <w:spacing w:before="0" w:after="0" w:line="417" w:lineRule="auto"/>
        <w:ind w:left="2700" w:right="2520" w:firstLine="629"/>
        <w:jc w:val="left"/>
        <w:rPr>
          <w:sz w:val="42"/>
        </w:rPr>
      </w:pPr>
      <w:r>
        <w:rPr>
          <w:spacing w:val="-6"/>
          <w:sz w:val="42"/>
        </w:rPr>
        <w:t>大体积混凝土的裂缝特别是表面裂缝，主要是由于内外温差</w:t>
      </w:r>
      <w:r>
        <w:rPr>
          <w:spacing w:val="-7"/>
          <w:sz w:val="42"/>
        </w:rPr>
        <w:t>过大产生的。浇筑后，水泥水化热使混凝土温度升高，表面易散热温</w:t>
      </w:r>
      <w:r>
        <w:rPr>
          <w:spacing w:val="-1"/>
          <w:sz w:val="42"/>
        </w:rPr>
        <w:t>度较低，内部不易散热温度较高，相对地表面收缩内部膨胀，表面收</w:t>
      </w:r>
      <w:r>
        <w:rPr>
          <w:spacing w:val="-12"/>
          <w:sz w:val="42"/>
        </w:rPr>
        <w:t>缩受内部约束产生拉应力。对大体积混凝土这种拉应力较大，容易超</w:t>
      </w:r>
      <w:r>
        <w:rPr>
          <w:spacing w:val="-18"/>
          <w:sz w:val="42"/>
        </w:rPr>
        <w:t>过混凝土抗拉强度而产生裂缝。因此，加强养护是防止混凝土开裂的</w:t>
      </w:r>
      <w:r>
        <w:rPr>
          <w:spacing w:val="-17"/>
          <w:sz w:val="42"/>
        </w:rPr>
        <w:t>关键之一。在养护中要加强温度监测和管理，及时调整保温和养护措</w:t>
      </w:r>
      <w:r>
        <w:rPr>
          <w:spacing w:val="-18"/>
          <w:sz w:val="42"/>
        </w:rPr>
        <w:t>施，延缓升降温速率，保证混疑土不开裂。养护需要</w:t>
      </w:r>
      <w:r>
        <w:rPr>
          <w:sz w:val="42"/>
        </w:rPr>
        <w:t>7</w:t>
      </w:r>
      <w:r>
        <w:rPr>
          <w:spacing w:val="-24"/>
          <w:sz w:val="42"/>
        </w:rPr>
        <w:t xml:space="preserve"> 天以上</w:t>
      </w:r>
      <w:r>
        <w:rPr>
          <w:sz w:val="42"/>
        </w:rPr>
        <w:t>（浇筑</w:t>
      </w:r>
      <w:r>
        <w:rPr>
          <w:spacing w:val="-48"/>
          <w:sz w:val="42"/>
        </w:rPr>
        <w:t xml:space="preserve">完 </w:t>
      </w:r>
      <w:r>
        <w:rPr>
          <w:sz w:val="42"/>
        </w:rPr>
        <w:t>7</w:t>
      </w:r>
      <w:r>
        <w:rPr>
          <w:spacing w:val="-11"/>
          <w:sz w:val="42"/>
        </w:rPr>
        <w:t xml:space="preserve"> 天内是混凝土水化热产生的高峰期</w:t>
      </w:r>
      <w:r>
        <w:rPr>
          <w:spacing w:val="-82"/>
          <w:sz w:val="42"/>
        </w:rPr>
        <w:t>）</w:t>
      </w:r>
      <w:r>
        <w:rPr>
          <w:spacing w:val="-10"/>
          <w:sz w:val="42"/>
        </w:rPr>
        <w:t>，具体时间将根据现场的温</w:t>
      </w:r>
    </w:p>
    <w:p>
      <w:pPr>
        <w:pStyle w:val="BodyText"/>
        <w:spacing w:line="537" w:lineRule="exact"/>
        <w:ind w:left="2700"/>
      </w:pPr>
      <w:r>
        <w:t>度监测结果而定。</w:t>
      </w:r>
    </w:p>
    <w:p>
      <w:pPr>
        <w:pStyle w:val="Heading2"/>
        <w:numPr>
          <w:ilvl w:val="0"/>
          <w:numId w:val="5"/>
        </w:numPr>
        <w:tabs>
          <w:tab w:val="left" w:pos="3183"/>
        </w:tabs>
        <w:spacing w:before="150" w:after="0" w:line="240" w:lineRule="auto"/>
        <w:ind w:left="3183" w:right="0" w:hanging="483"/>
        <w:jc w:val="left"/>
      </w:pPr>
      <w:r>
        <w:t>预应力穿束、张拉</w:t>
      </w:r>
    </w:p>
    <w:p>
      <w:pPr>
        <w:pStyle w:val="BodyText"/>
        <w:spacing w:before="370"/>
        <w:ind w:left="3539"/>
      </w:pPr>
      <w:r>
        <w:t>1）下料</w:t>
      </w:r>
    </w:p>
    <w:p>
      <w:pPr>
        <w:pStyle w:val="BodyText"/>
        <w:spacing w:before="279" w:line="364" w:lineRule="auto"/>
        <w:ind w:left="2700" w:right="2524" w:firstLine="838"/>
      </w:pPr>
      <w:r>
        <w:t>钢绞线下料场地要平整，地面上铺木板，以防磨伤钢绞线。下料要求准确，减少浪费，下料完成并绑扎成束，绑扎间距为50cm。绑扎完成后分长度、钢束孔道编号挂牌，妥善保管，防止锈蚀。</w:t>
      </w:r>
    </w:p>
    <w:p>
      <w:pPr>
        <w:pStyle w:val="BodyText"/>
        <w:spacing w:line="364" w:lineRule="auto"/>
        <w:ind w:left="2700" w:right="2945" w:firstLine="838"/>
      </w:pPr>
      <w:r>
        <w:t>穿束时在钢绞线头部套上刚性子弹头帽，采用人工将钢绞线穿入。</w:t>
      </w:r>
    </w:p>
    <w:p>
      <w:pPr>
        <w:pStyle w:val="BodyText"/>
        <w:spacing w:line="536" w:lineRule="exact"/>
        <w:ind w:left="3539"/>
      </w:pPr>
      <w:r>
        <w:t>钢绞线分两批进行张拉，张拉时，混凝土强度达到设计强度 85%，</w:t>
      </w:r>
    </w:p>
    <w:p>
      <w:pPr>
        <w:spacing w:after="0" w:line="536" w:lineRule="exact"/>
        <w:sectPr>
          <w:headerReference w:type="default" r:id="rId15"/>
          <w:pgSz w:w="17860" w:h="25260"/>
          <w:pgMar w:top="1740" w:right="0" w:bottom="280" w:left="0" w:header="1540" w:footer="0"/>
          <w:pgNumType w:start="10"/>
          <w:cols w:space="708"/>
        </w:sectPr>
      </w:pPr>
    </w:p>
    <w:p>
      <w:pPr>
        <w:pStyle w:val="BodyText"/>
        <w:spacing w:before="63" w:line="364" w:lineRule="auto"/>
        <w:ind w:left="2700" w:right="2738"/>
        <w:jc w:val="both"/>
      </w:pPr>
      <w:r>
        <w:rPr>
          <w:spacing w:val="-18"/>
        </w:rPr>
        <w:t xml:space="preserve">龄期达到 </w:t>
      </w:r>
      <w:r>
        <w:t>10</w:t>
      </w:r>
      <w:r>
        <w:rPr>
          <w:spacing w:val="-12"/>
        </w:rPr>
        <w:t xml:space="preserve"> 天以后进行。在盖梁架设完成后，进行第二批钢绞线束</w:t>
      </w:r>
      <w:r>
        <w:rPr>
          <w:spacing w:val="-1"/>
        </w:rPr>
        <w:t>的张拉。预应力钢束均为两端对称张拉，预应力张拉程序：</w:t>
      </w:r>
      <w:r>
        <w:rPr>
          <w:spacing w:val="-12"/>
        </w:rPr>
        <w:t>0</w:t>
      </w:r>
      <w:r>
        <w:rPr>
          <w:spacing w:val="-4"/>
        </w:rPr>
        <w:t>→初应力（0.1σcon）→控制应力σcon（0.75fpk）→持荷→锚固。</w:t>
      </w:r>
    </w:p>
    <w:p>
      <w:pPr>
        <w:pStyle w:val="BodyText"/>
        <w:spacing w:line="364" w:lineRule="auto"/>
        <w:ind w:left="2700" w:right="2524" w:firstLine="838"/>
      </w:pPr>
      <w:r>
        <w:t>预应力张拉采用双控，以张拉力控制为主，引伸量校核。引伸量的实际伸长值与理论伸长值差值应控制在±6%以内。</w:t>
      </w:r>
    </w:p>
    <w:p>
      <w:pPr>
        <w:pStyle w:val="Heading2"/>
        <w:numPr>
          <w:ilvl w:val="0"/>
          <w:numId w:val="5"/>
        </w:numPr>
        <w:tabs>
          <w:tab w:val="left" w:pos="3183"/>
        </w:tabs>
        <w:spacing w:before="0" w:after="0" w:line="562" w:lineRule="exact"/>
        <w:ind w:left="3183" w:right="0" w:hanging="483"/>
        <w:jc w:val="left"/>
      </w:pPr>
      <w:r>
        <w:t>管道压浆</w:t>
      </w:r>
    </w:p>
    <w:p>
      <w:pPr>
        <w:pStyle w:val="BodyText"/>
        <w:spacing w:before="367" w:line="364" w:lineRule="auto"/>
        <w:ind w:left="2700" w:right="2685" w:firstLine="838"/>
        <w:jc w:val="both"/>
      </w:pPr>
      <w:r>
        <w:rPr>
          <w:spacing w:val="-13"/>
        </w:rPr>
        <w:t>预应力钢束张拉完后，用手持式砂轮锯切割外露钢绞线，钢绞线</w:t>
      </w:r>
      <w:r>
        <w:rPr>
          <w:spacing w:val="-22"/>
        </w:rPr>
        <w:t xml:space="preserve">预留长度以不防碍封端为准，并留 </w:t>
      </w:r>
      <w:r>
        <w:t>3.5cm</w:t>
      </w:r>
      <w:r>
        <w:rPr>
          <w:spacing w:val="-16"/>
        </w:rPr>
        <w:t xml:space="preserve"> 保护层。清理锚垫板上的灌</w:t>
      </w:r>
      <w:r>
        <w:t>浆孔，保证灌浆通道畅通。</w:t>
      </w:r>
    </w:p>
    <w:p>
      <w:pPr>
        <w:pStyle w:val="BodyText"/>
        <w:spacing w:line="364" w:lineRule="auto"/>
        <w:ind w:left="2700" w:right="2520" w:firstLine="838"/>
      </w:pPr>
      <w:r>
        <w:t>灌浆前必须密封预应力端头锚垫板。压浆前对压浆机进行认真检查、标定，用压浆机向管道内注压清水，充分冲洗，润湿管道，至全部管道冲洗完后，正式开始拌浆。</w:t>
      </w:r>
    </w:p>
    <w:p>
      <w:pPr>
        <w:pStyle w:val="BodyText"/>
        <w:spacing w:line="364" w:lineRule="auto"/>
        <w:ind w:left="2700" w:right="2520" w:firstLine="838"/>
      </w:pPr>
      <w:r>
        <w:t xml:space="preserve">在水泥浆出口及入口处接上密封阀门，将真空泵连接非压浆端 </w:t>
      </w:r>
      <w:r>
        <w:rPr>
          <w:spacing w:val="-1"/>
        </w:rPr>
        <w:t>上，压浆泵连接在压浆端上，以串联的方式将负压容器、三向阀门和锚具盖连接起来，其中锚具盖帽和阀门之间用一段透明的喉管连接。</w:t>
      </w:r>
    </w:p>
    <w:p>
      <w:pPr>
        <w:pStyle w:val="BodyText"/>
        <w:spacing w:line="364" w:lineRule="auto"/>
        <w:ind w:left="2700" w:right="2682" w:firstLine="838"/>
        <w:jc w:val="both"/>
      </w:pPr>
      <w:r>
        <w:rPr>
          <w:spacing w:val="-8"/>
        </w:rPr>
        <w:t>在压浆前关闭所有排气阀门并启动真空泵十分钟，显示出真空负</w:t>
      </w:r>
      <w:r>
        <w:rPr>
          <w:spacing w:val="-15"/>
        </w:rPr>
        <w:t xml:space="preserve">压力的产生，应能达到负压力 </w:t>
      </w:r>
      <w:r>
        <w:t xml:space="preserve">0.1 </w:t>
      </w:r>
      <w:r>
        <w:rPr>
          <w:spacing w:val="-12"/>
        </w:rPr>
        <w:t>Mpa</w:t>
      </w:r>
      <w:r>
        <w:rPr>
          <w:spacing w:val="-5"/>
        </w:rPr>
        <w:t>，如果没有满足此数据则表示</w:t>
      </w:r>
      <w:r>
        <w:t>波纹管未能完全密封，需在继续压浆前检查及更正工作。</w:t>
      </w:r>
    </w:p>
    <w:p>
      <w:pPr>
        <w:pStyle w:val="BodyText"/>
        <w:spacing w:line="364" w:lineRule="auto"/>
        <w:ind w:left="2700" w:right="2676" w:firstLine="838"/>
      </w:pPr>
      <w:r>
        <w:rPr>
          <w:spacing w:val="-12"/>
        </w:rPr>
        <w:t>在保持真空泵运转的同时，开始往压浆端的水泥浆入口压浆，注</w:t>
      </w:r>
      <w:r>
        <w:rPr>
          <w:spacing w:val="-18"/>
        </w:rPr>
        <w:t xml:space="preserve">意，在压浆过程中真空压力将会下降约 </w:t>
      </w:r>
      <w:r>
        <w:t>0.3Mpa。从透明的喉管中观</w:t>
      </w:r>
      <w:r>
        <w:rPr>
          <w:spacing w:val="-13"/>
        </w:rPr>
        <w:t>察水泥浆是否已填满波纹管，继续加压直至水泥浆到达安装在负压容</w:t>
      </w:r>
      <w:r>
        <w:t>器上方的三相阀门。</w:t>
      </w:r>
    </w:p>
    <w:p>
      <w:pPr>
        <w:pStyle w:val="BodyText"/>
        <w:spacing w:line="364" w:lineRule="auto"/>
        <w:ind w:left="2700" w:right="2524" w:firstLine="838"/>
      </w:pPr>
      <w:r>
        <w:rPr>
          <w:spacing w:val="-1"/>
        </w:rPr>
        <w:t xml:space="preserve">操作阀门以隔离真空泵及水泥浆，将水泥浆导向废浆桶的方向， </w:t>
      </w:r>
      <w:r>
        <w:t>继续压浆直至所溢出的水泥浆形成流畅及一致性，没有不规则的摆 动。</w:t>
      </w:r>
    </w:p>
    <w:p>
      <w:pPr>
        <w:spacing w:after="0" w:line="36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https://d.book118.com/615220031210011114</w:t>
        </w:r>
      </w:hyperlink>
    </w:p>
    <w:p>
      <w:pPr>
        <w:spacing w:after="0" w:line="364" w:lineRule="auto"/>
      </w:pPr>
    </w:p>
    <w:sectPr>
      <w:headerReference w:type="default" r:id="rId17"/>
      <w:pgSz w:w="17860" w:h="25260"/>
      <w:pgMar w:top="1740" w:right="0" w:bottom="280" w:left="0" w:header="1540" w:footer="0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20678203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78203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3629798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297988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3542671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42671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1967293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67293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1791143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91143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20974000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74000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6998479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98479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4787991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87991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043751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3751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2277743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77743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C4A944"/>
    <w:multiLevelType w:val="hybridMultilevel"/>
    <w:tmpl w:val="00000000"/>
    <w:lvl w:ilvl="0">
      <w:start w:val="1"/>
      <w:numFmt w:val="decimal"/>
      <w:lvlText w:val="%1."/>
      <w:lvlJc w:val="left"/>
      <w:pPr>
        <w:ind w:left="3123" w:hanging="42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59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423"/>
      </w:pPr>
      <w:rPr>
        <w:rFonts w:hint="default"/>
      </w:rPr>
    </w:lvl>
  </w:abstractNum>
  <w:abstractNum w:abstractNumId="1">
    <w:nsid w:val="14A16EA2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53"/>
        <w:jc w:val="left"/>
      </w:pPr>
      <w:rPr>
        <w:rFonts w:ascii="楷体" w:eastAsia="楷体" w:hAnsi="楷体" w:cs="楷体" w:hint="default"/>
        <w:spacing w:val="-177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53"/>
      </w:pPr>
      <w:rPr>
        <w:rFonts w:hint="default"/>
      </w:rPr>
    </w:lvl>
  </w:abstractNum>
  <w:abstractNum w:abstractNumId="2">
    <w:nsid w:val="1C9E4199"/>
    <w:multiLevelType w:val="hybridMultilevel"/>
    <w:tmpl w:val="00000000"/>
    <w:lvl w:ilvl="0">
      <w:start w:val="1"/>
      <w:numFmt w:val="decimal"/>
      <w:lvlText w:val="%1."/>
      <w:lvlJc w:val="left"/>
      <w:pPr>
        <w:ind w:left="3183" w:hanging="483"/>
        <w:jc w:val="left"/>
      </w:pPr>
      <w:rPr>
        <w:rFonts w:ascii="楷体" w:eastAsia="楷体" w:hAnsi="楷体" w:cs="楷体" w:hint="default"/>
        <w:b/>
        <w:bCs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3760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26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93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59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26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93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9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26" w:hanging="483"/>
      </w:pPr>
      <w:rPr>
        <w:rFonts w:hint="default"/>
      </w:rPr>
    </w:lvl>
  </w:abstractNum>
  <w:abstractNum w:abstractNumId="3">
    <w:nsid w:val="2B2E9C65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53"/>
        <w:jc w:val="left"/>
      </w:pPr>
      <w:rPr>
        <w:rFonts w:ascii="楷体" w:eastAsia="楷体" w:hAnsi="楷体" w:cs="楷体" w:hint="default"/>
        <w:spacing w:val="-7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53"/>
      </w:pPr>
      <w:rPr>
        <w:rFonts w:hint="default"/>
      </w:rPr>
    </w:lvl>
  </w:abstractNum>
  <w:abstractNum w:abstractNumId="4">
    <w:nsid w:val="3F332E87"/>
    <w:multiLevelType w:val="hybridMultilevel"/>
    <w:tmpl w:val="00000000"/>
    <w:lvl w:ilvl="0">
      <w:start w:val="1"/>
      <w:numFmt w:val="decimal"/>
      <w:lvlText w:val="%1."/>
      <w:lvlJc w:val="left"/>
      <w:pPr>
        <w:ind w:left="3183" w:hanging="483"/>
        <w:jc w:val="left"/>
      </w:pPr>
      <w:rPr>
        <w:rFonts w:ascii="楷体" w:eastAsia="楷体" w:hAnsi="楷体" w:cs="楷体" w:hint="default"/>
        <w:b/>
        <w:bCs/>
        <w:w w:val="98"/>
        <w:sz w:val="46"/>
        <w:szCs w:val="46"/>
      </w:rPr>
    </w:lvl>
    <w:lvl w:ilvl="1">
      <w:start w:val="1"/>
      <w:numFmt w:val="decimal"/>
      <w:lvlText w:val="%1.%2"/>
      <w:lvlJc w:val="left"/>
      <w:pPr>
        <w:ind w:left="3492" w:hanging="792"/>
        <w:jc w:val="left"/>
      </w:pPr>
      <w:rPr>
        <w:rFonts w:ascii="楷体" w:eastAsia="楷体" w:hAnsi="楷体" w:cs="楷体" w:hint="default"/>
        <w:b/>
        <w:bCs/>
        <w:w w:val="99"/>
        <w:sz w:val="45"/>
        <w:szCs w:val="45"/>
      </w:rPr>
    </w:lvl>
    <w:lvl w:ilvl="2">
      <w:start w:val="2"/>
      <w:numFmt w:val="decimal"/>
      <w:lvlText w:val="（%3）"/>
      <w:lvlJc w:val="left"/>
      <w:pPr>
        <w:ind w:left="2700" w:hanging="1060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294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1060"/>
      </w:pPr>
      <w:rPr>
        <w:rFonts w:hint="default"/>
      </w:rPr>
    </w:lvl>
  </w:abstractNum>
  <w:abstractNum w:abstractNumId="5">
    <w:nsid w:val="4654CE43"/>
    <w:multiLevelType w:val="hybridMultilevel"/>
    <w:tmpl w:val="00000000"/>
    <w:lvl w:ilvl="0">
      <w:start w:val="1"/>
      <w:numFmt w:val="decimal"/>
      <w:lvlText w:val="%1."/>
      <w:lvlJc w:val="left"/>
      <w:pPr>
        <w:ind w:left="3183" w:hanging="483"/>
        <w:jc w:val="left"/>
      </w:pPr>
      <w:rPr>
        <w:rFonts w:ascii="楷体" w:eastAsia="楷体" w:hAnsi="楷体" w:cs="楷体" w:hint="default"/>
        <w:b/>
        <w:bCs/>
        <w:w w:val="98"/>
        <w:sz w:val="46"/>
        <w:szCs w:val="46"/>
      </w:rPr>
    </w:lvl>
    <w:lvl w:ilvl="1">
      <w:start w:val="1"/>
      <w:numFmt w:val="decimal"/>
      <w:lvlText w:val="%1.%2"/>
      <w:lvlJc w:val="left"/>
      <w:pPr>
        <w:ind w:left="3492" w:hanging="792"/>
        <w:jc w:val="left"/>
      </w:pPr>
      <w:rPr>
        <w:rFonts w:ascii="楷体" w:eastAsia="楷体" w:hAnsi="楷体" w:cs="楷体" w:hint="default"/>
        <w:b/>
        <w:bCs/>
        <w:w w:val="99"/>
        <w:sz w:val="45"/>
        <w:szCs w:val="45"/>
      </w:rPr>
    </w:lvl>
    <w:lvl w:ilvl="2">
      <w:start w:val="2"/>
      <w:numFmt w:val="decimal"/>
      <w:lvlText w:val="（%3）"/>
      <w:lvlJc w:val="left"/>
      <w:pPr>
        <w:ind w:left="2700" w:hanging="1060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294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1060"/>
      </w:pPr>
      <w:rPr>
        <w:rFonts w:hint="default"/>
      </w:rPr>
    </w:lvl>
  </w:abstractNum>
  <w:abstractNum w:abstractNumId="6">
    <w:nsid w:val="5CBEE84C"/>
    <w:multiLevelType w:val="hybridMultilevel"/>
    <w:tmpl w:val="00000000"/>
    <w:lvl w:ilvl="0">
      <w:start w:val="1"/>
      <w:numFmt w:val="decimal"/>
      <w:lvlText w:val="%1."/>
      <w:lvlJc w:val="left"/>
      <w:pPr>
        <w:ind w:left="3183" w:hanging="483"/>
        <w:jc w:val="left"/>
      </w:pPr>
      <w:rPr>
        <w:rFonts w:hint="default"/>
        <w:b/>
        <w:bCs/>
        <w:w w:val="98"/>
      </w:rPr>
    </w:lvl>
    <w:lvl w:ilvl="1">
      <w:start w:val="1"/>
      <w:numFmt w:val="decimal"/>
      <w:lvlText w:val="%1.%2"/>
      <w:lvlJc w:val="left"/>
      <w:pPr>
        <w:ind w:left="3492" w:hanging="792"/>
        <w:jc w:val="left"/>
      </w:pPr>
      <w:rPr>
        <w:rFonts w:ascii="楷体" w:eastAsia="楷体" w:hAnsi="楷体" w:cs="楷体" w:hint="default"/>
        <w:b/>
        <w:bCs/>
        <w:w w:val="99"/>
        <w:sz w:val="45"/>
        <w:szCs w:val="45"/>
      </w:rPr>
    </w:lvl>
    <w:lvl w:ilvl="2">
      <w:start w:val="1"/>
      <w:numFmt w:val="decimal"/>
      <w:lvlText w:val="（%3）"/>
      <w:lvlJc w:val="left"/>
      <w:pPr>
        <w:ind w:left="2700" w:hanging="1060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294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1060"/>
      </w:pPr>
      <w:rPr>
        <w:rFonts w:hint="default"/>
      </w:rPr>
    </w:lvl>
  </w:abstractNum>
  <w:abstractNum w:abstractNumId="7">
    <w:nsid w:val="696027EB"/>
    <w:multiLevelType w:val="hybridMultilevel"/>
    <w:tmpl w:val="00000000"/>
    <w:lvl w:ilvl="0">
      <w:start w:val="1"/>
      <w:numFmt w:val="decimal"/>
      <w:lvlText w:val="%1."/>
      <w:lvlJc w:val="left"/>
      <w:pPr>
        <w:ind w:left="3183" w:hanging="483"/>
        <w:jc w:val="left"/>
      </w:pPr>
      <w:rPr>
        <w:rFonts w:ascii="楷体" w:eastAsia="楷体" w:hAnsi="楷体" w:cs="楷体" w:hint="default"/>
        <w:b/>
        <w:bCs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4647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5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3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1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7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5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3" w:hanging="483"/>
      </w:pPr>
      <w:rPr>
        <w:rFonts w:hint="default"/>
      </w:rPr>
    </w:lvl>
  </w:abstractNum>
  <w:abstractNum w:abstractNumId="8">
    <w:nsid w:val="78A8D211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53"/>
        <w:jc w:val="left"/>
      </w:pPr>
      <w:rPr>
        <w:rFonts w:ascii="楷体" w:eastAsia="楷体" w:hAnsi="楷体" w:cs="楷体" w:hint="default"/>
        <w:spacing w:val="-177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53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1"/>
  </w:num>
  <w:num w:numId="5">
    <w:abstractNumId w:val="5"/>
  </w:num>
  <w:num w:numId="6">
    <w:abstractNumId w:val="2"/>
  </w:num>
  <w:num w:numId="7">
    <w:abstractNumId w:val="0"/>
  </w:num>
  <w:num w:numId="8">
    <w:abstractNumId w:val="4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ind w:left="2"/>
      <w:jc w:val="center"/>
      <w:outlineLvl w:val="0"/>
    </w:pPr>
    <w:rPr>
      <w:rFonts w:ascii="黑体" w:eastAsia="黑体" w:hAnsi="黑体" w:cs="黑体"/>
      <w:sz w:val="54"/>
      <w:szCs w:val="54"/>
    </w:rPr>
  </w:style>
  <w:style w:type="paragraph" w:styleId="Heading2">
    <w:name w:val="heading 2"/>
    <w:basedOn w:val="Normal"/>
    <w:uiPriority w:val="1"/>
    <w:qFormat/>
    <w:pPr>
      <w:ind w:left="3183" w:hanging="483"/>
      <w:outlineLvl w:val="1"/>
    </w:pPr>
    <w:rPr>
      <w:rFonts w:ascii="楷体" w:eastAsia="楷体" w:hAnsi="楷体" w:cs="楷体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spacing w:before="31"/>
      <w:ind w:right="7"/>
      <w:jc w:val="center"/>
      <w:outlineLvl w:val="2"/>
    </w:pPr>
    <w:rPr>
      <w:rFonts w:ascii="楷体" w:eastAsia="楷体" w:hAnsi="楷体" w:cs="楷体"/>
      <w:sz w:val="48"/>
      <w:szCs w:val="48"/>
    </w:rPr>
  </w:style>
  <w:style w:type="paragraph" w:styleId="Heading4">
    <w:name w:val="heading 4"/>
    <w:basedOn w:val="Normal"/>
    <w:uiPriority w:val="1"/>
    <w:qFormat/>
    <w:pPr>
      <w:ind w:left="3492" w:hanging="793"/>
      <w:outlineLvl w:val="3"/>
    </w:pPr>
    <w:rPr>
      <w:rFonts w:ascii="楷体" w:eastAsia="楷体" w:hAnsi="楷体" w:cs="楷体"/>
      <w:b/>
      <w:bCs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700" w:hanging="793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header" Target="header9.xml" /><Relationship Id="rId15" Type="http://schemas.openxmlformats.org/officeDocument/2006/relationships/header" Target="header10.xml" /><Relationship Id="rId16" Type="http://schemas.openxmlformats.org/officeDocument/2006/relationships/hyperlink" Target="https://d.book118.com/615220031210011114" TargetMode="External" /><Relationship Id="rId17" Type="http://schemas.openxmlformats.org/officeDocument/2006/relationships/header" Target="header11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2024-02-03T16:48:29Z</dcterms:created>
  <dcterms:modified xsi:type="dcterms:W3CDTF">2024-02-03T16:48:29Z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2024-02-03T00:00:00Z</vt:filetime>
  </property>
</Properties>
</file>