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高压无功补偿装置行业相关公司筹备报告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1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_Toc18993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_Toc18267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_Toc25804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_Toc7533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3" w:history="1">
        <w:r>
          <w:rPr>
            <w:rFonts w:ascii="仿宋" w:eastAsia="仿宋" w:hAnsi="仿宋" w:cs="仿宋" w:hint="eastAsia"/>
            <w:lang w:eastAsia="zh-CN"/>
          </w:rPr>
          <w:t>二、高压无功补偿装置筹建公司基本信息</w:t>
        </w:r>
        <w:r>
          <w:tab/>
        </w:r>
        <w:r>
          <w:fldChar w:fldCharType="begin"/>
        </w:r>
        <w:r>
          <w:instrText xml:space="preserve"> PAGEREF _Toc17633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_Toc32366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_Toc5696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_Toc17611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_Toc19670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_Toc22691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_Toc27806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_Toc24821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3" w:history="1">
        <w:r>
          <w:rPr>
            <w:rFonts w:ascii="仿宋" w:eastAsia="仿宋" w:hAnsi="仿宋" w:cs="仿宋" w:hint="eastAsia"/>
            <w:lang w:eastAsia="zh-CN"/>
          </w:rPr>
          <w:t>(一)、高压无功补偿装置项目选址原则</w:t>
        </w:r>
        <w:r>
          <w:tab/>
        </w:r>
        <w:r>
          <w:fldChar w:fldCharType="begin"/>
        </w:r>
        <w:r>
          <w:instrText xml:space="preserve"> PAGEREF _Toc12233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_Toc18865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_Toc29544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2" w:history="1">
        <w:r>
          <w:rPr>
            <w:rFonts w:ascii="仿宋" w:eastAsia="仿宋" w:hAnsi="仿宋" w:cs="仿宋" w:hint="eastAsia"/>
            <w:lang w:eastAsia="zh-CN"/>
          </w:rPr>
          <w:t>(五)、高压无功补偿装置项目选址综合评价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_Toc8581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_Toc32172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_Toc9008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_Toc24431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_Toc21567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_Toc10581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_Toc16114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_Toc28969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_Toc11339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_Toc17603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_Toc8240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_Toc22551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_Toc26573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_Toc4252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_Toc21449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_Toc16681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_Toc17731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_Toc16760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_Toc11199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_Toc9959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_Toc17254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_Toc20537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74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_Toc7741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_Toc17506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_Toc6224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_Toc9375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_Toc13419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_Toc9188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_Toc19991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_Toc5910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_Toc4356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_Toc24939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_Toc16084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_Toc24365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4" w:history="1">
        <w:r>
          <w:rPr>
            <w:rFonts w:ascii="仿宋" w:eastAsia="仿宋" w:hAnsi="仿宋" w:cs="仿宋" w:hint="eastAsia"/>
            <w:lang w:eastAsia="zh-CN"/>
          </w:rPr>
          <w:t>(五)、高压无功补偿装置项目总投资</w:t>
        </w:r>
        <w:r>
          <w:tab/>
        </w:r>
        <w:r>
          <w:fldChar w:fldCharType="begin"/>
        </w:r>
        <w:r>
          <w:instrText xml:space="preserve"> PAGEREF _Toc10004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_Toc7291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_Toc15649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9" w:history="1">
        <w:r>
          <w:rPr>
            <w:rFonts w:ascii="仿宋" w:eastAsia="仿宋" w:hAnsi="仿宋" w:cs="仿宋" w:hint="eastAsia"/>
            <w:lang w:eastAsia="zh-CN"/>
          </w:rPr>
          <w:t>(一)、高压无功补偿装置项目背景分析</w:t>
        </w:r>
        <w:r>
          <w:tab/>
        </w:r>
        <w:r>
          <w:fldChar w:fldCharType="begin"/>
        </w:r>
        <w:r>
          <w:instrText xml:space="preserve"> PAGEREF _Toc24589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3" w:history="1">
        <w:r>
          <w:rPr>
            <w:rFonts w:ascii="仿宋" w:eastAsia="仿宋" w:hAnsi="仿宋" w:cs="仿宋" w:hint="eastAsia"/>
            <w:lang w:eastAsia="zh-CN"/>
          </w:rPr>
          <w:t>(二)、高压无功补偿装置项目建设必要性分析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_Toc27933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_Toc32502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6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_Toc15776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_Toc21940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_Toc16174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_Toc9161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_Toc12368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_Toc26886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" w:history="1">
        <w:r>
          <w:rPr>
            <w:rFonts w:ascii="仿宋" w:eastAsia="仿宋" w:hAnsi="仿宋" w:cs="仿宋" w:hint="eastAsia"/>
            <w:lang w:eastAsia="zh-CN"/>
          </w:rPr>
          <w:t>(二)、合作高压无功补偿装置项目</w:t>
        </w:r>
        <w:r>
          <w:tab/>
        </w:r>
        <w:r>
          <w:fldChar w:fldCharType="begin"/>
        </w:r>
        <w:r>
          <w:instrText xml:space="preserve"> PAGEREF _Toc166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_Toc18948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_Toc5464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_Toc4353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_Toc31035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_Toc1113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_Toc10957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_Toc21279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_Toc26661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2" w:history="1">
        <w:r>
          <w:rPr>
            <w:rFonts w:ascii="仿宋" w:eastAsia="仿宋" w:hAnsi="仿宋" w:cs="仿宋" w:hint="eastAsia"/>
            <w:lang w:eastAsia="zh-CN"/>
          </w:rPr>
          <w:t>十四、高压无功补偿装置项目总结分析</w:t>
        </w:r>
        <w:r>
          <w:tab/>
        </w:r>
        <w:r>
          <w:fldChar w:fldCharType="begin"/>
        </w:r>
        <w:r>
          <w:instrText xml:space="preserve"> PAGEREF _Toc10822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1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99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26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https://d.book118.com/615231243040011044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高压无功补偿装置行业相关公司筹备报告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高压无功补偿装置行业相关公司筹备报告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高压无功补偿装置行业相关公司筹备报告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高压无功补偿装置行业相关公司筹备报告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高压无功补偿装置行业相关公司筹备报告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5231243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2024-01-03T17:04:00Z</dcterms:created>
  <dcterms:modified xsi:type="dcterms:W3CDTF">2024-01-03T17:04:36Z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6DA1CD57FE494810A6C7EC4E2380B2BC_11</vt:lpwstr>
  </property>
  <property fmtid="{D5CDD505-2E9C-101B-9397-08002B2CF9AE}" pid="3" name="KSOProductBuildVer">
    <vt:lpwstr>2052-12.1.0.16120</vt:lpwstr>
  </property>
</Properties>
</file>