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航天器及其运载工具、零件市场分析及竞争策略报告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一、产业环境分析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二、项目后期运营与拓展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三、供应商与合作伙伴关系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四、投资估算与资金筹措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_Toc19567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0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_Toc4750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eastAsia="zh-CN"/>
          </w:rPr>
          <w:t>五、工艺分析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_Toc7909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(二)、航天器及其运载工具、零件项目工艺技术设计方案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六、技术方案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(二)、航天器及其运载工具、零件项目技术工艺分析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(三)、航天器及其运载工具、零件项目技术流程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eastAsia="zh-CN"/>
          </w:rPr>
          <w:t>七、申报单位及航天器及其运载工具、零件项目概论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(一)、航天器及其运载工具、零件项目概况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1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_Toc26221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八、第三十二章未来发展愿景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4" w:history="1">
        <w:r>
          <w:rPr>
            <w:rFonts w:ascii="仿宋" w:eastAsia="仿宋" w:hAnsi="仿宋" w:cs="仿宋" w:hint="eastAsia"/>
            <w:lang w:eastAsia="zh-CN"/>
          </w:rPr>
          <w:t>九、航天器及其运载工具、零件项目监理与质量保证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_Toc13669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十、员工家庭与工作平衡支持计划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29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十二、法律法规及审批程序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8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_Toc30048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6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0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_Toc28090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十三、第二十八章公司与员工法律关系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十四、SWOT分析说明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eastAsia="zh-CN"/>
          </w:rPr>
          <w:t>十六、招标方案</w:t>
        </w:r>
        <w:r>
          <w:tab/>
        </w:r>
        <w:r>
          <w:fldChar w:fldCharType="begin"/>
        </w:r>
        <w:r>
          <w:instrText xml:space="preserve"> PAGEREF _Toc4056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(一)、航天器及其运载工具、零件项目招标依据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(二)、航天器及其运载工具、零件项目招标范围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1" w:history="1">
        <w:r>
          <w:rPr>
            <w:rFonts w:ascii="仿宋" w:eastAsia="仿宋" w:hAnsi="仿宋" w:cs="仿宋" w:hint="eastAsia"/>
            <w:lang w:eastAsia="zh-CN"/>
          </w:rPr>
          <w:t>十八、战略合作伙伴与投资者关系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8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_Toc5928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十九、风险管理和应对措施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二十、组织架构分析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二十一、信息化建设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1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_Toc18671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2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二十二成果转化与推广应用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二十三、合作与交流机制建立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40"/>
      <w:r>
        <w:rPr>
          <w:rFonts w:ascii="仿宋" w:eastAsia="仿宋" w:hAnsi="仿宋" w:cs="仿宋" w:hint="eastAsia"/>
          <w:sz w:val="28"/>
          <w:lang w:eastAsia="zh-CN"/>
        </w:rPr>
        <w:t>一、产业环境分析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90"/>
      <w:r>
        <w:rPr>
          <w:rFonts w:ascii="仿宋" w:eastAsia="仿宋" w:hAnsi="仿宋" w:cs="仿宋" w:hint="eastAsia"/>
          <w:lang w:eastAsia="zh-CN"/>
        </w:rPr>
        <w:t>(一)、产业环境分析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市的发展方向是扩大规模、优化结构，旨在提升传统行业，壮大新兴产业，全面规划产业布局。我们将支持和发展现代产业和新兴产业，促进信息技术广泛渗透各个领域，促进第一、第二和第三产业的融合发展，推动产业升级达到中高端水平，打造更具竞争力的新型产业体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根据本地资源特点，遵循产业发展规律，以产业升级和转型为主线。通过调整和优化产业布局，打造全新的产业空间布局，形成明确定位、产业明晰、各产业优势互补、错位发展的特点，以推动产业结构多元化和协调性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https://d.book118.com/616013011041010053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6E0BC9"/>
    <w:rsid w:val="036E0BC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6013011041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2024-02-20T06:17:00Z</dcterms:created>
  <dcterms:modified xsi:type="dcterms:W3CDTF">2024-02-20T06:18:04Z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5405D45248A54E27A4E1ADA2876439C5_11</vt:lpwstr>
  </property>
  <property fmtid="{D5CDD505-2E9C-101B-9397-08002B2CF9AE}" pid="3" name="KSOProductBuildVer">
    <vt:lpwstr>2052-12.1.0.16250</vt:lpwstr>
  </property>
</Properties>
</file>