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360" w:lineRule="auto"/>
        <w:rPr>
          <w:rFonts w:ascii="仿宋_GB2312" w:eastAsia="仿宋_GB2312" w:hint="eastAsia"/>
          <w:sz w:val="28"/>
        </w:rPr>
      </w:pPr>
      <w:bookmarkStart w:id="0" w:name="_GoBack"/>
      <w:bookmarkEnd w:id="0"/>
      <w:r>
        <w:rPr>
          <w:rFonts w:ascii="仿宋_GB2312" w:eastAsia="仿宋_GB2312" w:hint="eastAsia"/>
          <w:sz w:val="28"/>
        </w:rPr>
        <w:t>盐城</w:t>
      </w:r>
      <w:r>
        <w:rPr>
          <w:rFonts w:ascii="仿宋_GB2312" w:eastAsia="仿宋_GB2312" w:hint="eastAsia"/>
          <w:sz w:val="28"/>
          <w:lang w:eastAsia="zh-CN"/>
        </w:rPr>
        <w:t>相关项目</w:t>
      </w:r>
      <w:r>
        <w:rPr>
          <w:rFonts w:ascii="仿宋_GB2312" w:eastAsia="仿宋_GB2312" w:hint="eastAsia"/>
          <w:sz w:val="28"/>
        </w:rPr>
        <w:t>策划报告全文</w:t>
      </w:r>
      <w:r>
        <w:rPr>
          <w:rFonts w:ascii="仿宋_GB2312" w:eastAsia="仿宋_GB2312" w:hint="eastAsia"/>
          <w:sz w:val="28"/>
          <w:lang w:eastAsia="zh-CN"/>
        </w:rPr>
        <w:t>合适的内容</w:t>
      </w:r>
      <w:r>
        <w:rPr>
          <w:rFonts w:ascii="仿宋_GB2312" w:eastAsia="仿宋_GB2312" w:hint="eastAsia"/>
          <w:sz w:val="28"/>
        </w:rPr>
        <w:t>包括四部分</w:t>
      </w:r>
    </w:p>
    <w:p>
      <w:pPr>
        <w:pStyle w:val="Normal0"/>
        <w:spacing w:line="360" w:lineRule="auto"/>
        <w:jc w:val="center"/>
        <w:rPr>
          <w:rFonts w:ascii="仿宋_GB2312" w:eastAsia="仿宋_GB2312" w:hint="eastAsia"/>
          <w:b/>
          <w:bCs/>
          <w:sz w:val="32"/>
        </w:rPr>
      </w:pPr>
      <w:r>
        <w:rPr>
          <w:rFonts w:ascii="仿宋_GB2312" w:eastAsia="仿宋_GB2312" w:hint="eastAsia"/>
          <w:b/>
          <w:bCs/>
          <w:sz w:val="32"/>
        </w:rPr>
        <w:t>壹、</w:t>
      </w:r>
      <w:r>
        <w:rPr>
          <w:rFonts w:ascii="仿宋_GB2312" w:eastAsia="仿宋_GB2312" w:hint="eastAsia"/>
          <w:b/>
          <w:bCs/>
          <w:sz w:val="32"/>
          <w:lang w:eastAsia="zh-CN"/>
        </w:rPr>
        <w:t>相关项目</w:t>
      </w:r>
      <w:r>
        <w:rPr>
          <w:rFonts w:ascii="仿宋_GB2312" w:eastAsia="仿宋_GB2312" w:hint="eastAsia"/>
          <w:b/>
          <w:bCs/>
          <w:sz w:val="32"/>
        </w:rPr>
        <w:t>篇</w:t>
      </w:r>
    </w:p>
    <w:p>
      <w:pPr>
        <w:pStyle w:val="Normal0"/>
        <w:spacing w:line="360" w:lineRule="auto"/>
        <w:rPr>
          <w:rFonts w:ascii="仿宋_GB2312" w:eastAsia="仿宋_GB2312" w:hint="eastAsia"/>
          <w:sz w:val="28"/>
        </w:rPr>
      </w:pPr>
      <w:r>
        <w:rPr>
          <w:rFonts w:ascii="仿宋_GB2312" w:eastAsia="仿宋_GB2312" w:hint="eastAsia"/>
          <w:sz w:val="28"/>
        </w:rPr>
        <w:t>目录指引：</w:t>
      </w:r>
    </w:p>
    <w:p>
      <w:pPr>
        <w:pStyle w:val="Normal0"/>
        <w:spacing w:line="360" w:lineRule="auto"/>
        <w:rPr>
          <w:rFonts w:ascii="仿宋_GB2312" w:eastAsia="仿宋_GB2312" w:hint="eastAsia"/>
          <w:sz w:val="32"/>
        </w:rPr>
      </w:pPr>
      <w:r>
        <w:rPr>
          <w:rFonts w:ascii="仿宋_GB2312" w:eastAsia="仿宋_GB2312" w:hint="eastAsia"/>
          <w:sz w:val="32"/>
        </w:rPr>
        <w:t>一、 前言</w:t>
      </w:r>
    </w:p>
    <w:p>
      <w:pPr>
        <w:pStyle w:val="Normal0"/>
        <w:spacing w:line="360" w:lineRule="auto"/>
        <w:rPr>
          <w:rFonts w:ascii="仿宋_GB2312" w:eastAsia="仿宋_GB2312" w:hint="eastAsia"/>
          <w:sz w:val="28"/>
        </w:rPr>
      </w:pPr>
      <w:r>
        <w:rPr>
          <w:rFonts w:ascii="仿宋_GB2312" w:eastAsia="仿宋_GB2312" w:hint="eastAsia"/>
          <w:sz w:val="32"/>
        </w:rPr>
        <w:t>二、</w:t>
      </w:r>
      <w:r>
        <w:rPr>
          <w:rFonts w:ascii="仿宋_GB2312" w:eastAsia="仿宋_GB2312"/>
          <w:sz w:val="32"/>
        </w:rPr>
        <w:t xml:space="preserve"> </w:t>
      </w:r>
      <w:r>
        <w:rPr>
          <w:rFonts w:ascii="仿宋_GB2312" w:eastAsia="仿宋_GB2312" w:hint="eastAsia"/>
          <w:sz w:val="32"/>
        </w:rPr>
        <w:t>可行性报告</w:t>
      </w:r>
      <w:r>
        <w:rPr>
          <w:rFonts w:ascii="仿宋_GB2312" w:eastAsia="仿宋_GB2312" w:hint="eastAsia"/>
          <w:sz w:val="32"/>
          <w:lang w:eastAsia="zh-CN"/>
        </w:rPr>
        <w:t>合适的内容</w:t>
      </w:r>
      <w:r>
        <w:rPr>
          <w:rFonts w:ascii="仿宋_GB2312" w:eastAsia="仿宋_GB2312" w:hint="eastAsia"/>
          <w:sz w:val="32"/>
        </w:rPr>
        <w:t>指引</w:t>
      </w:r>
    </w:p>
    <w:p>
      <w:pPr>
        <w:pStyle w:val="Normal0"/>
        <w:spacing w:line="360" w:lineRule="auto"/>
        <w:ind w:firstLine="840" w:firstLineChars="300"/>
        <w:rPr>
          <w:rFonts w:ascii="仿宋_GB2312" w:eastAsia="仿宋_GB2312" w:hint="eastAsia"/>
          <w:sz w:val="28"/>
        </w:rPr>
      </w:pPr>
      <w:r>
        <w:rPr>
          <w:rFonts w:ascii="仿宋_GB2312" w:eastAsia="仿宋_GB2312" w:hint="eastAsia"/>
          <w:sz w:val="28"/>
        </w:rPr>
        <w:t>外部环境</w:t>
      </w:r>
      <w:r>
        <w:rPr>
          <w:rFonts w:ascii="仿宋_GB2312" w:eastAsia="仿宋_GB2312"/>
          <w:sz w:val="28"/>
        </w:rPr>
        <w:t xml:space="preserve"> </w:t>
      </w:r>
    </w:p>
    <w:p>
      <w:pPr>
        <w:pStyle w:val="Normal0"/>
        <w:spacing w:line="360" w:lineRule="auto"/>
        <w:ind w:firstLine="840" w:firstLineChars="300"/>
        <w:rPr>
          <w:rFonts w:ascii="仿宋_GB2312" w:eastAsia="仿宋_GB2312" w:hint="eastAsia"/>
          <w:sz w:val="28"/>
        </w:rPr>
      </w:pPr>
      <w:r>
        <w:rPr>
          <w:rFonts w:ascii="仿宋_GB2312" w:eastAsia="仿宋_GB2312" w:hint="eastAsia"/>
          <w:sz w:val="28"/>
        </w:rPr>
        <w:t>内部因素</w:t>
      </w:r>
    </w:p>
    <w:p>
      <w:pPr>
        <w:pStyle w:val="Normal0"/>
        <w:spacing w:line="360" w:lineRule="auto"/>
        <w:rPr>
          <w:rFonts w:ascii="仿宋_GB2312" w:eastAsia="仿宋_GB2312" w:hint="eastAsia"/>
          <w:sz w:val="32"/>
        </w:rPr>
      </w:pPr>
      <w:r>
        <w:rPr>
          <w:rFonts w:ascii="仿宋_GB2312" w:eastAsia="仿宋_GB2312" w:hint="eastAsia"/>
          <w:sz w:val="32"/>
        </w:rPr>
        <w:t>第一部分：</w:t>
      </w:r>
      <w:r>
        <w:rPr>
          <w:rFonts w:ascii="仿宋_GB2312" w:eastAsia="仿宋_GB2312" w:hint="eastAsia"/>
          <w:sz w:val="32"/>
          <w:lang w:eastAsia="zh-CN"/>
        </w:rPr>
        <w:t>相关项目</w:t>
      </w:r>
      <w:r>
        <w:rPr>
          <w:rFonts w:ascii="仿宋_GB2312" w:eastAsia="仿宋_GB2312" w:hint="eastAsia"/>
          <w:sz w:val="32"/>
        </w:rPr>
        <w:t>概况</w:t>
      </w:r>
    </w:p>
    <w:p>
      <w:pPr>
        <w:pStyle w:val="Normal0"/>
        <w:spacing w:line="360" w:lineRule="auto"/>
        <w:rPr>
          <w:rFonts w:ascii="仿宋_GB2312" w:eastAsia="仿宋_GB2312" w:hint="eastAsia"/>
          <w:sz w:val="28"/>
        </w:rPr>
      </w:pPr>
      <w:r>
        <w:rPr>
          <w:rFonts w:ascii="仿宋_GB2312" w:eastAsia="仿宋_GB2312" w:hint="eastAsia"/>
          <w:sz w:val="28"/>
        </w:rPr>
        <w:t>一、 宗地位置</w:t>
      </w:r>
    </w:p>
    <w:p>
      <w:pPr>
        <w:pStyle w:val="Normal0"/>
        <w:spacing w:line="360" w:lineRule="auto"/>
        <w:rPr>
          <w:rFonts w:ascii="仿宋_GB2312" w:eastAsia="仿宋_GB2312" w:hint="eastAsia"/>
          <w:sz w:val="28"/>
        </w:rPr>
      </w:pPr>
      <w:r>
        <w:rPr>
          <w:rFonts w:ascii="仿宋_GB2312" w:eastAsia="仿宋_GB2312" w:hint="eastAsia"/>
          <w:sz w:val="28"/>
        </w:rPr>
        <w:t>二、</w:t>
      </w:r>
      <w:r>
        <w:rPr>
          <w:rFonts w:ascii="仿宋_GB2312" w:eastAsia="仿宋_GB2312"/>
          <w:sz w:val="28"/>
        </w:rPr>
        <w:t xml:space="preserve"> </w:t>
      </w:r>
      <w:r>
        <w:rPr>
          <w:rFonts w:ascii="仿宋_GB2312" w:eastAsia="仿宋_GB2312" w:hint="eastAsia"/>
          <w:sz w:val="28"/>
        </w:rPr>
        <w:t>宗地现状</w:t>
      </w:r>
    </w:p>
    <w:p>
      <w:pPr>
        <w:pStyle w:val="Normal0"/>
        <w:spacing w:line="360" w:lineRule="auto"/>
        <w:rPr>
          <w:rFonts w:ascii="仿宋_GB2312" w:eastAsia="仿宋_GB2312" w:hint="eastAsia"/>
          <w:sz w:val="28"/>
        </w:rPr>
      </w:pPr>
      <w:r>
        <w:rPr>
          <w:rFonts w:ascii="仿宋_GB2312" w:eastAsia="仿宋_GB2312" w:hint="eastAsia"/>
          <w:sz w:val="28"/>
        </w:rPr>
        <w:t xml:space="preserve">三、 </w:t>
      </w:r>
      <w:r>
        <w:rPr>
          <w:rFonts w:ascii="宋体" w:eastAsia="仿宋_GB2312" w:hAnsi="宋体" w:hint="eastAsia"/>
          <w:sz w:val="28"/>
          <w:lang w:eastAsia="zh-CN"/>
        </w:rPr>
        <w:t>相关项目</w:t>
      </w:r>
      <w:r>
        <w:rPr>
          <w:rFonts w:ascii="宋体" w:eastAsia="仿宋_GB2312" w:hAnsi="宋体" w:hint="eastAsia"/>
          <w:sz w:val="28"/>
        </w:rPr>
        <w:t>规划数据</w:t>
      </w:r>
    </w:p>
    <w:p>
      <w:pPr>
        <w:pStyle w:val="Normal0"/>
        <w:spacing w:line="360" w:lineRule="auto"/>
        <w:rPr>
          <w:rFonts w:ascii="仿宋_GB2312" w:eastAsia="仿宋_GB2312" w:hint="eastAsia"/>
          <w:sz w:val="28"/>
        </w:rPr>
      </w:pPr>
      <w:r>
        <w:rPr>
          <w:rFonts w:ascii="仿宋_GB2312" w:eastAsia="仿宋_GB2312" w:hint="eastAsia"/>
          <w:sz w:val="28"/>
        </w:rPr>
        <w:t>四、</w:t>
      </w:r>
      <w:r>
        <w:rPr>
          <w:rFonts w:ascii="仿宋_GB2312" w:eastAsia="仿宋_GB2312"/>
          <w:sz w:val="28"/>
        </w:rPr>
        <w:t xml:space="preserve"> </w:t>
      </w:r>
      <w:r>
        <w:rPr>
          <w:rFonts w:ascii="仿宋_GB2312" w:eastAsia="仿宋_GB2312" w:hint="eastAsia"/>
          <w:sz w:val="28"/>
          <w:lang w:eastAsia="zh-CN"/>
        </w:rPr>
        <w:t>相关项目</w:t>
      </w:r>
      <w:r>
        <w:rPr>
          <w:rFonts w:ascii="仿宋_GB2312" w:eastAsia="仿宋_GB2312" w:hint="eastAsia"/>
          <w:sz w:val="28"/>
        </w:rPr>
        <w:t>周边的社区配套</w:t>
      </w:r>
    </w:p>
    <w:p>
      <w:pPr>
        <w:pStyle w:val="Normal0"/>
        <w:spacing w:line="360" w:lineRule="auto"/>
        <w:ind w:firstLine="840" w:firstLineChars="300"/>
        <w:rPr>
          <w:rFonts w:ascii="仿宋_GB2312" w:eastAsia="仿宋_GB2312" w:hAnsi="宋体" w:hint="eastAsia"/>
          <w:sz w:val="28"/>
        </w:rPr>
      </w:pPr>
      <w:r>
        <w:rPr>
          <w:rFonts w:ascii="仿宋_GB2312" w:eastAsia="仿宋_GB2312" w:hAnsi="宋体" w:hint="eastAsia"/>
          <w:sz w:val="28"/>
        </w:rPr>
        <w:t>周边</w:t>
      </w:r>
      <w:r>
        <w:rPr>
          <w:rFonts w:ascii="仿宋_GB2312" w:eastAsia="仿宋_GB2312" w:hAnsi="宋体"/>
          <w:sz w:val="28"/>
        </w:rPr>
        <w:t>300</w:t>
      </w:r>
      <w:r>
        <w:rPr>
          <w:rFonts w:ascii="仿宋_GB2312" w:eastAsia="仿宋_GB2312" w:hAnsi="宋体" w:hint="eastAsia"/>
          <w:sz w:val="28"/>
        </w:rPr>
        <w:t>米范围内的社区配套</w:t>
      </w:r>
    </w:p>
    <w:p>
      <w:pPr>
        <w:pStyle w:val="Normal0"/>
        <w:spacing w:line="360" w:lineRule="auto"/>
        <w:rPr>
          <w:rFonts w:ascii="仿宋_GB2312" w:eastAsia="仿宋_GB2312" w:hAnsi="宋体" w:hint="eastAsia"/>
          <w:sz w:val="28"/>
        </w:rPr>
      </w:pPr>
      <w:r>
        <w:rPr>
          <w:rFonts w:ascii="仿宋_GB2312" w:eastAsia="仿宋_GB2312" w:hAnsi="宋体" w:hint="eastAsia"/>
          <w:sz w:val="28"/>
        </w:rPr>
        <w:t>五、</w:t>
      </w:r>
      <w:r>
        <w:rPr>
          <w:rFonts w:ascii="仿宋_GB2312" w:eastAsia="仿宋_GB2312" w:hAnsi="宋体"/>
          <w:sz w:val="28"/>
        </w:rPr>
        <w:t xml:space="preserve"> </w:t>
      </w:r>
      <w:r>
        <w:rPr>
          <w:rFonts w:ascii="仿宋_GB2312" w:eastAsia="仿宋_GB2312" w:hAnsi="宋体" w:hint="eastAsia"/>
          <w:sz w:val="28"/>
          <w:lang w:eastAsia="zh-CN"/>
        </w:rPr>
        <w:t>相关项目</w:t>
      </w:r>
      <w:r>
        <w:rPr>
          <w:rFonts w:ascii="仿宋_GB2312" w:eastAsia="仿宋_GB2312" w:hAnsi="宋体" w:hint="eastAsia"/>
          <w:sz w:val="28"/>
        </w:rPr>
        <w:t>周边环境</w:t>
      </w:r>
    </w:p>
    <w:p>
      <w:pPr>
        <w:pStyle w:val="Normal0"/>
        <w:spacing w:line="360" w:lineRule="auto"/>
        <w:rPr>
          <w:rFonts w:ascii="仿宋_GB2312" w:eastAsia="仿宋_GB2312" w:hAnsi="宋体"/>
          <w:sz w:val="28"/>
        </w:rPr>
      </w:pPr>
      <w:r>
        <w:rPr>
          <w:rFonts w:ascii="仿宋_GB2312" w:eastAsia="仿宋_GB2312" w:hAnsi="宋体" w:hint="eastAsia"/>
          <w:sz w:val="28"/>
        </w:rPr>
        <w:t>六、</w:t>
      </w:r>
      <w:r>
        <w:rPr>
          <w:rFonts w:ascii="仿宋_GB2312" w:eastAsia="仿宋_GB2312" w:hAnsi="宋体"/>
          <w:sz w:val="28"/>
        </w:rPr>
        <w:t xml:space="preserve"> </w:t>
      </w:r>
      <w:r>
        <w:rPr>
          <w:rFonts w:ascii="仿宋_GB2312" w:eastAsia="仿宋_GB2312" w:hAnsi="宋体" w:hint="eastAsia"/>
          <w:sz w:val="28"/>
        </w:rPr>
        <w:t>大市政配套</w:t>
      </w:r>
      <w:r>
        <w:rPr>
          <w:rFonts w:ascii="仿宋_GB2312" w:eastAsia="仿宋_GB2312" w:hAnsi="宋体"/>
          <w:sz w:val="28"/>
        </w:rPr>
        <w:t xml:space="preserve"> </w:t>
      </w:r>
    </w:p>
    <w:p>
      <w:pPr>
        <w:pStyle w:val="Normal0"/>
        <w:spacing w:line="360" w:lineRule="auto"/>
        <w:jc w:val="center"/>
        <w:rPr>
          <w:rFonts w:ascii="仿宋_GB2312" w:eastAsia="仿宋_GB2312" w:hAnsi="宋体" w:hint="eastAsia"/>
          <w:sz w:val="28"/>
        </w:rPr>
      </w:pPr>
      <w:r>
        <w:rPr>
          <w:rFonts w:ascii="仿宋_GB2312" w:eastAsia="仿宋_GB2312" w:hAnsi="宋体" w:hint="eastAsia"/>
          <w:b/>
          <w:bCs/>
          <w:sz w:val="32"/>
        </w:rPr>
        <w:t>贰、市场篇</w:t>
      </w:r>
    </w:p>
    <w:p>
      <w:pPr>
        <w:pStyle w:val="Normal0"/>
        <w:spacing w:line="360" w:lineRule="auto"/>
        <w:rPr>
          <w:rFonts w:ascii="仿宋_GB2312" w:eastAsia="仿宋_GB2312" w:hAnsi="宋体" w:hint="eastAsia"/>
          <w:sz w:val="28"/>
        </w:rPr>
      </w:pPr>
      <w:r>
        <w:rPr>
          <w:rFonts w:ascii="仿宋_GB2312" w:eastAsia="仿宋_GB2312" w:hAnsi="宋体" w:hint="eastAsia"/>
          <w:sz w:val="28"/>
        </w:rPr>
        <w:t xml:space="preserve">一、市经济环境的分析和生活结构研究 </w:t>
      </w:r>
    </w:p>
    <w:p>
      <w:pPr>
        <w:pStyle w:val="Normal0"/>
        <w:spacing w:line="360" w:lineRule="auto"/>
        <w:ind w:firstLine="560" w:firstLineChars="200"/>
        <w:rPr>
          <w:rFonts w:ascii="仿宋_GB2312" w:eastAsia="仿宋_GB2312" w:hAnsi="宋体" w:hint="eastAsia"/>
          <w:sz w:val="28"/>
        </w:rPr>
      </w:pPr>
      <w:r>
        <w:rPr>
          <w:rFonts w:ascii="仿宋_GB2312" w:eastAsia="仿宋_GB2312" w:hAnsi="宋体" w:hint="eastAsia"/>
          <w:sz w:val="28"/>
        </w:rPr>
        <w:t>总人口、家庭户数构成、收入水平、消费水平等</w:t>
      </w:r>
    </w:p>
    <w:p>
      <w:pPr>
        <w:pStyle w:val="Normal0"/>
        <w:spacing w:line="360" w:lineRule="auto"/>
        <w:ind w:firstLine="560" w:firstLineChars="200"/>
        <w:rPr>
          <w:rFonts w:ascii="仿宋_GB2312" w:eastAsia="仿宋_GB2312" w:hAnsi="宋体" w:hint="eastAsia"/>
          <w:sz w:val="28"/>
        </w:rPr>
      </w:pPr>
      <w:r>
        <w:rPr>
          <w:rFonts w:ascii="仿宋_GB2312" w:eastAsia="仿宋_GB2312" w:hAnsi="宋体" w:hint="eastAsia"/>
          <w:sz w:val="28"/>
        </w:rPr>
        <w:t xml:space="preserve">GDP发展状况及产业结构情况 </w:t>
      </w:r>
    </w:p>
    <w:p>
      <w:pPr>
        <w:pStyle w:val="Normal0"/>
        <w:spacing w:line="360" w:lineRule="auto"/>
        <w:ind w:firstLine="560" w:firstLineChars="200"/>
        <w:rPr>
          <w:rFonts w:ascii="仿宋_GB2312" w:eastAsia="仿宋_GB2312" w:hAnsi="宋体" w:hint="eastAsia"/>
          <w:sz w:val="28"/>
        </w:rPr>
      </w:pPr>
      <w:r>
        <w:rPr>
          <w:rFonts w:ascii="仿宋_GB2312" w:eastAsia="仿宋_GB2312" w:hAnsi="宋体" w:hint="eastAsia"/>
          <w:sz w:val="28"/>
        </w:rPr>
        <w:t xml:space="preserve">消费品零售总额 </w:t>
      </w:r>
    </w:p>
    <w:p>
      <w:pPr>
        <w:pStyle w:val="Normal0"/>
        <w:spacing w:line="360" w:lineRule="auto"/>
        <w:ind w:firstLine="560" w:firstLineChars="200"/>
        <w:rPr>
          <w:rFonts w:ascii="仿宋_GB2312" w:eastAsia="仿宋_GB2312" w:hAnsi="宋体" w:hint="eastAsia"/>
          <w:sz w:val="28"/>
        </w:rPr>
        <w:sectPr>
          <w:headerReference w:type="default" r:id="rId5"/>
          <w:footerReference w:type="default" r:id="rId6"/>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cols w:num="1" w:space="425"/>
          <w:docGrid w:type="lines" w:linePitch="312" w:charSpace="0"/>
        </w:sectPr>
      </w:pPr>
      <w:r>
        <w:rPr>
          <w:rFonts w:ascii="仿宋_GB2312" w:eastAsia="仿宋_GB2312" w:hAnsi="宋体" w:hint="eastAsia"/>
          <w:sz w:val="28"/>
        </w:rPr>
        <w:t xml:space="preserve">城乡居民的人均可支配收入 </w:t>
      </w:r>
    </w:p>
    <w:p>
      <w:pPr>
        <w:pStyle w:val="Normal0"/>
        <w:spacing w:line="360" w:lineRule="auto"/>
        <w:ind w:firstLine="560" w:firstLineChars="200"/>
        <w:rPr>
          <w:rFonts w:ascii="仿宋_GB2312" w:eastAsia="仿宋_GB2312" w:hAnsi="宋体" w:hint="eastAsia"/>
          <w:sz w:val="28"/>
        </w:rPr>
      </w:pPr>
      <w:r>
        <w:rPr>
          <w:rFonts w:ascii="仿宋_GB2312" w:eastAsia="仿宋_GB2312" w:hAnsi="宋体" w:hint="eastAsia"/>
          <w:sz w:val="28"/>
        </w:rPr>
        <w:t xml:space="preserve">城乡居民储蓄存款余额 </w:t>
      </w:r>
    </w:p>
    <w:p>
      <w:pPr>
        <w:pStyle w:val="Normal0"/>
        <w:spacing w:line="360" w:lineRule="auto"/>
        <w:rPr>
          <w:rFonts w:ascii="仿宋_GB2312" w:eastAsia="仿宋_GB2312" w:hAnsi="宋体" w:hint="eastAsia"/>
          <w:sz w:val="28"/>
        </w:rPr>
      </w:pPr>
      <w:r>
        <w:rPr>
          <w:rFonts w:ascii="仿宋_GB2312" w:eastAsia="仿宋_GB2312" w:hAnsi="宋体" w:hint="eastAsia"/>
          <w:sz w:val="28"/>
        </w:rPr>
        <w:t xml:space="preserve">二、区域结构调查与城市发展规划调查 </w:t>
      </w:r>
    </w:p>
    <w:p>
      <w:pPr>
        <w:pStyle w:val="Normal0"/>
        <w:spacing w:line="360" w:lineRule="auto"/>
        <w:ind w:firstLine="560" w:firstLineChars="200"/>
        <w:rPr>
          <w:rFonts w:ascii="仿宋_GB2312" w:eastAsia="仿宋_GB2312" w:hAnsi="宋体" w:hint="eastAsia"/>
          <w:sz w:val="28"/>
        </w:rPr>
      </w:pPr>
      <w:r>
        <w:rPr>
          <w:rFonts w:ascii="仿宋_GB2312" w:eastAsia="仿宋_GB2312" w:hAnsi="宋体" w:hint="eastAsia"/>
          <w:sz w:val="28"/>
        </w:rPr>
        <w:t xml:space="preserve">道路状况、通行量 </w:t>
      </w:r>
    </w:p>
    <w:p>
      <w:pPr>
        <w:pStyle w:val="Normal0"/>
        <w:spacing w:line="360" w:lineRule="auto"/>
        <w:ind w:firstLine="560" w:firstLineChars="200"/>
        <w:rPr>
          <w:rFonts w:ascii="仿宋_GB2312" w:eastAsia="仿宋_GB2312" w:hAnsi="宋体" w:hint="eastAsia"/>
          <w:sz w:val="28"/>
        </w:rPr>
      </w:pPr>
      <w:r>
        <w:rPr>
          <w:rFonts w:ascii="仿宋_GB2312" w:eastAsia="仿宋_GB2312" w:hAnsi="宋体" w:hint="eastAsia"/>
          <w:sz w:val="28"/>
        </w:rPr>
        <w:t xml:space="preserve">区域性质与功能特点 </w:t>
      </w:r>
    </w:p>
    <w:p>
      <w:pPr>
        <w:pStyle w:val="Normal0"/>
        <w:spacing w:line="360" w:lineRule="auto"/>
        <w:ind w:firstLine="560" w:firstLineChars="200"/>
        <w:rPr>
          <w:rFonts w:ascii="仿宋_GB2312" w:eastAsia="仿宋_GB2312" w:hAnsi="宋体" w:hint="eastAsia"/>
          <w:sz w:val="28"/>
        </w:rPr>
      </w:pPr>
      <w:r>
        <w:rPr>
          <w:rFonts w:ascii="仿宋_GB2312" w:eastAsia="仿宋_GB2312" w:hAnsi="宋体" w:hint="eastAsia"/>
          <w:sz w:val="28"/>
        </w:rPr>
        <w:t xml:space="preserve">各项城区的机能 </w:t>
      </w:r>
    </w:p>
    <w:p>
      <w:pPr>
        <w:pStyle w:val="Normal0"/>
        <w:spacing w:line="360" w:lineRule="auto"/>
        <w:ind w:firstLine="560" w:firstLineChars="200"/>
        <w:rPr>
          <w:rFonts w:ascii="仿宋_GB2312" w:eastAsia="仿宋_GB2312" w:hAnsi="宋体" w:hint="eastAsia"/>
          <w:sz w:val="28"/>
        </w:rPr>
      </w:pPr>
      <w:r>
        <w:rPr>
          <w:rFonts w:ascii="仿宋_GB2312" w:eastAsia="仿宋_GB2312" w:hAnsi="宋体" w:hint="eastAsia"/>
          <w:sz w:val="28"/>
        </w:rPr>
        <w:t xml:space="preserve">城市规划 </w:t>
      </w:r>
    </w:p>
    <w:p>
      <w:pPr>
        <w:pStyle w:val="Normal0"/>
        <w:spacing w:line="360" w:lineRule="auto"/>
        <w:rPr>
          <w:rFonts w:ascii="仿宋_GB2312" w:eastAsia="仿宋_GB2312" w:hAnsi="宋体" w:hint="eastAsia"/>
          <w:sz w:val="28"/>
        </w:rPr>
      </w:pPr>
      <w:r>
        <w:rPr>
          <w:rFonts w:ascii="仿宋_GB2312" w:eastAsia="仿宋_GB2312" w:hAnsi="宋体" w:hint="eastAsia"/>
          <w:sz w:val="28"/>
        </w:rPr>
        <w:t>三、</w:t>
      </w:r>
      <w:r>
        <w:rPr>
          <w:rFonts w:ascii="仿宋_GB2312" w:eastAsia="仿宋_GB2312" w:hAnsi="宋体" w:hint="eastAsia"/>
          <w:sz w:val="28"/>
          <w:lang w:eastAsia="zh-CN"/>
        </w:rPr>
        <w:t>相关项目</w:t>
      </w:r>
      <w:r>
        <w:rPr>
          <w:rFonts w:ascii="仿宋_GB2312" w:eastAsia="仿宋_GB2312" w:hAnsi="宋体" w:hint="eastAsia"/>
          <w:sz w:val="28"/>
        </w:rPr>
        <w:t>立地条件研究</w:t>
      </w:r>
    </w:p>
    <w:p>
      <w:pPr>
        <w:pStyle w:val="Normal0"/>
        <w:tabs>
          <w:tab w:val="left" w:pos="360"/>
        </w:tabs>
        <w:spacing w:line="360" w:lineRule="auto"/>
        <w:rPr>
          <w:rFonts w:ascii="仿宋_GB2312" w:eastAsia="仿宋_GB2312" w:hAnsi="宋体" w:hint="eastAsia"/>
          <w:sz w:val="28"/>
        </w:rPr>
      </w:pPr>
      <w:r>
        <w:rPr>
          <w:rFonts w:ascii="仿宋_GB2312" w:eastAsia="仿宋_GB2312" w:hAnsi="宋体" w:hint="eastAsia"/>
          <w:sz w:val="28"/>
        </w:rPr>
        <w:t>顾客是否容易达到商业区</w:t>
      </w:r>
    </w:p>
    <w:p>
      <w:pPr>
        <w:pStyle w:val="Normal0"/>
        <w:tabs>
          <w:tab w:val="left" w:pos="360"/>
        </w:tabs>
        <w:spacing w:line="360" w:lineRule="auto"/>
        <w:rPr>
          <w:rFonts w:ascii="仿宋_GB2312" w:eastAsia="仿宋_GB2312" w:hAnsi="宋体" w:hint="eastAsia"/>
          <w:sz w:val="28"/>
        </w:rPr>
      </w:pPr>
      <w:r>
        <w:rPr>
          <w:rFonts w:ascii="仿宋_GB2312" w:eastAsia="仿宋_GB2312" w:hAnsi="宋体" w:hint="eastAsia"/>
          <w:sz w:val="28"/>
        </w:rPr>
        <w:t>周边环境和公建设施</w:t>
      </w:r>
    </w:p>
    <w:p>
      <w:pPr>
        <w:pStyle w:val="Normal0"/>
        <w:tabs>
          <w:tab w:val="left" w:pos="360"/>
        </w:tabs>
        <w:spacing w:line="360" w:lineRule="auto"/>
        <w:rPr>
          <w:rFonts w:ascii="仿宋_GB2312" w:eastAsia="仿宋_GB2312" w:hAnsi="宋体" w:hint="eastAsia"/>
          <w:sz w:val="28"/>
        </w:rPr>
      </w:pPr>
      <w:r>
        <w:rPr>
          <w:rFonts w:ascii="仿宋_GB2312" w:eastAsia="仿宋_GB2312" w:hAnsi="宋体" w:hint="eastAsia"/>
          <w:sz w:val="28"/>
          <w:lang w:eastAsia="zh-CN"/>
        </w:rPr>
        <w:t>相关项目</w:t>
      </w:r>
      <w:r>
        <w:rPr>
          <w:rFonts w:ascii="仿宋_GB2312" w:eastAsia="仿宋_GB2312" w:hAnsi="宋体" w:hint="eastAsia"/>
          <w:sz w:val="28"/>
        </w:rPr>
        <w:t xml:space="preserve">SWOT分析 </w:t>
      </w:r>
    </w:p>
    <w:p>
      <w:pPr>
        <w:pStyle w:val="Normal0"/>
        <w:spacing w:line="360" w:lineRule="auto"/>
        <w:jc w:val="center"/>
        <w:rPr>
          <w:rStyle w:val="font11"/>
          <w:rFonts w:ascii="仿宋_GB2312" w:eastAsia="仿宋_GB2312" w:hint="eastAsia"/>
          <w:b/>
          <w:bCs/>
          <w:sz w:val="32"/>
        </w:rPr>
      </w:pPr>
      <w:r>
        <w:rPr>
          <w:rStyle w:val="font11"/>
          <w:rFonts w:ascii="仿宋_GB2312" w:eastAsia="仿宋_GB2312" w:hint="eastAsia"/>
          <w:b/>
          <w:bCs/>
          <w:sz w:val="32"/>
        </w:rPr>
        <w:t>叁、经济分析篇（略）</w:t>
      </w:r>
    </w:p>
    <w:p>
      <w:pPr>
        <w:pStyle w:val="Normal0"/>
        <w:spacing w:line="360" w:lineRule="auto"/>
        <w:rPr>
          <w:rFonts w:ascii="仿宋_GB2312" w:eastAsia="仿宋_GB2312" w:hAnsi="宋体" w:hint="eastAsia"/>
          <w:sz w:val="28"/>
        </w:rPr>
      </w:pPr>
      <w:r>
        <w:rPr>
          <w:rFonts w:ascii="仿宋_GB2312" w:eastAsia="仿宋_GB2312" w:hAnsi="宋体" w:hint="eastAsia"/>
          <w:sz w:val="28"/>
        </w:rPr>
        <w:t>一、</w:t>
      </w:r>
      <w:r>
        <w:rPr>
          <w:rFonts w:ascii="仿宋_GB2312" w:eastAsia="仿宋_GB2312" w:hAnsi="宋体" w:hint="eastAsia"/>
          <w:sz w:val="28"/>
          <w:lang w:eastAsia="zh-CN"/>
        </w:rPr>
        <w:t>相关项目</w:t>
      </w:r>
      <w:r>
        <w:rPr>
          <w:rFonts w:ascii="仿宋_GB2312" w:eastAsia="仿宋_GB2312" w:hAnsi="宋体" w:hint="eastAsia"/>
          <w:sz w:val="28"/>
        </w:rPr>
        <w:t>投资估算（开发商已定：略）</w:t>
      </w:r>
    </w:p>
    <w:p>
      <w:pPr>
        <w:pStyle w:val="Normal0"/>
        <w:spacing w:line="360" w:lineRule="auto"/>
        <w:rPr>
          <w:rFonts w:ascii="仿宋_GB2312" w:eastAsia="仿宋_GB2312" w:hAnsi="宋体" w:hint="eastAsia"/>
          <w:sz w:val="28"/>
        </w:rPr>
      </w:pPr>
      <w:r>
        <w:rPr>
          <w:rFonts w:ascii="仿宋_GB2312" w:eastAsia="仿宋_GB2312" w:hAnsi="宋体" w:hint="eastAsia"/>
          <w:sz w:val="28"/>
        </w:rPr>
        <w:t>二、</w:t>
      </w:r>
      <w:r>
        <w:rPr>
          <w:rFonts w:ascii="仿宋_GB2312" w:eastAsia="仿宋_GB2312" w:hAnsi="宋体" w:hint="eastAsia"/>
          <w:sz w:val="28"/>
          <w:lang w:eastAsia="zh-CN"/>
        </w:rPr>
        <w:t>相关项目</w:t>
      </w:r>
      <w:r>
        <w:rPr>
          <w:rFonts w:ascii="仿宋_GB2312" w:eastAsia="仿宋_GB2312" w:hAnsi="宋体" w:hint="eastAsia"/>
          <w:sz w:val="28"/>
        </w:rPr>
        <w:t>财务评定（开发商已定：略）</w:t>
      </w:r>
    </w:p>
    <w:p>
      <w:pPr>
        <w:pStyle w:val="Normal0"/>
        <w:spacing w:line="360" w:lineRule="auto"/>
        <w:rPr>
          <w:rFonts w:ascii="仿宋_GB2312" w:eastAsia="仿宋_GB2312" w:hAnsi="宋体" w:hint="eastAsia"/>
          <w:sz w:val="28"/>
        </w:rPr>
      </w:pPr>
      <w:r>
        <w:rPr>
          <w:rFonts w:ascii="仿宋_GB2312" w:eastAsia="仿宋_GB2312" w:hAnsi="宋体" w:hint="eastAsia"/>
          <w:sz w:val="28"/>
        </w:rPr>
        <w:t>三、</w:t>
      </w:r>
      <w:r>
        <w:rPr>
          <w:rFonts w:ascii="仿宋_GB2312" w:eastAsia="仿宋_GB2312" w:hAnsi="宋体" w:hint="eastAsia"/>
          <w:sz w:val="28"/>
          <w:lang w:eastAsia="zh-CN"/>
        </w:rPr>
        <w:t>相关项目</w:t>
      </w:r>
      <w:r>
        <w:rPr>
          <w:rFonts w:ascii="仿宋_GB2312" w:eastAsia="仿宋_GB2312" w:hAnsi="宋体" w:hint="eastAsia"/>
          <w:sz w:val="28"/>
        </w:rPr>
        <w:t>敏感性分析（开发商已定：略）</w:t>
      </w:r>
    </w:p>
    <w:p>
      <w:pPr>
        <w:pStyle w:val="Normal0"/>
        <w:tabs>
          <w:tab w:val="left" w:pos="360"/>
        </w:tabs>
        <w:spacing w:line="360" w:lineRule="auto"/>
        <w:rPr>
          <w:rFonts w:ascii="仿宋_GB2312" w:eastAsia="仿宋_GB2312" w:hAnsi="宋体" w:hint="eastAsia"/>
          <w:sz w:val="28"/>
        </w:rPr>
      </w:pPr>
      <w:r>
        <w:rPr>
          <w:rFonts w:ascii="仿宋_GB2312" w:eastAsia="仿宋_GB2312" w:hAnsi="宋体" w:hint="eastAsia"/>
          <w:sz w:val="28"/>
        </w:rPr>
        <w:t>盈亏平衡点分析</w:t>
      </w:r>
    </w:p>
    <w:p>
      <w:pPr>
        <w:pStyle w:val="Normal0"/>
        <w:tabs>
          <w:tab w:val="left" w:pos="360"/>
        </w:tabs>
        <w:spacing w:line="360" w:lineRule="auto"/>
        <w:rPr>
          <w:rFonts w:ascii="仿宋_GB2312" w:eastAsia="仿宋_GB2312" w:hint="eastAsia"/>
          <w:sz w:val="28"/>
          <w:szCs w:val="18"/>
        </w:rPr>
      </w:pPr>
      <w:r>
        <w:rPr>
          <w:rFonts w:ascii="仿宋_GB2312" w:eastAsia="仿宋_GB2312" w:hAnsi="宋体" w:hint="eastAsia"/>
          <w:sz w:val="28"/>
        </w:rPr>
        <w:t>成本变动对利润的影响</w:t>
      </w:r>
    </w:p>
    <w:p>
      <w:pPr>
        <w:pStyle w:val="Normal0"/>
        <w:tabs>
          <w:tab w:val="left" w:pos="360"/>
        </w:tabs>
        <w:spacing w:line="360" w:lineRule="auto"/>
        <w:rPr>
          <w:rStyle w:val="font11"/>
          <w:rFonts w:ascii="仿宋_GB2312" w:eastAsia="仿宋_GB2312" w:hint="eastAsia"/>
          <w:sz w:val="28"/>
        </w:rPr>
      </w:pPr>
      <w:r>
        <w:rPr>
          <w:rFonts w:ascii="仿宋_GB2312" w:eastAsia="仿宋_GB2312" w:hAnsi="宋体" w:hint="eastAsia"/>
          <w:sz w:val="28"/>
        </w:rPr>
        <w:t>销售价格变动对利润的影响</w:t>
      </w:r>
    </w:p>
    <w:p>
      <w:pPr>
        <w:pStyle w:val="Normal0"/>
        <w:spacing w:line="360" w:lineRule="auto"/>
        <w:jc w:val="center"/>
        <w:rPr>
          <w:rFonts w:hint="eastAsia"/>
        </w:rPr>
      </w:pPr>
      <w:r>
        <w:rPr>
          <w:rStyle w:val="font11"/>
          <w:rFonts w:ascii="仿宋_GB2312" w:eastAsia="仿宋_GB2312" w:hint="eastAsia"/>
          <w:b/>
          <w:bCs/>
          <w:sz w:val="32"/>
        </w:rPr>
        <w:t>肆、</w:t>
      </w:r>
      <w:r>
        <w:rPr>
          <w:rStyle w:val="font11"/>
          <w:rFonts w:ascii="仿宋_GB2312" w:eastAsia="仿宋_GB2312" w:hint="eastAsia"/>
          <w:b/>
          <w:bCs/>
          <w:sz w:val="32"/>
          <w:lang w:eastAsia="zh-CN"/>
        </w:rPr>
        <w:t>相关项目</w:t>
      </w:r>
      <w:r>
        <w:rPr>
          <w:rStyle w:val="font11"/>
          <w:rFonts w:ascii="仿宋_GB2312" w:eastAsia="仿宋_GB2312" w:hint="eastAsia"/>
          <w:b/>
          <w:bCs/>
          <w:sz w:val="32"/>
        </w:rPr>
        <w:t>定位篇</w:t>
      </w:r>
    </w:p>
    <w:p>
      <w:pPr>
        <w:pStyle w:val="Normal0"/>
        <w:spacing w:line="360" w:lineRule="auto"/>
        <w:rPr>
          <w:rFonts w:ascii="仿宋_GB2312" w:eastAsia="仿宋_GB2312" w:hint="eastAsia"/>
          <w:sz w:val="28"/>
        </w:rPr>
      </w:pPr>
      <w:r>
        <w:rPr>
          <w:rFonts w:ascii="仿宋_GB2312" w:eastAsia="仿宋_GB2312" w:hint="eastAsia"/>
          <w:sz w:val="28"/>
        </w:rPr>
        <w:t>一、</w:t>
      </w:r>
      <w:r>
        <w:rPr>
          <w:rFonts w:ascii="仿宋_GB2312" w:eastAsia="仿宋_GB2312" w:hint="eastAsia"/>
          <w:sz w:val="28"/>
          <w:lang w:eastAsia="zh-CN"/>
        </w:rPr>
        <w:t>相关项目</w:t>
      </w:r>
      <w:r>
        <w:rPr>
          <w:rFonts w:ascii="仿宋_GB2312" w:eastAsia="仿宋_GB2312" w:hint="eastAsia"/>
          <w:sz w:val="28"/>
        </w:rPr>
        <w:t>的市场定位</w:t>
      </w:r>
    </w:p>
    <w:p>
      <w:pPr>
        <w:pStyle w:val="Normal0"/>
        <w:spacing w:line="360" w:lineRule="auto"/>
        <w:ind w:firstLine="840" w:firstLineChars="300"/>
        <w:rPr>
          <w:rFonts w:ascii="仿宋_GB2312" w:eastAsia="仿宋_GB2312" w:hint="eastAsia"/>
          <w:sz w:val="28"/>
        </w:rPr>
      </w:pPr>
      <w:r>
        <w:rPr>
          <w:rFonts w:ascii="仿宋_GB2312" w:eastAsia="仿宋_GB2312" w:hint="eastAsia"/>
          <w:sz w:val="28"/>
        </w:rPr>
        <w:t>形象定位</w:t>
      </w:r>
    </w:p>
    <w:p>
      <w:pPr>
        <w:pStyle w:val="Normal0"/>
        <w:spacing w:line="360" w:lineRule="auto"/>
        <w:rPr>
          <w:rFonts w:ascii="仿宋_GB2312" w:eastAsia="仿宋_GB2312" w:hint="eastAsia"/>
          <w:sz w:val="28"/>
        </w:rPr>
        <w:sectPr>
          <w:headerReference w:type="default" r:id="rId7"/>
          <w:footerReference w:type="default" r:id="rId8"/>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
          <w:cols w:num="1" w:space="425"/>
          <w:titlePg w:val="0"/>
          <w:docGrid w:type="lines" w:linePitch="312" w:charSpace="0"/>
        </w:sectPr>
      </w:pPr>
      <w:r>
        <w:rPr>
          <w:rFonts w:ascii="仿宋_GB2312" w:eastAsia="仿宋_GB2312" w:hint="eastAsia"/>
          <w:sz w:val="28"/>
        </w:rPr>
        <w:t>二、目标客户定位</w:t>
      </w:r>
    </w:p>
    <w:p>
      <w:pPr>
        <w:pStyle w:val="Normal0"/>
        <w:spacing w:line="360" w:lineRule="auto"/>
        <w:ind w:firstLine="840" w:firstLineChars="300"/>
        <w:rPr>
          <w:rFonts w:ascii="仿宋_GB2312" w:eastAsia="仿宋_GB2312" w:hint="eastAsia"/>
          <w:sz w:val="28"/>
        </w:rPr>
      </w:pPr>
      <w:r>
        <w:rPr>
          <w:rFonts w:ascii="仿宋_GB2312" w:eastAsia="仿宋_GB2312" w:hint="eastAsia"/>
          <w:sz w:val="28"/>
        </w:rPr>
        <w:t>购买商铺的目标群分析</w:t>
      </w:r>
    </w:p>
    <w:p>
      <w:pPr>
        <w:pStyle w:val="Normal0"/>
        <w:spacing w:line="360" w:lineRule="auto"/>
        <w:rPr>
          <w:rFonts w:ascii="仿宋_GB2312" w:eastAsia="仿宋_GB2312" w:hint="eastAsia"/>
          <w:sz w:val="28"/>
        </w:rPr>
      </w:pPr>
      <w:r>
        <w:rPr>
          <w:rFonts w:ascii="仿宋_GB2312" w:eastAsia="仿宋_GB2312" w:hint="eastAsia"/>
          <w:sz w:val="28"/>
        </w:rPr>
        <w:t>三、商铺的目标消费群定位及分析</w:t>
      </w:r>
    </w:p>
    <w:p>
      <w:pPr>
        <w:pStyle w:val="Normal0"/>
        <w:spacing w:line="360" w:lineRule="auto"/>
        <w:rPr>
          <w:rFonts w:ascii="仿宋_GB2312" w:eastAsia="仿宋_GB2312" w:hint="eastAsia"/>
          <w:sz w:val="28"/>
        </w:rPr>
      </w:pPr>
      <w:r>
        <w:rPr>
          <w:rFonts w:ascii="仿宋_GB2312" w:eastAsia="仿宋_GB2312" w:hint="eastAsia"/>
          <w:sz w:val="28"/>
        </w:rPr>
        <w:t>四、商铺的经营</w:t>
      </w:r>
      <w:r>
        <w:rPr>
          <w:rFonts w:ascii="仿宋_GB2312" w:eastAsia="仿宋_GB2312" w:hint="eastAsia"/>
          <w:sz w:val="28"/>
          <w:lang w:eastAsia="zh-CN"/>
        </w:rPr>
        <w:t>相关项目</w:t>
      </w:r>
      <w:r>
        <w:rPr>
          <w:rFonts w:ascii="仿宋_GB2312" w:eastAsia="仿宋_GB2312" w:hint="eastAsia"/>
          <w:sz w:val="28"/>
        </w:rPr>
        <w:t>定位及功能定位</w:t>
      </w:r>
    </w:p>
    <w:p>
      <w:pPr>
        <w:pStyle w:val="Normal0"/>
        <w:spacing w:line="360" w:lineRule="auto"/>
        <w:ind w:firstLine="840" w:firstLineChars="300"/>
        <w:rPr>
          <w:rFonts w:ascii="仿宋_GB2312" w:eastAsia="仿宋_GB2312" w:hint="eastAsia"/>
          <w:sz w:val="28"/>
        </w:rPr>
      </w:pPr>
      <w:r>
        <w:rPr>
          <w:rFonts w:ascii="仿宋_GB2312" w:eastAsia="仿宋_GB2312" w:hint="eastAsia"/>
          <w:sz w:val="28"/>
        </w:rPr>
        <w:t>经营</w:t>
      </w:r>
      <w:r>
        <w:rPr>
          <w:rFonts w:ascii="仿宋_GB2312" w:eastAsia="仿宋_GB2312" w:hint="eastAsia"/>
          <w:sz w:val="28"/>
          <w:lang w:eastAsia="zh-CN"/>
        </w:rPr>
        <w:t>相关项目</w:t>
      </w:r>
      <w:r>
        <w:rPr>
          <w:rFonts w:ascii="仿宋_GB2312" w:eastAsia="仿宋_GB2312" w:hint="eastAsia"/>
          <w:sz w:val="28"/>
        </w:rPr>
        <w:t>定位</w:t>
      </w:r>
    </w:p>
    <w:p>
      <w:pPr>
        <w:pStyle w:val="Normal0"/>
        <w:spacing w:line="360" w:lineRule="auto"/>
        <w:rPr>
          <w:rFonts w:ascii="仿宋_GB2312" w:eastAsia="仿宋_GB2312" w:hint="eastAsia"/>
          <w:sz w:val="28"/>
        </w:rPr>
      </w:pPr>
      <w:r>
        <w:rPr>
          <w:rFonts w:ascii="仿宋_GB2312" w:eastAsia="仿宋_GB2312" w:hint="eastAsia"/>
          <w:sz w:val="28"/>
        </w:rPr>
        <w:t>五、商铺特色定位</w:t>
      </w:r>
    </w:p>
    <w:p>
      <w:pPr>
        <w:pStyle w:val="Normal0"/>
        <w:spacing w:line="360" w:lineRule="auto"/>
        <w:jc w:val="center"/>
        <w:rPr>
          <w:rFonts w:ascii="仿宋_GB2312" w:eastAsia="仿宋_GB2312" w:hint="eastAsia"/>
          <w:b/>
          <w:bCs/>
          <w:sz w:val="32"/>
        </w:rPr>
      </w:pPr>
      <w:r>
        <w:rPr>
          <w:rFonts w:ascii="仿宋_GB2312" w:eastAsia="仿宋_GB2312" w:hint="eastAsia"/>
          <w:b/>
          <w:bCs/>
          <w:sz w:val="32"/>
        </w:rPr>
        <w:t>伍、</w:t>
      </w:r>
      <w:r>
        <w:rPr>
          <w:rFonts w:ascii="仿宋_GB2312" w:eastAsia="仿宋_GB2312" w:hint="eastAsia"/>
          <w:b/>
          <w:bCs/>
          <w:sz w:val="32"/>
          <w:lang w:eastAsia="zh-CN"/>
        </w:rPr>
        <w:t>相关项目</w:t>
      </w:r>
      <w:r>
        <w:rPr>
          <w:rFonts w:ascii="仿宋_GB2312" w:eastAsia="仿宋_GB2312" w:hint="eastAsia"/>
          <w:b/>
          <w:bCs/>
          <w:sz w:val="32"/>
        </w:rPr>
        <w:t>建议篇</w:t>
      </w:r>
    </w:p>
    <w:p>
      <w:pPr>
        <w:pStyle w:val="Normal0"/>
        <w:spacing w:line="360" w:lineRule="auto"/>
        <w:rPr>
          <w:rFonts w:ascii="仿宋_GB2312" w:eastAsia="仿宋_GB2312" w:hint="eastAsia"/>
          <w:sz w:val="28"/>
        </w:rPr>
      </w:pPr>
      <w:r>
        <w:rPr>
          <w:rFonts w:ascii="仿宋_GB2312" w:eastAsia="仿宋_GB2312" w:hint="eastAsia"/>
          <w:sz w:val="28"/>
        </w:rPr>
        <w:t>一、整体规划设计</w:t>
      </w:r>
      <w:r>
        <w:rPr>
          <w:rFonts w:ascii="仿宋_GB2312" w:eastAsia="仿宋_GB2312" w:hint="eastAsia"/>
          <w:sz w:val="28"/>
          <w:lang w:eastAsia="zh-CN"/>
        </w:rPr>
        <w:t>合适的方案</w:t>
      </w:r>
      <w:r>
        <w:rPr>
          <w:rFonts w:ascii="仿宋_GB2312" w:eastAsia="仿宋_GB2312" w:hint="eastAsia"/>
          <w:sz w:val="28"/>
        </w:rPr>
        <w:t>描述</w:t>
      </w:r>
    </w:p>
    <w:p>
      <w:pPr>
        <w:pStyle w:val="Normal0"/>
        <w:spacing w:line="360" w:lineRule="auto"/>
        <w:rPr>
          <w:rFonts w:ascii="仿宋_GB2312" w:eastAsia="仿宋_GB2312" w:hint="eastAsia"/>
          <w:sz w:val="28"/>
        </w:rPr>
      </w:pPr>
      <w:r>
        <w:rPr>
          <w:rFonts w:ascii="仿宋_GB2312" w:eastAsia="仿宋_GB2312" w:hint="eastAsia"/>
          <w:sz w:val="28"/>
        </w:rPr>
        <w:t>二、外立面效果设计</w:t>
      </w:r>
      <w:r>
        <w:rPr>
          <w:rFonts w:ascii="仿宋_GB2312" w:eastAsia="仿宋_GB2312" w:hint="eastAsia"/>
          <w:sz w:val="28"/>
          <w:lang w:eastAsia="zh-CN"/>
        </w:rPr>
        <w:t>合适的方案</w:t>
      </w:r>
      <w:r>
        <w:rPr>
          <w:rFonts w:ascii="仿宋_GB2312" w:eastAsia="仿宋_GB2312" w:hint="eastAsia"/>
          <w:sz w:val="28"/>
        </w:rPr>
        <w:t>建议</w:t>
      </w:r>
    </w:p>
    <w:p>
      <w:pPr>
        <w:pStyle w:val="Normal0"/>
        <w:spacing w:line="360" w:lineRule="auto"/>
        <w:rPr>
          <w:rFonts w:ascii="仿宋_GB2312" w:eastAsia="仿宋_GB2312" w:hint="eastAsia"/>
          <w:sz w:val="28"/>
        </w:rPr>
      </w:pPr>
      <w:r>
        <w:rPr>
          <w:rFonts w:ascii="仿宋_GB2312" w:eastAsia="仿宋_GB2312" w:hint="eastAsia"/>
          <w:sz w:val="28"/>
        </w:rPr>
        <w:t>三、商铺结构与内部分割</w:t>
      </w:r>
      <w:r>
        <w:rPr>
          <w:rFonts w:ascii="仿宋_GB2312" w:eastAsia="仿宋_GB2312" w:hint="eastAsia"/>
          <w:sz w:val="28"/>
          <w:lang w:eastAsia="zh-CN"/>
        </w:rPr>
        <w:t>合适的方案</w:t>
      </w:r>
      <w:r>
        <w:rPr>
          <w:rFonts w:ascii="仿宋_GB2312" w:eastAsia="仿宋_GB2312" w:hint="eastAsia"/>
          <w:sz w:val="28"/>
        </w:rPr>
        <w:t>建议（已定：略）</w:t>
      </w:r>
    </w:p>
    <w:p>
      <w:pPr>
        <w:pStyle w:val="Normal0"/>
        <w:spacing w:line="360" w:lineRule="auto"/>
        <w:rPr>
          <w:rFonts w:ascii="仿宋_GB2312" w:eastAsia="仿宋_GB2312" w:hint="eastAsia"/>
          <w:sz w:val="28"/>
        </w:rPr>
      </w:pPr>
      <w:r>
        <w:rPr>
          <w:rFonts w:ascii="仿宋_GB2312" w:eastAsia="仿宋_GB2312" w:hint="eastAsia"/>
          <w:sz w:val="28"/>
        </w:rPr>
        <w:t>四、</w:t>
      </w:r>
      <w:r>
        <w:rPr>
          <w:rFonts w:ascii="仿宋_GB2312" w:eastAsia="仿宋_GB2312" w:hint="eastAsia"/>
          <w:sz w:val="28"/>
          <w:lang w:eastAsia="zh-CN"/>
        </w:rPr>
        <w:t>相关项目</w:t>
      </w:r>
      <w:r>
        <w:rPr>
          <w:rFonts w:ascii="仿宋_GB2312" w:eastAsia="仿宋_GB2312" w:hint="eastAsia"/>
          <w:sz w:val="28"/>
        </w:rPr>
        <w:t>景观设计</w:t>
      </w:r>
      <w:r>
        <w:rPr>
          <w:rFonts w:ascii="仿宋_GB2312" w:eastAsia="仿宋_GB2312" w:hint="eastAsia"/>
          <w:sz w:val="28"/>
          <w:lang w:eastAsia="zh-CN"/>
        </w:rPr>
        <w:t>合适的方案</w:t>
      </w:r>
      <w:r>
        <w:rPr>
          <w:rFonts w:ascii="仿宋_GB2312" w:eastAsia="仿宋_GB2312" w:hint="eastAsia"/>
          <w:sz w:val="28"/>
        </w:rPr>
        <w:t>建议</w:t>
      </w:r>
    </w:p>
    <w:p>
      <w:pPr>
        <w:pStyle w:val="Normal0"/>
        <w:spacing w:line="360" w:lineRule="auto"/>
        <w:jc w:val="center"/>
        <w:rPr>
          <w:rFonts w:ascii="仿宋_GB2312" w:eastAsia="仿宋_GB2312" w:hint="eastAsia"/>
          <w:b/>
          <w:bCs/>
          <w:sz w:val="32"/>
        </w:rPr>
      </w:pPr>
      <w:r>
        <w:rPr>
          <w:rFonts w:ascii="仿宋_GB2312" w:eastAsia="仿宋_GB2312" w:hint="eastAsia"/>
          <w:b/>
          <w:bCs/>
          <w:sz w:val="32"/>
        </w:rPr>
        <w:t>陆、</w:t>
      </w:r>
      <w:r>
        <w:rPr>
          <w:rFonts w:ascii="仿宋_GB2312" w:eastAsia="仿宋_GB2312" w:hint="eastAsia"/>
          <w:b/>
          <w:bCs/>
          <w:sz w:val="32"/>
          <w:lang w:eastAsia="zh-CN"/>
        </w:rPr>
        <w:t>相关项目</w:t>
      </w:r>
      <w:r>
        <w:rPr>
          <w:rFonts w:ascii="仿宋_GB2312" w:eastAsia="仿宋_GB2312" w:hint="eastAsia"/>
          <w:b/>
          <w:bCs/>
          <w:sz w:val="32"/>
        </w:rPr>
        <w:t>营销策划篇</w:t>
      </w:r>
    </w:p>
    <w:p>
      <w:pPr>
        <w:pStyle w:val="Normal0"/>
        <w:spacing w:line="360" w:lineRule="auto"/>
        <w:rPr>
          <w:rFonts w:ascii="仿宋_GB2312" w:eastAsia="仿宋_GB2312" w:hint="eastAsia"/>
          <w:sz w:val="28"/>
        </w:rPr>
      </w:pPr>
      <w:r>
        <w:rPr>
          <w:rFonts w:ascii="仿宋_GB2312" w:eastAsia="仿宋_GB2312" w:hint="eastAsia"/>
          <w:sz w:val="28"/>
        </w:rPr>
        <w:t>一、</w:t>
      </w:r>
      <w:r>
        <w:rPr>
          <w:rFonts w:ascii="仿宋_GB2312" w:eastAsia="仿宋_GB2312" w:hint="eastAsia"/>
          <w:sz w:val="28"/>
          <w:lang w:eastAsia="zh-CN"/>
        </w:rPr>
        <w:t>相关项目</w:t>
      </w:r>
      <w:r>
        <w:rPr>
          <w:rFonts w:ascii="仿宋_GB2312" w:eastAsia="仿宋_GB2312" w:hint="eastAsia"/>
          <w:sz w:val="28"/>
        </w:rPr>
        <w:t>价格</w:t>
      </w:r>
      <w:r>
        <w:rPr>
          <w:rFonts w:ascii="仿宋_GB2312" w:eastAsia="仿宋_GB2312" w:hint="eastAsia"/>
          <w:sz w:val="28"/>
          <w:lang w:eastAsia="zh-CN"/>
        </w:rPr>
        <w:t>相关计划</w:t>
      </w:r>
    </w:p>
    <w:p>
      <w:pPr>
        <w:pStyle w:val="Normal0"/>
        <w:spacing w:line="360" w:lineRule="auto"/>
        <w:rPr>
          <w:rFonts w:ascii="仿宋_GB2312" w:eastAsia="仿宋_GB2312" w:hint="eastAsia"/>
          <w:sz w:val="28"/>
        </w:rPr>
      </w:pPr>
      <w:r>
        <w:rPr>
          <w:rFonts w:ascii="仿宋_GB2312" w:eastAsia="仿宋_GB2312" w:hint="eastAsia"/>
          <w:sz w:val="28"/>
        </w:rPr>
        <w:t>二、</w:t>
      </w:r>
      <w:r>
        <w:rPr>
          <w:rFonts w:ascii="仿宋_GB2312" w:eastAsia="仿宋_GB2312" w:hint="eastAsia"/>
          <w:sz w:val="28"/>
          <w:lang w:eastAsia="zh-CN"/>
        </w:rPr>
        <w:t>相关项目</w:t>
      </w:r>
      <w:r>
        <w:rPr>
          <w:rFonts w:ascii="仿宋_GB2312" w:eastAsia="仿宋_GB2312" w:hint="eastAsia"/>
          <w:sz w:val="28"/>
        </w:rPr>
        <w:t>市场推广</w:t>
      </w:r>
      <w:r>
        <w:rPr>
          <w:rFonts w:ascii="仿宋_GB2312" w:eastAsia="仿宋_GB2312" w:hint="eastAsia"/>
          <w:sz w:val="28"/>
          <w:lang w:eastAsia="zh-CN"/>
        </w:rPr>
        <w:t>合适的方案</w:t>
      </w:r>
    </w:p>
    <w:p>
      <w:pPr>
        <w:pStyle w:val="Normal0"/>
        <w:spacing w:line="360" w:lineRule="auto"/>
        <w:rPr>
          <w:rFonts w:ascii="仿宋_GB2312" w:eastAsia="仿宋_GB2312" w:hint="eastAsia"/>
          <w:sz w:val="28"/>
        </w:rPr>
      </w:pPr>
      <w:r>
        <w:rPr>
          <w:rFonts w:ascii="仿宋_GB2312" w:eastAsia="仿宋_GB2312" w:hint="eastAsia"/>
          <w:sz w:val="28"/>
        </w:rPr>
        <w:t>三、营销整体规划</w:t>
      </w:r>
      <w:r>
        <w:rPr>
          <w:rFonts w:ascii="仿宋_GB2312" w:eastAsia="仿宋_GB2312" w:hint="eastAsia"/>
          <w:sz w:val="28"/>
          <w:lang w:eastAsia="zh-CN"/>
        </w:rPr>
        <w:t>合适的方案</w:t>
      </w:r>
      <w:r>
        <w:rPr>
          <w:rFonts w:ascii="仿宋_GB2312" w:eastAsia="仿宋_GB2312" w:hint="eastAsia"/>
          <w:sz w:val="28"/>
        </w:rPr>
        <w:t>建议书</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营销策略建议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营销渠道建议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销控策略</w:t>
      </w:r>
    </w:p>
    <w:p>
      <w:pPr>
        <w:pStyle w:val="Normal0"/>
        <w:spacing w:line="360" w:lineRule="auto"/>
        <w:rPr>
          <w:rFonts w:ascii="仿宋_GB2312" w:eastAsia="仿宋_GB2312" w:hint="eastAsia"/>
          <w:sz w:val="28"/>
        </w:rPr>
      </w:pPr>
      <w:r>
        <w:rPr>
          <w:rFonts w:ascii="仿宋_GB2312" w:eastAsia="仿宋_GB2312" w:hint="eastAsia"/>
          <w:sz w:val="28"/>
        </w:rPr>
        <w:t>四、价格策略执行</w:t>
      </w:r>
      <w:r>
        <w:rPr>
          <w:rFonts w:ascii="仿宋_GB2312" w:eastAsia="仿宋_GB2312" w:hint="eastAsia"/>
          <w:sz w:val="28"/>
          <w:lang w:eastAsia="zh-CN"/>
        </w:rPr>
        <w:t>相关计划</w:t>
      </w:r>
      <w:r>
        <w:rPr>
          <w:rFonts w:ascii="仿宋_GB2312" w:eastAsia="仿宋_GB2312" w:hint="eastAsia"/>
          <w:sz w:val="28"/>
        </w:rPr>
        <w:t>建议书</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价目表建议（暂略）</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付款方式建议</w:t>
      </w:r>
    </w:p>
    <w:p>
      <w:pPr>
        <w:pStyle w:val="Normal0"/>
        <w:spacing w:line="360" w:lineRule="auto"/>
        <w:rPr>
          <w:rFonts w:ascii="仿宋_GB2312" w:eastAsia="仿宋_GB2312" w:hint="eastAsia"/>
          <w:sz w:val="28"/>
        </w:rPr>
        <w:sectPr>
          <w:headerReference w:type="default" r:id="rId9"/>
          <w:footerReference w:type="default" r:id="rId10"/>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3"/>
          <w:cols w:num="1" w:space="425"/>
          <w:titlePg w:val="0"/>
          <w:docGrid w:type="lines" w:linePitch="312" w:charSpace="0"/>
        </w:sectPr>
      </w:pPr>
      <w:r>
        <w:rPr>
          <w:rFonts w:ascii="仿宋_GB2312" w:eastAsia="仿宋_GB2312" w:hint="eastAsia"/>
          <w:sz w:val="28"/>
        </w:rPr>
        <w:t>五、</w:t>
      </w:r>
      <w:r>
        <w:rPr>
          <w:rFonts w:ascii="仿宋_GB2312" w:eastAsia="仿宋_GB2312" w:hint="eastAsia"/>
          <w:sz w:val="28"/>
          <w:lang w:eastAsia="zh-CN"/>
        </w:rPr>
        <w:t>管理管控</w:t>
      </w:r>
      <w:r>
        <w:rPr>
          <w:rFonts w:ascii="仿宋_GB2312" w:eastAsia="仿宋_GB2312" w:hint="eastAsia"/>
          <w:sz w:val="28"/>
        </w:rPr>
        <w:t>模式建议书</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物业</w:t>
      </w:r>
      <w:r>
        <w:rPr>
          <w:rFonts w:ascii="仿宋_GB2312" w:eastAsia="仿宋_GB2312" w:hint="eastAsia"/>
          <w:sz w:val="28"/>
          <w:lang w:eastAsia="zh-CN"/>
        </w:rPr>
        <w:t>管理管控</w:t>
      </w:r>
      <w:r>
        <w:rPr>
          <w:rFonts w:ascii="仿宋_GB2312" w:eastAsia="仿宋_GB2312" w:hint="eastAsia"/>
          <w:sz w:val="28"/>
        </w:rPr>
        <w:t>模式建议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销售</w:t>
      </w:r>
      <w:r>
        <w:rPr>
          <w:rFonts w:ascii="仿宋_GB2312" w:eastAsia="仿宋_GB2312" w:hint="eastAsia"/>
          <w:sz w:val="28"/>
          <w:lang w:eastAsia="zh-CN"/>
        </w:rPr>
        <w:t>管理管控</w:t>
      </w:r>
    </w:p>
    <w:p>
      <w:pPr>
        <w:pStyle w:val="Normal0"/>
        <w:spacing w:line="360" w:lineRule="auto"/>
        <w:rPr>
          <w:rFonts w:ascii="仿宋_GB2312" w:eastAsia="仿宋_GB2312" w:hint="eastAsia"/>
          <w:sz w:val="28"/>
        </w:rPr>
      </w:pPr>
      <w:r>
        <w:rPr>
          <w:rFonts w:ascii="仿宋_GB2312" w:eastAsia="仿宋_GB2312" w:hint="eastAsia"/>
          <w:sz w:val="28"/>
        </w:rPr>
        <w:t>六、</w:t>
      </w:r>
      <w:r>
        <w:rPr>
          <w:rFonts w:ascii="仿宋_GB2312" w:eastAsia="仿宋_GB2312" w:hint="eastAsia"/>
          <w:sz w:val="28"/>
          <w:lang w:eastAsia="zh-CN"/>
        </w:rPr>
        <w:t>相关项目</w:t>
      </w:r>
      <w:r>
        <w:rPr>
          <w:rFonts w:ascii="仿宋_GB2312" w:eastAsia="仿宋_GB2312" w:hint="eastAsia"/>
          <w:sz w:val="28"/>
        </w:rPr>
        <w:t>形象包装设计</w:t>
      </w:r>
      <w:r>
        <w:rPr>
          <w:rFonts w:ascii="仿宋_GB2312" w:eastAsia="仿宋_GB2312" w:hint="eastAsia"/>
          <w:sz w:val="28"/>
          <w:lang w:eastAsia="zh-CN"/>
        </w:rPr>
        <w:t>合适的方案</w:t>
      </w:r>
      <w:r>
        <w:rPr>
          <w:rFonts w:ascii="仿宋_GB2312" w:eastAsia="仿宋_GB2312" w:hint="eastAsia"/>
          <w:sz w:val="28"/>
        </w:rPr>
        <w:t>建议书</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VI设计建议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楼书设计建议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展板设计建议</w:t>
      </w:r>
    </w:p>
    <w:p>
      <w:pPr>
        <w:pStyle w:val="Normal0"/>
        <w:spacing w:line="360" w:lineRule="auto"/>
        <w:rPr>
          <w:rFonts w:ascii="仿宋_GB2312" w:eastAsia="仿宋_GB2312" w:hint="eastAsia"/>
          <w:sz w:val="28"/>
        </w:rPr>
      </w:pPr>
      <w:r>
        <w:rPr>
          <w:rFonts w:ascii="仿宋_GB2312" w:eastAsia="仿宋_GB2312" w:hint="eastAsia"/>
          <w:sz w:val="28"/>
        </w:rPr>
        <w:t xml:space="preserve">七、广告宣传策划建议书 </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户外广告策略建议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报刊广告策略建议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新闻炒作策略建议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网上广告和炒作策略建议</w:t>
      </w:r>
    </w:p>
    <w:p>
      <w:pPr>
        <w:pStyle w:val="Normal0"/>
        <w:spacing w:line="360" w:lineRule="auto"/>
        <w:rPr>
          <w:rFonts w:ascii="仿宋_GB2312" w:eastAsia="仿宋_GB2312" w:hint="eastAsia"/>
          <w:sz w:val="28"/>
        </w:rPr>
      </w:pPr>
      <w:r>
        <w:rPr>
          <w:rFonts w:ascii="仿宋_GB2312" w:eastAsia="仿宋_GB2312" w:hint="eastAsia"/>
          <w:sz w:val="28"/>
        </w:rPr>
        <w:t>八、销售活动策划建议书 （SP活动）</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开工仪式建议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开盘仪式建议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封顶仪式建议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竣式仪式建议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新闻发布会建议</w:t>
      </w:r>
    </w:p>
    <w:p>
      <w:pPr>
        <w:pStyle w:val="Normal0"/>
        <w:tabs>
          <w:tab w:val="left" w:pos="360"/>
        </w:tabs>
        <w:spacing w:line="360" w:lineRule="auto"/>
        <w:rPr>
          <w:rFonts w:ascii="仿宋_GB2312" w:eastAsia="仿宋_GB2312" w:hint="eastAsia"/>
          <w:sz w:val="28"/>
        </w:rPr>
      </w:pPr>
      <w:r>
        <w:rPr>
          <w:rFonts w:ascii="仿宋_GB2312" w:eastAsia="仿宋_GB2312" w:hint="eastAsia"/>
          <w:sz w:val="28"/>
        </w:rPr>
        <w:t>展销会建议</w:t>
      </w:r>
    </w:p>
    <w:p>
      <w:pPr>
        <w:pStyle w:val="Normal0"/>
        <w:spacing w:line="360" w:lineRule="auto"/>
        <w:jc w:val="center"/>
        <w:rPr>
          <w:rFonts w:ascii="仿宋_GB2312" w:eastAsia="仿宋_GB2312" w:hint="eastAsia"/>
          <w:b/>
          <w:bCs/>
          <w:sz w:val="32"/>
        </w:rPr>
      </w:pPr>
      <w:r>
        <w:rPr>
          <w:rFonts w:ascii="仿宋_GB2312" w:eastAsia="仿宋_GB2312" w:hAnsi="宋体" w:hint="eastAsia"/>
          <w:b/>
          <w:bCs/>
          <w:sz w:val="32"/>
          <w:szCs w:val="16"/>
        </w:rPr>
        <w:t>柒</w:t>
      </w:r>
      <w:r>
        <w:rPr>
          <w:rFonts w:ascii="仿宋_GB2312" w:eastAsia="仿宋_GB2312" w:hint="eastAsia"/>
          <w:b/>
          <w:bCs/>
          <w:sz w:val="32"/>
        </w:rPr>
        <w:t>、销售实施篇（制度）</w:t>
      </w:r>
    </w:p>
    <w:p>
      <w:pPr>
        <w:pStyle w:val="Normal0"/>
        <w:spacing w:line="360" w:lineRule="auto"/>
        <w:rPr>
          <w:rFonts w:ascii="仿宋_GB2312" w:eastAsia="仿宋_GB2312" w:hAnsi="宋体" w:hint="eastAsia"/>
          <w:sz w:val="28"/>
        </w:rPr>
      </w:pPr>
      <w:r>
        <w:rPr>
          <w:rFonts w:ascii="仿宋_GB2312" w:eastAsia="仿宋_GB2312" w:hAnsi="宋体" w:hint="eastAsia"/>
          <w:sz w:val="28"/>
        </w:rPr>
        <w:t>一、案场行政</w:t>
      </w:r>
      <w:r>
        <w:rPr>
          <w:rFonts w:ascii="仿宋_GB2312" w:eastAsia="仿宋_GB2312" w:hAnsi="宋体" w:hint="eastAsia"/>
          <w:sz w:val="28"/>
          <w:lang w:eastAsia="zh-CN"/>
        </w:rPr>
        <w:t>管理管控</w:t>
      </w:r>
      <w:r>
        <w:rPr>
          <w:rFonts w:ascii="仿宋_GB2312" w:eastAsia="仿宋_GB2312" w:hAnsi="宋体" w:hint="eastAsia"/>
          <w:sz w:val="28"/>
        </w:rPr>
        <w:t>制度</w:t>
      </w:r>
    </w:p>
    <w:p>
      <w:pPr>
        <w:pStyle w:val="Normal0"/>
        <w:spacing w:line="360" w:lineRule="auto"/>
        <w:rPr>
          <w:rFonts w:ascii="仿宋_GB2312" w:eastAsia="仿宋_GB2312" w:hint="eastAsia"/>
          <w:sz w:val="28"/>
        </w:rPr>
        <w:sectPr>
          <w:headerReference w:type="default" r:id="rId11"/>
          <w:footerReference w:type="default" r:id="rId12"/>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4"/>
          <w:cols w:num="1" w:space="425"/>
          <w:titlePg w:val="0"/>
          <w:docGrid w:type="lines" w:linePitch="312" w:charSpace="0"/>
        </w:sectPr>
      </w:pPr>
      <w:r>
        <w:rPr>
          <w:rFonts w:ascii="仿宋_GB2312" w:eastAsia="仿宋_GB2312" w:hint="eastAsia"/>
          <w:sz w:val="28"/>
        </w:rPr>
        <w:t>二、销售人员培训考核制度</w:t>
      </w:r>
    </w:p>
    <w:p>
      <w:pPr>
        <w:pStyle w:val="Normal0"/>
        <w:spacing w:line="360" w:lineRule="auto"/>
        <w:rPr>
          <w:rFonts w:ascii="仿宋_GB2312" w:eastAsia="仿宋_GB2312" w:hint="eastAsia"/>
          <w:sz w:val="28"/>
        </w:rPr>
      </w:pPr>
      <w:r>
        <w:rPr>
          <w:rFonts w:ascii="仿宋_GB2312" w:eastAsia="仿宋_GB2312" w:hint="eastAsia"/>
          <w:sz w:val="28"/>
        </w:rPr>
        <w:t>三、签约监审制度</w:t>
      </w:r>
    </w:p>
    <w:p>
      <w:pPr>
        <w:pStyle w:val="Normal0"/>
        <w:spacing w:line="360" w:lineRule="auto"/>
        <w:rPr>
          <w:rFonts w:ascii="仿宋_GB2312" w:eastAsia="仿宋_GB2312" w:hint="eastAsia"/>
          <w:sz w:val="28"/>
        </w:rPr>
      </w:pPr>
      <w:r>
        <w:rPr>
          <w:rFonts w:ascii="仿宋_GB2312" w:eastAsia="仿宋_GB2312" w:hint="eastAsia"/>
          <w:sz w:val="28"/>
        </w:rPr>
        <w:t>四、销售报表、报告</w:t>
      </w:r>
      <w:r>
        <w:rPr>
          <w:rFonts w:ascii="仿宋_GB2312" w:eastAsia="仿宋_GB2312" w:hint="eastAsia"/>
          <w:sz w:val="28"/>
          <w:lang w:eastAsia="zh-CN"/>
        </w:rPr>
        <w:t>管理管控</w:t>
      </w:r>
      <w:r>
        <w:rPr>
          <w:rFonts w:ascii="仿宋_GB2312" w:eastAsia="仿宋_GB2312" w:hint="eastAsia"/>
          <w:sz w:val="28"/>
        </w:rPr>
        <w:t>制度</w:t>
      </w:r>
    </w:p>
    <w:p>
      <w:pPr>
        <w:pStyle w:val="Normal0"/>
        <w:spacing w:line="360" w:lineRule="auto"/>
        <w:rPr>
          <w:rFonts w:ascii="仿宋_GB2312" w:eastAsia="仿宋_GB2312" w:hint="eastAsia"/>
          <w:sz w:val="28"/>
        </w:rPr>
      </w:pPr>
      <w:r>
        <w:rPr>
          <w:rFonts w:ascii="仿宋_GB2312" w:eastAsia="仿宋_GB2312" w:hint="eastAsia"/>
          <w:sz w:val="28"/>
        </w:rPr>
        <w:t>五、销售激励制度</w:t>
      </w:r>
    </w:p>
    <w:p>
      <w:pPr>
        <w:pStyle w:val="Normal0"/>
        <w:spacing w:line="360" w:lineRule="auto"/>
        <w:rPr>
          <w:rFonts w:ascii="仿宋_GB2312" w:eastAsia="仿宋_GB2312" w:hint="eastAsia"/>
          <w:sz w:val="28"/>
        </w:rPr>
      </w:pPr>
      <w:r>
        <w:rPr>
          <w:rFonts w:ascii="仿宋_GB2312" w:eastAsia="仿宋_GB2312" w:hint="eastAsia"/>
          <w:sz w:val="28"/>
        </w:rPr>
        <w:t>六、销售现场岗位职责</w:t>
      </w:r>
    </w:p>
    <w:p>
      <w:pPr>
        <w:pStyle w:val="Normal0"/>
        <w:spacing w:line="360" w:lineRule="auto"/>
        <w:jc w:val="center"/>
        <w:rPr>
          <w:rFonts w:ascii="仿宋_GB2312" w:eastAsia="仿宋_GB2312" w:hAnsi="宋体" w:hint="eastAsia"/>
          <w:sz w:val="28"/>
          <w:szCs w:val="16"/>
        </w:rPr>
      </w:pPr>
      <w:r>
        <w:rPr>
          <w:rFonts w:ascii="仿宋_GB2312" w:eastAsia="仿宋_GB2312" w:hAnsi="宋体" w:hint="eastAsia"/>
          <w:b/>
          <w:bCs/>
          <w:sz w:val="32"/>
          <w:szCs w:val="16"/>
        </w:rPr>
        <w:t>捌、综合·附录篇</w:t>
      </w:r>
    </w:p>
    <w:p>
      <w:pPr>
        <w:pStyle w:val="Normal0"/>
        <w:spacing w:line="360" w:lineRule="auto"/>
        <w:rPr>
          <w:rFonts w:ascii="仿宋_GB2312" w:eastAsia="仿宋_GB2312" w:hAnsi="宋体" w:hint="eastAsia"/>
          <w:sz w:val="28"/>
          <w:szCs w:val="16"/>
        </w:rPr>
      </w:pPr>
      <w:r>
        <w:rPr>
          <w:rFonts w:ascii="仿宋_GB2312" w:eastAsia="仿宋_GB2312" w:hAnsi="宋体" w:hint="eastAsia"/>
          <w:sz w:val="28"/>
          <w:szCs w:val="16"/>
        </w:rPr>
        <w:t>附一、售楼中心及样板房建议</w:t>
      </w:r>
    </w:p>
    <w:p>
      <w:pPr>
        <w:pStyle w:val="Normal0"/>
        <w:spacing w:line="360" w:lineRule="auto"/>
        <w:rPr>
          <w:rFonts w:ascii="仿宋_GB2312" w:eastAsia="仿宋_GB2312" w:hAnsi="宋体" w:hint="eastAsia"/>
          <w:sz w:val="28"/>
          <w:szCs w:val="16"/>
        </w:rPr>
      </w:pPr>
      <w:r>
        <w:rPr>
          <w:rFonts w:ascii="仿宋_GB2312" w:eastAsia="仿宋_GB2312" w:hAnsi="宋体" w:hint="eastAsia"/>
          <w:bCs/>
          <w:sz w:val="28"/>
          <w:szCs w:val="32"/>
        </w:rPr>
        <w:t>附录二：</w:t>
      </w:r>
      <w:r>
        <w:rPr>
          <w:rFonts w:ascii="宋体" w:eastAsia="仿宋_GB2312" w:hAnsi="宋体" w:hint="eastAsia"/>
          <w:bCs/>
          <w:sz w:val="28"/>
          <w:szCs w:val="30"/>
        </w:rPr>
        <w:t>关于荣盛公寓施工工地现场形象</w:t>
      </w:r>
      <w:r>
        <w:rPr>
          <w:rFonts w:ascii="宋体" w:eastAsia="仿宋_GB2312" w:hAnsi="宋体" w:hint="eastAsia"/>
          <w:bCs/>
          <w:sz w:val="28"/>
          <w:szCs w:val="30"/>
          <w:lang w:eastAsia="zh-CN"/>
        </w:rPr>
        <w:t>管理管控</w:t>
      </w:r>
      <w:r>
        <w:rPr>
          <w:rFonts w:ascii="宋体" w:eastAsia="仿宋_GB2312" w:hAnsi="宋体" w:hint="eastAsia"/>
          <w:bCs/>
          <w:sz w:val="28"/>
          <w:szCs w:val="30"/>
        </w:rPr>
        <w:t>的暂行规定（建议）</w:t>
      </w:r>
    </w:p>
    <w:p>
      <w:pPr>
        <w:pStyle w:val="Normal0"/>
        <w:spacing w:line="360" w:lineRule="auto"/>
        <w:rPr>
          <w:rFonts w:ascii="宋体" w:hAnsi="宋体" w:hint="eastAsia"/>
        </w:rPr>
      </w:pPr>
      <w:r>
        <w:rPr>
          <w:rFonts w:ascii="仿宋_GB2312" w:eastAsia="仿宋_GB2312" w:hAnsi="宋体" w:hint="eastAsia"/>
          <w:sz w:val="28"/>
        </w:rPr>
        <w:t>附录三、市场调研情况</w:t>
      </w: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ind w:firstLine="1680" w:firstLineChars="200"/>
        <w:rPr>
          <w:rFonts w:ascii="方正姚体简体" w:eastAsia="方正姚体简体" w:hAnsi="宋体" w:hint="eastAsia"/>
          <w:b/>
          <w:bCs/>
          <w:shadow/>
          <w:w w:val="200"/>
          <w:sz w:val="84"/>
        </w:rPr>
      </w:pPr>
    </w:p>
    <w:p>
      <w:pPr>
        <w:pStyle w:val="Normal0"/>
        <w:spacing w:line="360" w:lineRule="auto"/>
        <w:ind w:firstLine="1680" w:firstLineChars="200"/>
        <w:rPr>
          <w:rFonts w:ascii="方正姚体简体" w:eastAsia="方正姚体简体" w:hAnsi="宋体" w:hint="eastAsia"/>
          <w:b/>
          <w:bCs/>
          <w:shadow/>
          <w:w w:val="200"/>
          <w:sz w:val="84"/>
        </w:rPr>
      </w:pPr>
    </w:p>
    <w:p>
      <w:pPr>
        <w:pStyle w:val="Normal0"/>
        <w:spacing w:line="360" w:lineRule="auto"/>
        <w:jc w:val="center"/>
        <w:rPr>
          <w:rFonts w:ascii="方正姚体简体" w:eastAsia="方正姚体简体" w:hAnsi="宋体" w:hint="eastAsia"/>
          <w:b/>
          <w:bCs/>
          <w:shadow/>
          <w:w w:val="200"/>
          <w:sz w:val="84"/>
        </w:rPr>
      </w:pPr>
    </w:p>
    <w:p>
      <w:pPr>
        <w:pStyle w:val="Normal0"/>
        <w:spacing w:line="360" w:lineRule="auto"/>
        <w:rPr>
          <w:rFonts w:ascii="方正姚体简体" w:eastAsia="方正姚体简体" w:hAnsi="宋体" w:hint="eastAsia"/>
          <w:shadow/>
          <w:w w:val="200"/>
        </w:rPr>
      </w:pPr>
    </w:p>
    <w:p>
      <w:pPr>
        <w:pStyle w:val="Normal0"/>
        <w:spacing w:line="360" w:lineRule="auto"/>
        <w:rPr>
          <w:rFonts w:ascii="宋体" w:hAnsi="宋体" w:hint="eastAsia"/>
        </w:rPr>
      </w:pPr>
    </w:p>
    <w:p>
      <w:pPr>
        <w:pStyle w:val="Normal0"/>
        <w:spacing w:line="360" w:lineRule="auto"/>
        <w:rPr>
          <w:rFonts w:ascii="宋体" w:hAnsi="宋体" w:hint="eastAsia"/>
        </w:rPr>
      </w:pPr>
    </w:p>
    <w:p>
      <w:pPr>
        <w:pStyle w:val="Normal0"/>
        <w:spacing w:line="360" w:lineRule="auto"/>
        <w:rPr>
          <w:rFonts w:ascii="宋体" w:hAnsi="宋体" w:hint="eastAsia"/>
        </w:rPr>
      </w:pPr>
    </w:p>
    <w:p>
      <w:pPr>
        <w:pStyle w:val="Normal0"/>
        <w:spacing w:line="360" w:lineRule="auto"/>
        <w:rPr>
          <w:rFonts w:ascii="宋体" w:hAnsi="宋体" w:hint="eastAsia"/>
        </w:rPr>
      </w:pPr>
    </w:p>
    <w:p>
      <w:pPr>
        <w:pStyle w:val="Normal0"/>
        <w:spacing w:line="360" w:lineRule="auto"/>
        <w:rPr>
          <w:rFonts w:ascii="宋体" w:hAnsi="宋体" w:hint="eastAsia"/>
        </w:rPr>
        <w:sectPr>
          <w:headerReference w:type="default" r:id="rId13"/>
          <w:footerReference w:type="default" r:id="rId14"/>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5"/>
          <w:cols w:num="1" w:space="425"/>
          <w:titlePg w:val="0"/>
          <w:docGrid w:type="lines" w:linePitch="312" w:charSpace="0"/>
        </w:sectPr>
      </w:pPr>
    </w:p>
    <w:p>
      <w:pPr>
        <w:pStyle w:val="Normal0"/>
        <w:spacing w:line="360" w:lineRule="auto"/>
        <w:rPr>
          <w:rFonts w:ascii="宋体" w:hAnsi="宋体" w:hint="eastAsia"/>
        </w:rPr>
      </w:pPr>
    </w:p>
    <w:p>
      <w:pPr>
        <w:pStyle w:val="Normal0"/>
        <w:spacing w:line="360" w:lineRule="auto"/>
        <w:rPr>
          <w:rFonts w:ascii="宋体" w:hAnsi="宋体" w:hint="eastAsia"/>
        </w:rPr>
      </w:pPr>
    </w:p>
    <w:p>
      <w:pPr>
        <w:pStyle w:val="Normal0"/>
        <w:spacing w:line="360" w:lineRule="auto"/>
        <w:rPr>
          <w:rFonts w:ascii="宋体" w:hAnsi="宋体" w:hint="eastAsia"/>
        </w:rPr>
      </w:pPr>
    </w:p>
    <w:p>
      <w:pPr>
        <w:pStyle w:val="Normal0"/>
        <w:spacing w:line="360" w:lineRule="auto"/>
        <w:rPr>
          <w:rFonts w:ascii="宋体" w:hAnsi="宋体" w:hint="eastAsia"/>
        </w:rPr>
      </w:pPr>
    </w:p>
    <w:p>
      <w:pPr>
        <w:pStyle w:val="Normal0"/>
        <w:spacing w:line="360" w:lineRule="auto"/>
        <w:ind w:firstLine="420" w:firstLineChars="200"/>
        <w:rPr>
          <w:rFonts w:ascii="宋体" w:hAnsi="宋体" w:hint="eastAsia"/>
        </w:rPr>
      </w:pPr>
      <w:r>
        <w:rPr>
          <w:rFonts w:ascii="宋体" w:hAnsi="宋体" w:hint="eastAsia"/>
        </w:rPr>
        <w:t>家！</w:t>
      </w:r>
    </w:p>
    <w:p>
      <w:pPr>
        <w:pStyle w:val="Normal0"/>
        <w:spacing w:line="360" w:lineRule="auto"/>
        <w:ind w:firstLine="420" w:firstLineChars="200"/>
        <w:rPr>
          <w:rFonts w:ascii="宋体" w:hAnsi="宋体" w:hint="eastAsia"/>
        </w:rPr>
      </w:pPr>
      <w:r>
        <w:rPr>
          <w:rFonts w:ascii="宋体" w:hAnsi="宋体" w:hint="eastAsia"/>
        </w:rPr>
        <w:t>无论是身在他乡，还是异国，中国人无不对家是最重视的地方。在美国的唐人街、在英国的华人区，在泰国、伊拉克、非洲等等世界各地的中国人，梦魂牵绕的还是“家”，家是童年美好的记忆，儿时的玩伴，是荷塘泥偶；家是羞涩的爱情初恋，甜蜜的回忆；家是母亲的温柔，父亲的慈祥；家是看着孩子呀呀依语，妻子的关爱；家是儿孙绕膝，老伴相持。</w:t>
      </w:r>
    </w:p>
    <w:p>
      <w:pPr>
        <w:pStyle w:val="Normal0"/>
        <w:spacing w:line="360" w:lineRule="auto"/>
        <w:ind w:firstLine="420" w:firstLineChars="200"/>
        <w:rPr>
          <w:rFonts w:ascii="宋体" w:hAnsi="宋体" w:hint="eastAsia"/>
        </w:rPr>
      </w:pPr>
      <w:r>
        <w:rPr>
          <w:rFonts w:ascii="宋体" w:hAnsi="宋体" w:hint="eastAsia"/>
        </w:rPr>
        <w:t>家承载了太多的中国文化，是五千年中国人文的凝聚。</w:t>
      </w:r>
    </w:p>
    <w:p>
      <w:pPr>
        <w:pStyle w:val="Normal0"/>
        <w:spacing w:line="360" w:lineRule="auto"/>
        <w:ind w:firstLine="420" w:firstLineChars="200"/>
        <w:rPr>
          <w:rFonts w:ascii="宋体" w:hAnsi="宋体" w:hint="eastAsia"/>
        </w:rPr>
      </w:pPr>
      <w:r>
        <w:rPr>
          <w:rFonts w:ascii="宋体" w:hAnsi="宋体" w:hint="eastAsia"/>
        </w:rPr>
        <w:t>——Home is love !</w:t>
      </w:r>
    </w:p>
    <w:p>
      <w:pPr>
        <w:pStyle w:val="Normal0"/>
        <w:spacing w:line="360" w:lineRule="auto"/>
        <w:jc w:val="center"/>
        <w:rPr>
          <w:rFonts w:ascii="宋体" w:hAnsi="宋体" w:hint="eastAsia"/>
        </w:rPr>
      </w:pPr>
      <w:r>
        <w:rPr>
          <w:rFonts w:ascii="宋体" w:hAnsi="宋体" w:hint="eastAsia"/>
        </w:rPr>
        <w:t xml:space="preserve">                              </w:t>
      </w:r>
    </w:p>
    <w:p>
      <w:pPr>
        <w:pStyle w:val="Normal0"/>
        <w:spacing w:line="360" w:lineRule="auto"/>
        <w:jc w:val="center"/>
        <w:rPr>
          <w:rFonts w:ascii="方正姚体简体" w:eastAsia="方正姚体简体" w:hAnsi="宋体" w:hint="eastAsia"/>
          <w:shadow/>
          <w:w w:val="200"/>
        </w:rPr>
      </w:pPr>
      <w:r>
        <w:rPr>
          <w:rFonts w:ascii="宋体" w:hAnsi="宋体" w:hint="eastAsia"/>
        </w:rPr>
        <w:t xml:space="preserve">                                     </w:t>
      </w: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sectPr>
          <w:headerReference w:type="default" r:id="rId15"/>
          <w:footerReference w:type="default" r:id="rId16"/>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6"/>
          <w:cols w:num="1" w:space="425"/>
          <w:titlePg w:val="0"/>
          <w:docGrid w:type="lines" w:linePitch="312" w:charSpace="0"/>
        </w:sect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shadow/>
          <w:w w:val="200"/>
        </w:rPr>
      </w:pPr>
    </w:p>
    <w:p>
      <w:pPr>
        <w:pStyle w:val="Normal0"/>
        <w:spacing w:line="360" w:lineRule="auto"/>
        <w:jc w:val="center"/>
        <w:rPr>
          <w:rFonts w:ascii="方正姚体简体" w:eastAsia="方正姚体简体" w:hAnsi="宋体" w:hint="eastAsia"/>
          <w:b/>
          <w:bCs/>
          <w:shadow/>
          <w:w w:val="200"/>
          <w:sz w:val="84"/>
        </w:rPr>
      </w:pPr>
      <w:r>
        <w:rPr>
          <w:rFonts w:ascii="方正姚体简体" w:eastAsia="方正姚体简体" w:hAnsi="宋体" w:hint="eastAsia"/>
          <w:b/>
          <w:bCs/>
          <w:shadow/>
          <w:w w:val="200"/>
          <w:sz w:val="84"/>
        </w:rPr>
        <w:t>壹</w:t>
      </w:r>
    </w:p>
    <w:p>
      <w:pPr>
        <w:pStyle w:val="Normal0"/>
        <w:spacing w:line="360" w:lineRule="auto"/>
        <w:jc w:val="center"/>
        <w:rPr>
          <w:rFonts w:ascii="方正姚体简体" w:eastAsia="方正姚体简体" w:hAnsi="宋体" w:hint="eastAsia"/>
          <w:b/>
          <w:bCs/>
          <w:shadow/>
          <w:w w:val="200"/>
          <w:sz w:val="84"/>
        </w:rPr>
      </w:pPr>
      <w:r>
        <w:rPr>
          <w:rFonts w:ascii="方正姚体简体" w:eastAsia="方正姚体简体" w:hAnsi="宋体" w:hint="eastAsia"/>
          <w:b/>
          <w:bCs/>
          <w:shadow/>
          <w:w w:val="200"/>
          <w:sz w:val="84"/>
        </w:rPr>
        <w:t>·</w:t>
      </w:r>
    </w:p>
    <w:p>
      <w:pPr>
        <w:pStyle w:val="Normal0"/>
        <w:spacing w:line="360" w:lineRule="auto"/>
        <w:jc w:val="center"/>
        <w:rPr>
          <w:rFonts w:ascii="方正姚体简体" w:eastAsia="方正姚体简体" w:hAnsi="宋体" w:hint="eastAsia"/>
          <w:b/>
          <w:bCs/>
          <w:shadow/>
          <w:w w:val="200"/>
          <w:sz w:val="84"/>
        </w:rPr>
      </w:pPr>
      <w:r>
        <w:rPr>
          <w:rFonts w:ascii="方正姚体简体" w:eastAsia="方正姚体简体" w:hAnsi="宋体" w:hint="eastAsia"/>
          <w:b/>
          <w:bCs/>
          <w:shadow/>
          <w:w w:val="200"/>
          <w:sz w:val="84"/>
        </w:rPr>
        <w:t>项</w:t>
      </w:r>
    </w:p>
    <w:p>
      <w:pPr>
        <w:pStyle w:val="Normal0"/>
        <w:spacing w:line="360" w:lineRule="auto"/>
        <w:jc w:val="center"/>
        <w:rPr>
          <w:rFonts w:ascii="方正姚体简体" w:eastAsia="方正姚体简体" w:hAnsi="宋体" w:hint="eastAsia"/>
          <w:b/>
          <w:bCs/>
          <w:shadow/>
          <w:w w:val="200"/>
          <w:sz w:val="84"/>
        </w:rPr>
      </w:pPr>
      <w:r>
        <w:rPr>
          <w:rFonts w:ascii="方正姚体简体" w:eastAsia="方正姚体简体" w:hAnsi="宋体" w:hint="eastAsia"/>
          <w:b/>
          <w:bCs/>
          <w:shadow/>
          <w:w w:val="200"/>
          <w:sz w:val="84"/>
        </w:rPr>
        <w:t>目</w:t>
      </w:r>
    </w:p>
    <w:p>
      <w:pPr>
        <w:pStyle w:val="Normal0"/>
        <w:spacing w:line="360" w:lineRule="auto"/>
        <w:jc w:val="center"/>
        <w:rPr>
          <w:rFonts w:ascii="方正姚体简体" w:eastAsia="方正姚体简体" w:hAnsi="宋体" w:hint="eastAsia"/>
          <w:b/>
          <w:bCs/>
          <w:shadow/>
          <w:w w:val="200"/>
          <w:sz w:val="84"/>
        </w:rPr>
      </w:pPr>
      <w:r>
        <w:rPr>
          <w:rFonts w:ascii="方正姚体简体" w:eastAsia="方正姚体简体" w:hAnsi="宋体" w:hint="eastAsia"/>
          <w:b/>
          <w:bCs/>
          <w:shadow/>
          <w:w w:val="200"/>
          <w:sz w:val="84"/>
        </w:rPr>
        <w:t>篇</w:t>
      </w: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sectPr>
          <w:headerReference w:type="default" r:id="rId17"/>
          <w:footerReference w:type="default" r:id="rId18"/>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7"/>
          <w:cols w:num="1" w:space="425"/>
          <w:titlePg w:val="0"/>
          <w:docGrid w:type="lines" w:linePitch="312" w:charSpace="0"/>
        </w:sectPr>
      </w:pPr>
    </w:p>
    <w:p>
      <w:pPr>
        <w:pStyle w:val="Normal0"/>
        <w:spacing w:line="360" w:lineRule="auto"/>
        <w:rPr>
          <w:rFonts w:ascii="仿宋_GB2312" w:eastAsia="仿宋_GB2312" w:hAnsi="宋体" w:hint="eastAsia"/>
          <w:sz w:val="28"/>
        </w:rPr>
      </w:pPr>
      <w:r>
        <w:rPr>
          <w:rFonts w:ascii="仿宋_GB2312" w:eastAsia="仿宋_GB2312" w:hAnsi="宋体" w:hint="eastAsia"/>
          <w:sz w:val="28"/>
        </w:rPr>
        <w:t>一、前言</w:t>
      </w:r>
    </w:p>
    <w:p>
      <w:pPr>
        <w:pStyle w:val="Normal0"/>
        <w:spacing w:line="360" w:lineRule="auto"/>
        <w:ind w:firstLine="420" w:firstLineChars="200"/>
        <w:rPr>
          <w:rFonts w:hint="eastAsia"/>
        </w:rPr>
      </w:pPr>
      <w:r>
        <w:rPr>
          <w:rFonts w:hint="eastAsia"/>
        </w:rPr>
        <w:t>房地产竞争市场的瞬息万变为我们对开发</w:t>
      </w:r>
      <w:r>
        <w:rPr>
          <w:rFonts w:hint="eastAsia"/>
          <w:lang w:eastAsia="zh-CN"/>
        </w:rPr>
        <w:t>相关项目</w:t>
      </w:r>
      <w:r>
        <w:rPr>
          <w:rFonts w:hint="eastAsia"/>
        </w:rPr>
        <w:t>的创新提供了机会，同时也要求我们以一种“思维的速率”对未来的趋势作出尽可能准确的把握，对我们的房地产开发运营要有整体的宏观视角。“凡事预则立，不预则废”，房地产开发具有周期性较长、投资大、风险性大等特点，尤其是它明显的地域性特征，更决定了我们不可以点概全，实行“一揽子</w:t>
      </w:r>
      <w:r>
        <w:rPr>
          <w:rFonts w:hint="eastAsia"/>
          <w:lang w:eastAsia="zh-CN"/>
        </w:rPr>
        <w:t>相关计划</w:t>
      </w:r>
      <w:r>
        <w:rPr>
          <w:rFonts w:hint="eastAsia"/>
        </w:rPr>
        <w:t>”，而必须以一种对</w:t>
      </w:r>
      <w:r>
        <w:rPr>
          <w:rFonts w:hint="eastAsia"/>
          <w:lang w:eastAsia="zh-CN"/>
        </w:rPr>
        <w:t>相关项目</w:t>
      </w:r>
      <w:r>
        <w:rPr>
          <w:rFonts w:hint="eastAsia"/>
        </w:rPr>
        <w:t>整体的宏观调控、对细枝末节的精确把握，以“是什么？做什么？怎么做？”为市场竞争思考的切入点，以不断地认识问题、创新地解决问题为工作目标，从而真正做到有备而战，出奇制胜。</w:t>
      </w:r>
    </w:p>
    <w:p>
      <w:pPr>
        <w:pStyle w:val="Normal0"/>
        <w:spacing w:line="360" w:lineRule="auto"/>
        <w:ind w:firstLine="420" w:firstLineChars="200"/>
        <w:rPr>
          <w:rFonts w:hint="eastAsia"/>
        </w:rPr>
      </w:pPr>
      <w:r>
        <w:rPr>
          <w:rFonts w:hint="eastAsia"/>
        </w:rPr>
        <w:t>房子是盖给人住的，而人是有地域性的，正所谓“一方水土养一方人”。作为一座拥有悠久文化底蕴的老都城，同时又是在不断进步并且接受长三角辐射的城市，多元化的组合使盐城独具其人文背景及新闻敏感性等，这些都将直接决定着营销推广</w:t>
      </w:r>
      <w:r>
        <w:rPr>
          <w:rFonts w:hint="eastAsia"/>
          <w:lang w:eastAsia="zh-CN"/>
        </w:rPr>
        <w:t>相关计划</w:t>
      </w:r>
      <w:r>
        <w:rPr>
          <w:rFonts w:hint="eastAsia"/>
        </w:rPr>
        <w:t>的制定及具体实施。</w:t>
      </w:r>
    </w:p>
    <w:p>
      <w:pPr>
        <w:pStyle w:val="Normal0"/>
        <w:spacing w:line="360" w:lineRule="auto"/>
        <w:ind w:firstLine="420" w:firstLineChars="200"/>
      </w:pPr>
      <w:r>
        <w:t>把握本区域产品特征因素</w:t>
      </w:r>
    </w:p>
    <w:p>
      <w:pPr>
        <w:pStyle w:val="Normal0"/>
        <w:spacing w:line="360" w:lineRule="auto"/>
        <w:ind w:firstLine="420" w:firstLineChars="200"/>
        <w:rPr>
          <w:rFonts w:hint="eastAsia"/>
        </w:rPr>
      </w:pPr>
      <w:r>
        <w:rPr>
          <w:rFonts w:hint="eastAsia"/>
        </w:rPr>
        <w:t>知己知彼，才能百战百胜，本区域产品特征，可从三个方面去把握，第一，把握产品的普遍特征；第二，把握与自身同类产品的普遍特征；第三，把握热销产品的特殊性。产品的自备特征是通过其推广来识别的。</w:t>
      </w:r>
    </w:p>
    <w:p>
      <w:pPr>
        <w:pStyle w:val="Normal0"/>
        <w:spacing w:line="360" w:lineRule="auto"/>
        <w:ind w:firstLine="420" w:firstLineChars="200"/>
        <w:rPr>
          <w:rFonts w:hint="eastAsia"/>
        </w:rPr>
      </w:pPr>
      <w:r>
        <w:rPr>
          <w:rFonts w:hint="eastAsia"/>
        </w:rPr>
        <w:t>通过对各类产品的推广卖点分析，可以透视出竞争对手产品的优势与不足，只有这样，才能更符合实际地拟定贵公司产品的推广</w:t>
      </w:r>
      <w:r>
        <w:rPr>
          <w:rFonts w:hint="eastAsia"/>
          <w:lang w:eastAsia="zh-CN"/>
        </w:rPr>
        <w:t>合适的方案</w:t>
      </w:r>
      <w:r>
        <w:rPr>
          <w:rFonts w:hint="eastAsia"/>
        </w:rPr>
        <w:t>。</w:t>
      </w:r>
    </w:p>
    <w:p>
      <w:pPr>
        <w:pStyle w:val="Normal0"/>
        <w:spacing w:line="360" w:lineRule="auto"/>
        <w:ind w:firstLine="420" w:firstLineChars="200"/>
        <w:rPr>
          <w:rFonts w:hint="eastAsia"/>
        </w:rPr>
      </w:pPr>
      <w:r>
        <w:rPr>
          <w:rFonts w:hint="eastAsia"/>
        </w:rPr>
        <w:t>如果要创新产品推广思路，拟定新的产品推广模式，就须对所开发的产品有深刻认识。房地产产品（住宅）不是一个孤立的建筑单体，它是由建筑单体、环境景观、物业</w:t>
      </w:r>
      <w:r>
        <w:rPr>
          <w:rFonts w:hint="eastAsia"/>
          <w:lang w:eastAsia="zh-CN"/>
        </w:rPr>
        <w:t>管理管控</w:t>
      </w:r>
      <w:r>
        <w:rPr>
          <w:rFonts w:hint="eastAsia"/>
        </w:rPr>
        <w:t>、公建配套等要素综合构成。</w:t>
      </w:r>
    </w:p>
    <w:p>
      <w:pPr>
        <w:pStyle w:val="Normal0"/>
        <w:spacing w:line="360" w:lineRule="auto"/>
        <w:ind w:firstLine="420" w:firstLineChars="200"/>
        <w:rPr>
          <w:rFonts w:hint="eastAsia"/>
        </w:rPr>
        <w:sectPr>
          <w:headerReference w:type="default" r:id="rId19"/>
          <w:footerReference w:type="default" r:id="rId20"/>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8"/>
          <w:cols w:num="1" w:space="425"/>
          <w:titlePg w:val="0"/>
          <w:docGrid w:type="lines" w:linePitch="312" w:charSpace="0"/>
        </w:sectPr>
      </w:pPr>
      <w:r>
        <w:rPr>
          <w:rFonts w:hint="eastAsia"/>
        </w:rPr>
        <w:t>这四大要素又可分解为若干支系，它们在不同地域、不同的竞争市场中，所强调的推广诉求重点是不同的；并且构成房地产产品的一系列要素，在主要产品卖点因素设定后，深层次的细节因素，不是一次所能认识清楚的，它需要在竞争的过程与销售实践中，逐步认识、把握、提炼。公司所开发产品，其产品主要卖点因素已设定完成，而深层次的细节因素，正处创新、设计的完善之中，有待于我们今后不断去认识、研究、总结与提炼。这些产品构成的系列要素，就是未来的系列卖点，它们将是我们未来小区个性特征的基础支撑。如果我们对所推出的产品缺乏深刻的认识与了解，那么，是拟定不出符合实际的推广</w:t>
      </w:r>
      <w:r>
        <w:rPr>
          <w:rFonts w:hint="eastAsia"/>
          <w:lang w:eastAsia="zh-CN"/>
        </w:rPr>
        <w:t>合适的方案</w:t>
      </w:r>
      <w:r>
        <w:rPr>
          <w:rFonts w:hint="eastAsia"/>
        </w:rPr>
        <w:t>的。</w:t>
      </w:r>
    </w:p>
    <w:p>
      <w:pPr>
        <w:pStyle w:val="Normal0"/>
        <w:spacing w:line="360" w:lineRule="auto"/>
        <w:rPr>
          <w:rFonts w:ascii="仿宋_GB2312" w:eastAsia="仿宋_GB2312" w:hAnsi="宋体" w:hint="eastAsia"/>
          <w:sz w:val="28"/>
        </w:rPr>
      </w:pPr>
      <w:r>
        <w:rPr>
          <w:rFonts w:ascii="仿宋_GB2312" w:eastAsia="仿宋_GB2312" w:hAnsi="宋体" w:hint="eastAsia"/>
          <w:sz w:val="28"/>
        </w:rPr>
        <w:t>二、</w:t>
      </w:r>
      <w:r>
        <w:rPr>
          <w:rFonts w:ascii="仿宋_GB2312" w:eastAsia="仿宋_GB2312" w:hAnsi="宋体"/>
          <w:sz w:val="28"/>
        </w:rPr>
        <w:t xml:space="preserve"> </w:t>
      </w:r>
      <w:r>
        <w:rPr>
          <w:rFonts w:ascii="仿宋_GB2312" w:eastAsia="仿宋_GB2312" w:hAnsi="宋体" w:hint="eastAsia"/>
          <w:sz w:val="28"/>
        </w:rPr>
        <w:t>可行性报告</w:t>
      </w:r>
      <w:r>
        <w:rPr>
          <w:rFonts w:ascii="仿宋_GB2312" w:eastAsia="仿宋_GB2312" w:hAnsi="宋体" w:hint="eastAsia"/>
          <w:sz w:val="28"/>
          <w:lang w:eastAsia="zh-CN"/>
        </w:rPr>
        <w:t>合适的内容</w:t>
      </w:r>
      <w:r>
        <w:rPr>
          <w:rFonts w:ascii="仿宋_GB2312" w:eastAsia="仿宋_GB2312" w:hAnsi="宋体" w:hint="eastAsia"/>
          <w:sz w:val="28"/>
        </w:rPr>
        <w:t>指引</w:t>
      </w:r>
    </w:p>
    <w:p>
      <w:pPr>
        <w:pStyle w:val="Normal0"/>
        <w:spacing w:line="360" w:lineRule="auto"/>
        <w:ind w:firstLine="840" w:firstLineChars="300"/>
        <w:rPr>
          <w:rFonts w:ascii="宋体" w:hAnsi="宋体" w:hint="eastAsia"/>
          <w:sz w:val="28"/>
        </w:rPr>
      </w:pPr>
      <w:r>
        <w:rPr>
          <w:rFonts w:ascii="宋体" w:hAnsi="宋体" w:hint="eastAsia"/>
          <w:sz w:val="28"/>
        </w:rPr>
        <w:t>外部环境</w:t>
      </w:r>
    </w:p>
    <w:p>
      <w:pPr>
        <w:pStyle w:val="Normal0"/>
        <w:spacing w:line="360" w:lineRule="auto"/>
        <w:rPr>
          <w:rFonts w:ascii="宋体" w:hAnsi="宋体" w:hint="eastAsia"/>
        </w:rPr>
      </w:pPr>
      <w:r>
        <w:rPr>
          <w:rFonts w:ascii="宋体" w:hAnsi="宋体" w:hint="eastAsia"/>
        </w:rPr>
        <w:t>1、城市发展规划与宗地的关系及对</w:t>
      </w:r>
      <w:r>
        <w:rPr>
          <w:rFonts w:ascii="宋体" w:hAnsi="宋体" w:hint="eastAsia"/>
          <w:lang w:eastAsia="zh-CN"/>
        </w:rPr>
        <w:t>相关项目</w:t>
      </w:r>
      <w:r>
        <w:rPr>
          <w:rFonts w:ascii="宋体" w:hAnsi="宋体" w:hint="eastAsia"/>
        </w:rPr>
        <w:t>开发的影响</w:t>
      </w:r>
    </w:p>
    <w:p>
      <w:pPr>
        <w:pStyle w:val="Normal0"/>
        <w:spacing w:line="360" w:lineRule="auto"/>
        <w:rPr>
          <w:rStyle w:val="font11"/>
          <w:rFonts w:ascii="宋体" w:hAnsi="宋体" w:hint="eastAsia"/>
          <w:color w:val="000000"/>
        </w:rPr>
      </w:pPr>
      <w:r>
        <w:rPr>
          <w:rFonts w:ascii="宋体" w:hAnsi="宋体" w:hint="eastAsia"/>
          <w:b/>
          <w:bCs/>
        </w:rPr>
        <w:t>交通捷运系统的规划与建设：</w:t>
      </w:r>
      <w:r>
        <w:rPr>
          <w:rFonts w:ascii="宋体" w:hAnsi="宋体" w:hint="eastAsia"/>
        </w:rPr>
        <w:t>盐城市</w:t>
      </w:r>
      <w:r>
        <w:rPr>
          <w:rStyle w:val="font11"/>
          <w:rFonts w:ascii="宋体" w:hAnsi="宋体" w:hint="eastAsia"/>
          <w:color w:val="000000"/>
          <w:sz w:val="21"/>
        </w:rPr>
        <w:t>交通网络的成型使得</w:t>
      </w:r>
      <w:r>
        <w:rPr>
          <w:rStyle w:val="font11"/>
          <w:rFonts w:ascii="宋体" w:hAnsi="宋体"/>
          <w:sz w:val="21"/>
        </w:rPr>
        <w:t>区</w:t>
      </w:r>
      <w:r>
        <w:rPr>
          <w:rStyle w:val="font11"/>
          <w:rFonts w:ascii="宋体" w:hAnsi="宋体" w:hint="eastAsia"/>
          <w:sz w:val="21"/>
        </w:rPr>
        <w:t>内交通</w:t>
      </w:r>
      <w:r>
        <w:rPr>
          <w:rStyle w:val="font11"/>
          <w:rFonts w:ascii="宋体" w:hAnsi="宋体"/>
          <w:sz w:val="21"/>
        </w:rPr>
        <w:t>优势明显</w:t>
      </w:r>
      <w:r>
        <w:rPr>
          <w:rStyle w:val="font11"/>
          <w:rFonts w:ascii="宋体" w:hAnsi="宋体" w:hint="eastAsia"/>
          <w:color w:val="000000"/>
          <w:sz w:val="21"/>
        </w:rPr>
        <w:t>。</w:t>
      </w:r>
    </w:p>
    <w:p>
      <w:pPr>
        <w:pStyle w:val="Normal0"/>
        <w:spacing w:line="360" w:lineRule="auto"/>
        <w:ind w:firstLine="420" w:firstLineChars="200"/>
        <w:rPr>
          <w:rFonts w:ascii="宋体" w:hAnsi="宋体" w:hint="eastAsia"/>
          <w:color w:val="000000"/>
          <w:szCs w:val="21"/>
        </w:rPr>
      </w:pPr>
      <w:r>
        <w:rPr>
          <w:rStyle w:val="font11"/>
          <w:rFonts w:ascii="宋体" w:hAnsi="宋体" w:hint="eastAsia"/>
          <w:color w:val="000000"/>
          <w:sz w:val="21"/>
        </w:rPr>
        <w:t>一方面；外部交通网络的基本成型，</w:t>
      </w:r>
      <w:r>
        <w:rPr>
          <w:rFonts w:ascii="宋体" w:hAnsi="宋体"/>
          <w:color w:val="000000"/>
          <w:szCs w:val="21"/>
        </w:rPr>
        <w:t>204国道、盐金公路、宁靖盐和徐宿淮盐高速公路等分别联系南京、上海、连云港、徐州等地</w:t>
      </w:r>
      <w:r>
        <w:rPr>
          <w:rFonts w:ascii="宋体" w:hAnsi="宋体" w:hint="eastAsia"/>
          <w:color w:val="000000"/>
          <w:szCs w:val="21"/>
        </w:rPr>
        <w:t>，</w:t>
      </w:r>
      <w:r>
        <w:rPr>
          <w:rFonts w:ascii="宋体" w:hAnsi="宋体"/>
          <w:color w:val="000000"/>
          <w:szCs w:val="21"/>
        </w:rPr>
        <w:t>新长铁路盐城以北段已建成通车。盐城民航机场新航线的</w:t>
      </w:r>
      <w:r>
        <w:rPr>
          <w:rFonts w:ascii="宋体" w:hAnsi="宋体" w:hint="eastAsia"/>
          <w:color w:val="000000"/>
          <w:szCs w:val="21"/>
        </w:rPr>
        <w:t>不断</w:t>
      </w:r>
      <w:r>
        <w:rPr>
          <w:rFonts w:ascii="宋体" w:hAnsi="宋体"/>
          <w:color w:val="000000"/>
          <w:szCs w:val="21"/>
        </w:rPr>
        <w:t>开辟</w:t>
      </w:r>
      <w:r>
        <w:rPr>
          <w:rFonts w:ascii="宋体" w:hAnsi="宋体" w:hint="eastAsia"/>
          <w:color w:val="000000"/>
          <w:szCs w:val="21"/>
        </w:rPr>
        <w:t>。使得盐城的地区经济将得到长足发展，就目前中国的经济增长和城市与城市间，城市内部的交通发达程度有明显的并且成正比的关系，象目前的盐城交通状况总体来说是可以的，并且在不断的完善和发展，交通的便利和经济的增长是本案支持2600-2800元/单位平方米的基础。</w:t>
      </w:r>
    </w:p>
    <w:p>
      <w:pPr>
        <w:pStyle w:val="Normal0"/>
        <w:spacing w:line="360" w:lineRule="auto"/>
        <w:ind w:firstLine="420" w:firstLineChars="200"/>
        <w:rPr>
          <w:rFonts w:ascii="宋体" w:hAnsi="宋体" w:hint="eastAsia"/>
          <w:color w:val="000000"/>
          <w:szCs w:val="21"/>
        </w:rPr>
      </w:pPr>
      <w:r>
        <w:rPr>
          <w:rFonts w:ascii="宋体" w:hAnsi="宋体" w:hint="eastAsia"/>
          <w:color w:val="000000"/>
          <w:szCs w:val="21"/>
        </w:rPr>
        <w:t>另一方面；内部交通网络的完善，市区公交线路以作为城市枢纽的建军路、解放南路为中心向周边扩散，形成六纵八横的现代城市交通网络，本案所在地的盐马路和大庆路正处在该交通网络以内。政府对“城市副中心”的规划和建设中，交通和环境是重中之重，并且目前的情况是“城市副中心”相对城市中心的内部交通便利程度、环境优美程度等等一系列建设比市内好许多。这对本案的销售也是利好现象。</w:t>
      </w:r>
    </w:p>
    <w:p>
      <w:pPr>
        <w:pStyle w:val="Normal0"/>
        <w:spacing w:line="360" w:lineRule="auto"/>
        <w:ind w:firstLine="420" w:firstLineChars="200"/>
        <w:rPr>
          <w:rFonts w:ascii="宋体" w:hAnsi="宋体" w:hint="eastAsia"/>
          <w:color w:val="000000"/>
          <w:szCs w:val="21"/>
        </w:rPr>
      </w:pPr>
      <w:r>
        <w:rPr>
          <w:rFonts w:ascii="宋体" w:hAnsi="宋体" w:hint="eastAsia"/>
          <w:color w:val="000000"/>
          <w:szCs w:val="21"/>
        </w:rPr>
        <w:t>便捷的交通条件使得该地区区域经济持续发展、</w:t>
      </w:r>
      <w:r>
        <w:rPr>
          <w:rFonts w:ascii="宋体" w:hAnsi="宋体"/>
          <w:color w:val="000000"/>
          <w:szCs w:val="21"/>
        </w:rPr>
        <w:t>人口密集</w:t>
      </w:r>
      <w:r>
        <w:rPr>
          <w:rFonts w:ascii="宋体" w:hAnsi="宋体" w:hint="eastAsia"/>
          <w:color w:val="000000"/>
          <w:szCs w:val="21"/>
        </w:rPr>
        <w:t>加大</w:t>
      </w:r>
      <w:r>
        <w:rPr>
          <w:rFonts w:ascii="宋体" w:hAnsi="宋体"/>
          <w:color w:val="000000"/>
          <w:szCs w:val="21"/>
        </w:rPr>
        <w:t>、</w:t>
      </w:r>
      <w:r>
        <w:rPr>
          <w:rFonts w:ascii="宋体" w:hAnsi="宋体" w:hint="eastAsia"/>
          <w:color w:val="000000"/>
          <w:szCs w:val="21"/>
        </w:rPr>
        <w:t>城市核心区域的外延，进而能推动宗地房地产业行业的发展。在相对一段时间内能较大幅度的增长。</w:t>
      </w:r>
    </w:p>
    <w:p>
      <w:pPr>
        <w:pStyle w:val="Normal0"/>
        <w:spacing w:line="360" w:lineRule="auto"/>
        <w:ind w:firstLine="420" w:firstLineChars="200"/>
        <w:rPr>
          <w:rFonts w:ascii="宋体" w:hAnsi="宋体" w:hint="eastAsia"/>
          <w:color w:val="000000"/>
          <w:szCs w:val="21"/>
        </w:rPr>
      </w:pPr>
    </w:p>
    <w:p>
      <w:pPr>
        <w:pStyle w:val="Normal0"/>
        <w:spacing w:line="360" w:lineRule="auto"/>
        <w:rPr>
          <w:rFonts w:ascii="宋体" w:hAnsi="宋体" w:hint="eastAsia"/>
          <w:b/>
          <w:bCs/>
          <w:color w:val="000000"/>
        </w:rPr>
      </w:pPr>
      <w:r>
        <w:rPr>
          <w:rFonts w:ascii="宋体" w:hAnsi="宋体" w:hint="eastAsia"/>
          <w:b/>
          <w:bCs/>
        </w:rPr>
        <w:t>城</w:t>
      </w:r>
      <w:r>
        <w:rPr>
          <w:rFonts w:ascii="宋体" w:hAnsi="宋体" w:hint="eastAsia"/>
          <w:b/>
          <w:bCs/>
          <w:color w:val="000000"/>
        </w:rPr>
        <w:t>市功能规划与布局、局部区域开发重点：</w:t>
      </w:r>
    </w:p>
    <w:p>
      <w:pPr>
        <w:pStyle w:val="Normal0"/>
        <w:spacing w:line="360" w:lineRule="auto"/>
        <w:ind w:firstLine="420" w:firstLineChars="200"/>
        <w:rPr>
          <w:rFonts w:ascii="宋体" w:hAnsi="宋体" w:hint="eastAsia"/>
          <w:color w:val="000000"/>
          <w:szCs w:val="21"/>
        </w:rPr>
      </w:pPr>
      <w:r>
        <w:rPr>
          <w:rFonts w:ascii="宋体" w:hAnsi="宋体" w:hint="eastAsia"/>
          <w:color w:val="000000"/>
          <w:szCs w:val="21"/>
        </w:rPr>
        <w:t>盐城新城市总体规划的发展方向：重点向南，适度向西，启动河东，有</w:t>
      </w:r>
      <w:r>
        <w:rPr>
          <w:rFonts w:ascii="宋体" w:hAnsi="宋体" w:hint="eastAsia"/>
          <w:color w:val="000000"/>
          <w:szCs w:val="21"/>
          <w:lang w:eastAsia="zh-CN"/>
        </w:rPr>
        <w:t>相关计划</w:t>
      </w:r>
      <w:r>
        <w:rPr>
          <w:rFonts w:ascii="宋体" w:hAnsi="宋体" w:hint="eastAsia"/>
          <w:color w:val="000000"/>
          <w:szCs w:val="21"/>
        </w:rPr>
        <w:t>向北</w:t>
      </w:r>
    </w:p>
    <w:p>
      <w:pPr>
        <w:pStyle w:val="Normal0"/>
        <w:spacing w:line="360" w:lineRule="auto"/>
        <w:ind w:firstLine="420" w:firstLineChars="200"/>
        <w:rPr>
          <w:rFonts w:ascii="宋体" w:hAnsi="宋体" w:hint="eastAsia"/>
          <w:b/>
          <w:bCs/>
          <w:color w:val="000000"/>
        </w:rPr>
      </w:pPr>
      <w:r>
        <w:rPr>
          <w:rFonts w:ascii="宋体" w:hAnsi="宋体" w:hint="eastAsia"/>
          <w:color w:val="000000"/>
          <w:szCs w:val="21"/>
        </w:rPr>
        <w:t>近期</w:t>
      </w:r>
      <w:r>
        <w:rPr>
          <w:rFonts w:ascii="宋体" w:hAnsi="宋体"/>
          <w:color w:val="000000"/>
          <w:szCs w:val="21"/>
        </w:rPr>
        <w:t>市委、市政府</w:t>
      </w:r>
      <w:r>
        <w:rPr>
          <w:rFonts w:ascii="宋体" w:hAnsi="宋体" w:hint="eastAsia"/>
          <w:color w:val="000000"/>
          <w:szCs w:val="21"/>
        </w:rPr>
        <w:t>又</w:t>
      </w:r>
      <w:r>
        <w:rPr>
          <w:rFonts w:ascii="宋体" w:hAnsi="宋体"/>
          <w:color w:val="000000"/>
          <w:szCs w:val="21"/>
        </w:rPr>
        <w:t>作出的一项重要决策</w:t>
      </w:r>
      <w:r>
        <w:rPr>
          <w:rFonts w:ascii="宋体" w:hAnsi="宋体" w:hint="eastAsia"/>
          <w:color w:val="000000"/>
          <w:szCs w:val="21"/>
        </w:rPr>
        <w:t>：</w:t>
      </w:r>
      <w:r>
        <w:rPr>
          <w:rFonts w:ascii="宋体" w:hAnsi="宋体"/>
          <w:color w:val="000000"/>
          <w:szCs w:val="21"/>
        </w:rPr>
        <w:t>实施分片发展、合力建城</w:t>
      </w:r>
    </w:p>
    <w:p>
      <w:pPr>
        <w:pStyle w:val="Normal0"/>
        <w:spacing w:line="360" w:lineRule="auto"/>
        <w:ind w:firstLine="420" w:firstLineChars="200"/>
        <w:rPr>
          <w:rFonts w:ascii="宋体" w:hAnsi="宋体" w:hint="eastAsia"/>
          <w:color w:val="000000"/>
        </w:rPr>
      </w:pPr>
      <w:r>
        <w:rPr>
          <w:rFonts w:ascii="宋体" w:hAnsi="宋体" w:hint="eastAsia"/>
          <w:color w:val="000000"/>
        </w:rPr>
        <w:t>由上政府规划的发展方向和发展战略分析得出：规划重点区域在西南方向，该地区房地产业的兴旺得到了政府部门的认可和支持，目前西南板块的房地产</w:t>
      </w:r>
      <w:r>
        <w:rPr>
          <w:rFonts w:ascii="宋体" w:hAnsi="宋体" w:hint="eastAsia"/>
        </w:rPr>
        <w:t>行业处于旺盛阶段，</w:t>
      </w:r>
      <w:r>
        <w:rPr>
          <w:rFonts w:ascii="宋体" w:hAnsi="宋体" w:hint="eastAsia"/>
          <w:szCs w:val="18"/>
        </w:rPr>
        <w:t>这对本案的开发是一个利好的消息，也是宗地升值基础。</w:t>
      </w:r>
    </w:p>
    <w:p>
      <w:pPr>
        <w:pStyle w:val="Normal0"/>
        <w:spacing w:line="360" w:lineRule="auto"/>
        <w:ind w:firstLine="134" w:firstLineChars="64"/>
        <w:rPr>
          <w:rFonts w:ascii="宋体" w:hAnsi="宋体" w:hint="eastAsia"/>
        </w:rPr>
      </w:pPr>
      <w:r>
        <w:rPr>
          <w:rFonts w:ascii="宋体" w:hAnsi="宋体"/>
        </w:rPr>
        <w:t>2</w:t>
      </w:r>
      <w:r>
        <w:rPr>
          <w:rFonts w:ascii="宋体" w:hAnsi="宋体" w:hint="eastAsia"/>
        </w:rPr>
        <w:t>、</w:t>
      </w:r>
      <w:r>
        <w:rPr>
          <w:rFonts w:ascii="宋体" w:hAnsi="宋体"/>
        </w:rPr>
        <w:t xml:space="preserve"> </w:t>
      </w:r>
      <w:r>
        <w:rPr>
          <w:rFonts w:ascii="宋体" w:hAnsi="宋体" w:hint="eastAsia"/>
        </w:rPr>
        <w:t>宗地所属地域在该城市的历史、经济、文化、战略发展等方面的地位</w:t>
      </w:r>
    </w:p>
    <w:p>
      <w:pPr>
        <w:pStyle w:val="Normal0"/>
        <w:spacing w:line="360" w:lineRule="auto"/>
        <w:ind w:firstLine="550" w:firstLineChars="262"/>
        <w:rPr>
          <w:rFonts w:ascii="宋体" w:hAnsi="宋体" w:hint="eastAsia"/>
        </w:rPr>
      </w:pPr>
      <w:r>
        <w:rPr>
          <w:rFonts w:ascii="宋体" w:hAnsi="宋体" w:hint="eastAsia"/>
        </w:rPr>
        <w:t>A、历史文化</w:t>
      </w:r>
    </w:p>
    <w:p>
      <w:pPr>
        <w:pStyle w:val="Normal0"/>
        <w:spacing w:line="360" w:lineRule="auto"/>
        <w:ind w:firstLine="540" w:firstLineChars="257"/>
        <w:rPr>
          <w:rFonts w:ascii="宋体" w:hAnsi="宋体" w:cs="Tahoma" w:hint="eastAsia"/>
          <w:szCs w:val="18"/>
        </w:rPr>
        <w:sectPr>
          <w:headerReference w:type="default" r:id="rId21"/>
          <w:footerReference w:type="default" r:id="rId22"/>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9"/>
          <w:cols w:num="1" w:space="425"/>
          <w:titlePg w:val="0"/>
          <w:docGrid w:type="lines" w:linePitch="312" w:charSpace="0"/>
        </w:sectPr>
      </w:pPr>
    </w:p>
    <w:p>
      <w:pPr>
        <w:pStyle w:val="Normal0"/>
        <w:spacing w:line="360" w:lineRule="auto"/>
        <w:ind w:firstLine="540" w:firstLineChars="257"/>
        <w:rPr>
          <w:rFonts w:ascii="宋体" w:hAnsi="宋体" w:cs="Tahoma" w:hint="eastAsia"/>
          <w:szCs w:val="18"/>
        </w:rPr>
      </w:pPr>
      <w:r>
        <w:rPr>
          <w:rFonts w:ascii="宋体" w:hAnsi="宋体" w:cs="Tahoma" w:hint="eastAsia"/>
          <w:szCs w:val="18"/>
        </w:rPr>
        <w:t>距今两千一百年前，正是中华民族大一统历史上第一个强盛王朝----大汉帝国的鼎盛时期。西汉元狩四年，雄才大略而又励精图治的汉武帝刘彻在自己39岁的时候向全国颁发诏令，宣布在浩浩汤汤的黄海之滨设置盐渎县。从此，这块盛产海盐的地方开始独立谱写自己的辉煌历史，这个历史便是今日盐都县的历史。</w:t>
      </w:r>
    </w:p>
    <w:p>
      <w:pPr>
        <w:pStyle w:val="Normal0"/>
        <w:spacing w:line="360" w:lineRule="auto"/>
        <w:ind w:firstLine="540" w:firstLineChars="257"/>
        <w:rPr>
          <w:rFonts w:ascii="宋体" w:hAnsi="宋体" w:cs="Tahoma" w:hint="eastAsia"/>
          <w:szCs w:val="18"/>
        </w:rPr>
      </w:pPr>
      <w:r>
        <w:rPr>
          <w:rFonts w:ascii="宋体" w:hAnsi="宋体" w:cs="Tahoma" w:hint="eastAsia"/>
          <w:szCs w:val="18"/>
        </w:rPr>
        <w:t>意义：拥有浓厚、悠久的文化底蕴是</w:t>
      </w:r>
      <w:r>
        <w:rPr>
          <w:rFonts w:ascii="宋体" w:hAnsi="宋体" w:cs="Tahoma" w:hint="eastAsia"/>
          <w:szCs w:val="18"/>
          <w:lang w:eastAsia="zh-CN"/>
        </w:rPr>
        <w:t>相关项目</w:t>
      </w:r>
      <w:r>
        <w:rPr>
          <w:rFonts w:ascii="宋体" w:hAnsi="宋体" w:cs="Tahoma" w:hint="eastAsia"/>
          <w:szCs w:val="18"/>
        </w:rPr>
        <w:t>的基础，要想“多、快、好、省”的开发销售</w:t>
      </w:r>
      <w:r>
        <w:rPr>
          <w:rFonts w:ascii="宋体" w:hAnsi="宋体" w:cs="Tahoma" w:hint="eastAsia"/>
          <w:szCs w:val="18"/>
          <w:lang w:eastAsia="zh-CN"/>
        </w:rPr>
        <w:t>相关项目</w:t>
      </w:r>
      <w:r>
        <w:rPr>
          <w:rFonts w:ascii="宋体" w:hAnsi="宋体" w:cs="Tahoma" w:hint="eastAsia"/>
          <w:szCs w:val="18"/>
        </w:rPr>
        <w:t>物业没有文化底蕴是不行的。同时在</w:t>
      </w:r>
      <w:r>
        <w:rPr>
          <w:rFonts w:ascii="宋体" w:hAnsi="宋体" w:cs="Tahoma" w:hint="eastAsia"/>
          <w:szCs w:val="18"/>
          <w:lang w:eastAsia="zh-CN"/>
        </w:rPr>
        <w:t>相关项目</w:t>
      </w:r>
      <w:r>
        <w:rPr>
          <w:rFonts w:ascii="宋体" w:hAnsi="宋体" w:cs="Tahoma" w:hint="eastAsia"/>
          <w:szCs w:val="18"/>
        </w:rPr>
        <w:t>实施阶段中的广告推广、宣传推广、SP活动、新闻发布会等许多的策划</w:t>
      </w:r>
      <w:r>
        <w:rPr>
          <w:rFonts w:ascii="宋体" w:hAnsi="宋体" w:cs="Tahoma" w:hint="eastAsia"/>
          <w:szCs w:val="18"/>
          <w:lang w:eastAsia="zh-CN"/>
        </w:rPr>
        <w:t>合适的方案</w:t>
      </w:r>
      <w:r>
        <w:rPr>
          <w:rFonts w:ascii="宋体" w:hAnsi="宋体" w:cs="Tahoma" w:hint="eastAsia"/>
          <w:szCs w:val="18"/>
        </w:rPr>
        <w:t>脱离当地的文化也是很难形成共鸣。</w:t>
      </w:r>
    </w:p>
    <w:p>
      <w:pPr>
        <w:pStyle w:val="Normal0"/>
        <w:spacing w:line="360" w:lineRule="auto"/>
        <w:ind w:firstLine="540" w:firstLineChars="257"/>
        <w:rPr>
          <w:rStyle w:val="font11"/>
          <w:rFonts w:ascii="宋体" w:hAnsi="宋体" w:hint="eastAsia"/>
        </w:rPr>
      </w:pPr>
      <w:r>
        <w:rPr>
          <w:rStyle w:val="font11"/>
          <w:rFonts w:ascii="宋体" w:hAnsi="宋体" w:hint="eastAsia"/>
          <w:sz w:val="21"/>
        </w:rPr>
        <w:t>B、经济及战略意义</w:t>
      </w:r>
    </w:p>
    <w:p>
      <w:pPr>
        <w:pStyle w:val="Normal0"/>
        <w:spacing w:line="360" w:lineRule="auto"/>
        <w:ind w:firstLine="540" w:firstLineChars="257"/>
        <w:rPr>
          <w:rFonts w:ascii="宋体" w:hAnsi="宋体" w:cs="Tahoma" w:hint="eastAsia"/>
          <w:szCs w:val="18"/>
        </w:rPr>
      </w:pPr>
      <w:r>
        <w:rPr>
          <w:rFonts w:ascii="宋体" w:hAnsi="宋体" w:hint="eastAsia"/>
          <w:color w:val="000000"/>
        </w:rPr>
        <w:t>本案所处的地理位置原属于盐都县，现被划为盐城市区。</w:t>
      </w:r>
      <w:r>
        <w:rPr>
          <w:rFonts w:ascii="宋体" w:hAnsi="宋体" w:hint="eastAsia"/>
          <w:color w:val="000000"/>
          <w:lang w:eastAsia="zh-CN"/>
        </w:rPr>
        <w:t>相关项目</w:t>
      </w:r>
      <w:r>
        <w:rPr>
          <w:rFonts w:ascii="宋体" w:hAnsi="宋体" w:hint="eastAsia"/>
          <w:color w:val="000000"/>
        </w:rPr>
        <w:t>周边区域的经济不仅受到来自城市中心的辐射，也</w:t>
      </w:r>
      <w:r>
        <w:rPr>
          <w:rFonts w:ascii="宋体" w:hAnsi="宋体" w:cs="Tahoma" w:hint="eastAsia"/>
          <w:szCs w:val="18"/>
        </w:rPr>
        <w:t>随着盐都新区和各镇工业园区的开发建设，一批又一批的大型、特大型高科技</w:t>
      </w:r>
      <w:r>
        <w:rPr>
          <w:rFonts w:ascii="宋体" w:hAnsi="宋体" w:cs="Tahoma" w:hint="eastAsia"/>
          <w:szCs w:val="18"/>
          <w:lang w:eastAsia="zh-CN"/>
        </w:rPr>
        <w:t>相关项目</w:t>
      </w:r>
      <w:r>
        <w:rPr>
          <w:rFonts w:ascii="宋体" w:hAnsi="宋体" w:cs="Tahoma" w:hint="eastAsia"/>
          <w:szCs w:val="18"/>
        </w:rPr>
        <w:t>被陆续引进和建成投产，韩国世钟汽配城、华业医药、丽凯毛绒、龙熙钢结构、唐笑服饰、绿叶化工、桑力太阳能、上禾金属、海特布业等骨干</w:t>
      </w:r>
      <w:r>
        <w:rPr>
          <w:rFonts w:ascii="宋体" w:hAnsi="宋体" w:cs="Tahoma" w:hint="eastAsia"/>
          <w:szCs w:val="18"/>
          <w:lang w:eastAsia="zh-CN"/>
        </w:rPr>
        <w:t>相关项目</w:t>
      </w:r>
      <w:r>
        <w:rPr>
          <w:rFonts w:ascii="宋体" w:hAnsi="宋体" w:cs="Tahoma" w:hint="eastAsia"/>
          <w:szCs w:val="18"/>
        </w:rPr>
        <w:t>投产后迅速形成先进生产力，支撑区域经济一路攀升。</w:t>
      </w:r>
    </w:p>
    <w:p>
      <w:pPr>
        <w:pStyle w:val="Normal0"/>
        <w:spacing w:line="360" w:lineRule="auto"/>
        <w:ind w:firstLine="540" w:firstLineChars="257"/>
        <w:rPr>
          <w:rStyle w:val="font11"/>
          <w:rFonts w:ascii="宋体" w:hAnsi="宋体" w:hint="eastAsia"/>
        </w:rPr>
      </w:pPr>
      <w:r>
        <w:rPr>
          <w:rStyle w:val="font11"/>
          <w:rFonts w:ascii="宋体" w:hAnsi="宋体" w:hint="eastAsia"/>
          <w:sz w:val="21"/>
        </w:rPr>
        <w:t>C、结论</w:t>
      </w:r>
    </w:p>
    <w:p>
      <w:pPr>
        <w:pStyle w:val="Normal0"/>
        <w:spacing w:line="360" w:lineRule="auto"/>
        <w:ind w:firstLine="420" w:firstLineChars="200"/>
        <w:rPr>
          <w:rFonts w:ascii="宋体" w:hAnsi="宋体" w:hint="eastAsia"/>
          <w:szCs w:val="18"/>
        </w:rPr>
      </w:pPr>
      <w:r>
        <w:rPr>
          <w:rStyle w:val="font11"/>
          <w:rFonts w:ascii="宋体" w:hAnsi="宋体" w:hint="eastAsia"/>
          <w:sz w:val="21"/>
        </w:rPr>
        <w:t>宗地</w:t>
      </w:r>
      <w:r>
        <w:rPr>
          <w:rFonts w:ascii="宋体" w:hAnsi="宋体" w:hint="eastAsia"/>
          <w:szCs w:val="18"/>
        </w:rPr>
        <w:t>拥有如此多的历史、经济、文化的底蕴对建设成型小区也是利好因素。在对于</w:t>
      </w:r>
      <w:r>
        <w:rPr>
          <w:rFonts w:ascii="宋体" w:hAnsi="宋体" w:hint="eastAsia"/>
          <w:szCs w:val="18"/>
          <w:lang w:eastAsia="zh-CN"/>
        </w:rPr>
        <w:t>相关项目</w:t>
      </w:r>
      <w:r>
        <w:rPr>
          <w:rFonts w:ascii="宋体" w:hAnsi="宋体" w:hint="eastAsia"/>
          <w:szCs w:val="18"/>
        </w:rPr>
        <w:t>的将来的宣传和推广也是一个可以利用的基础。</w:t>
      </w:r>
    </w:p>
    <w:p>
      <w:pPr>
        <w:pStyle w:val="Normal0"/>
        <w:spacing w:line="360" w:lineRule="auto"/>
        <w:ind w:firstLine="540" w:firstLineChars="257"/>
        <w:rPr>
          <w:rFonts w:ascii="宋体" w:hAnsi="宋体" w:hint="eastAsia"/>
          <w:szCs w:val="18"/>
        </w:rPr>
      </w:pPr>
      <w:r>
        <w:rPr>
          <w:rFonts w:ascii="宋体" w:hAnsi="宋体" w:hint="eastAsia"/>
          <w:szCs w:val="18"/>
        </w:rPr>
        <w:t>经济的不断发展势必对旧结构的突破，住房仅仅是其中的一项，目前本案周边区域的竞争</w:t>
      </w:r>
      <w:r>
        <w:rPr>
          <w:rFonts w:ascii="宋体" w:hAnsi="宋体" w:hint="eastAsia"/>
          <w:szCs w:val="18"/>
          <w:lang w:eastAsia="zh-CN"/>
        </w:rPr>
        <w:t>相关项目</w:t>
      </w:r>
      <w:r>
        <w:rPr>
          <w:rFonts w:ascii="宋体" w:hAnsi="宋体" w:hint="eastAsia"/>
          <w:szCs w:val="18"/>
        </w:rPr>
        <w:t>较多，包括一些比本案规模大或地理位置好的竞争</w:t>
      </w:r>
      <w:r>
        <w:rPr>
          <w:rFonts w:ascii="宋体" w:hAnsi="宋体" w:hint="eastAsia"/>
          <w:szCs w:val="18"/>
          <w:lang w:eastAsia="zh-CN"/>
        </w:rPr>
        <w:t>相关项目</w:t>
      </w:r>
      <w:r>
        <w:rPr>
          <w:rFonts w:ascii="宋体" w:hAnsi="宋体" w:hint="eastAsia"/>
          <w:szCs w:val="18"/>
        </w:rPr>
        <w:t>，这对于</w:t>
      </w:r>
      <w:r>
        <w:rPr>
          <w:rFonts w:ascii="宋体" w:hAnsi="宋体" w:hint="eastAsia"/>
          <w:szCs w:val="18"/>
          <w:lang w:eastAsia="zh-CN"/>
        </w:rPr>
        <w:t>相关项目</w:t>
      </w:r>
      <w:r>
        <w:rPr>
          <w:rFonts w:ascii="宋体" w:hAnsi="宋体" w:hint="eastAsia"/>
          <w:szCs w:val="18"/>
        </w:rPr>
        <w:t>今后的开发销售存在着很大的不利因素。因此，必须对</w:t>
      </w:r>
      <w:r>
        <w:rPr>
          <w:rFonts w:ascii="宋体" w:hAnsi="宋体" w:hint="eastAsia"/>
          <w:szCs w:val="18"/>
          <w:lang w:eastAsia="zh-CN"/>
        </w:rPr>
        <w:t>相关项目</w:t>
      </w:r>
      <w:r>
        <w:rPr>
          <w:rFonts w:ascii="宋体" w:hAnsi="宋体" w:hint="eastAsia"/>
          <w:szCs w:val="18"/>
        </w:rPr>
        <w:t>进行全方位的策划，形成独特的推广概念，通过合理的媒体运作，树立起良好的产品形象，使销售利润达到最大化。同时，好的销售业绩必然能给开发商带来好的企业信誉。我们大唐置业的认真态度和务实的工作作风也非常希望能得到开发商的认可和支持。</w:t>
      </w:r>
    </w:p>
    <w:p>
      <w:pPr>
        <w:pStyle w:val="Normal0"/>
        <w:spacing w:line="360" w:lineRule="auto"/>
        <w:ind w:firstLine="540" w:firstLineChars="257"/>
        <w:rPr>
          <w:rFonts w:ascii="宋体" w:hAnsi="宋体" w:hint="eastAsia"/>
          <w:color w:val="000000"/>
        </w:rPr>
      </w:pPr>
    </w:p>
    <w:p>
      <w:pPr>
        <w:pStyle w:val="Normal0"/>
        <w:spacing w:line="360" w:lineRule="auto"/>
        <w:ind w:firstLine="840" w:firstLineChars="300"/>
        <w:rPr>
          <w:rFonts w:ascii="仿宋_GB2312" w:eastAsia="仿宋_GB2312" w:hAnsi="宋体" w:hint="eastAsia"/>
          <w:sz w:val="28"/>
        </w:rPr>
      </w:pPr>
      <w:r>
        <w:rPr>
          <w:rFonts w:ascii="仿宋_GB2312" w:eastAsia="仿宋_GB2312" w:hAnsi="宋体" w:hint="eastAsia"/>
          <w:sz w:val="28"/>
        </w:rPr>
        <w:t>内部因素</w:t>
      </w:r>
    </w:p>
    <w:p>
      <w:pPr>
        <w:pStyle w:val="Normal0"/>
        <w:numPr>
          <w:ilvl w:val="1"/>
          <w:numId w:val="0"/>
        </w:numPr>
        <w:tabs>
          <w:tab w:val="left" w:pos="360"/>
          <w:tab w:val="left" w:pos="540"/>
        </w:tabs>
        <w:spacing w:line="360" w:lineRule="auto"/>
        <w:ind w:left="718" w:hanging="178" w:leftChars="257" w:hangingChars="85"/>
        <w:rPr>
          <w:rFonts w:ascii="宋体" w:hAnsi="宋体" w:hint="eastAsia"/>
        </w:rPr>
        <w:sectPr>
          <w:headerReference w:type="default" r:id="rId23"/>
          <w:footerReference w:type="default" r:id="rId24"/>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0"/>
          <w:cols w:num="1" w:space="425"/>
          <w:titlePg w:val="0"/>
          <w:docGrid w:type="lines" w:linePitch="312" w:charSpace="0"/>
        </w:sectPr>
      </w:pPr>
      <w:r>
        <w:rPr>
          <w:rFonts w:ascii="宋体" w:hAnsi="宋体" w:hint="eastAsia"/>
        </w:rPr>
        <w:t>开发企业进入重点区域市场、</w:t>
      </w:r>
      <w:r>
        <w:rPr>
          <w:rFonts w:ascii="宋体" w:hAnsi="宋体" w:hint="eastAsia"/>
          <w:lang w:eastAsia="zh-CN"/>
        </w:rPr>
        <w:t>相关项目</w:t>
      </w:r>
      <w:r>
        <w:rPr>
          <w:rFonts w:ascii="宋体" w:hAnsi="宋体" w:hint="eastAsia"/>
        </w:rPr>
        <w:t>合理规划布局、规模建设以及整体</w:t>
      </w:r>
      <w:r>
        <w:rPr>
          <w:rFonts w:ascii="宋体" w:hAnsi="宋体" w:hint="eastAsia"/>
          <w:lang w:eastAsia="zh-CN"/>
        </w:rPr>
        <w:t>相关项目</w:t>
      </w:r>
      <w:r>
        <w:rPr>
          <w:rFonts w:ascii="宋体" w:hAnsi="宋体" w:hint="eastAsia"/>
        </w:rPr>
        <w:t>策划建议的实施等对企业提高</w:t>
      </w:r>
      <w:r>
        <w:rPr>
          <w:rFonts w:ascii="宋体" w:hAnsi="宋体" w:hint="eastAsia"/>
          <w:lang w:eastAsia="zh-CN"/>
        </w:rPr>
        <w:t>相关项目</w:t>
      </w:r>
    </w:p>
    <w:p>
      <w:pPr>
        <w:pStyle w:val="Normal0"/>
        <w:numPr>
          <w:ilvl w:val="1"/>
          <w:numId w:val="0"/>
        </w:numPr>
        <w:tabs>
          <w:tab w:val="left" w:pos="360"/>
          <w:tab w:val="left" w:pos="540"/>
        </w:tabs>
        <w:spacing w:line="360" w:lineRule="auto"/>
        <w:ind w:left="718" w:hanging="178" w:leftChars="257" w:hangingChars="85"/>
        <w:rPr>
          <w:rFonts w:ascii="宋体" w:hAnsi="宋体" w:hint="eastAsia"/>
        </w:rPr>
      </w:pPr>
      <w:r>
        <w:rPr>
          <w:rFonts w:ascii="宋体" w:hAnsi="宋体" w:hint="eastAsia"/>
        </w:rPr>
        <w:t>市场覆盖率、提升企业品牌形象、降低经营风险、扩大企业整体社会影响力等作用都非常明显的。房地产行业作为城市经济指标的重要组成部分，必然会随着城市经济的向前发展而日趋成熟，从目前的情况来看，房地产行业虽然投资大但经济回报率也非常大，同时它的周期短（一般2—4年），一但完成，对开发企业意义非凡。不仅能使企业得到巨大的经济回报，同时也使得开发企业的品牌得以加深和巩固，更具意义的是拓宽了企业的多元化经营道路，使企业的市场生命力和竞争力进一步加强。</w:t>
      </w:r>
    </w:p>
    <w:p>
      <w:pPr>
        <w:pStyle w:val="Normal0"/>
        <w:numPr>
          <w:ilvl w:val="1"/>
          <w:numId w:val="0"/>
        </w:numPr>
        <w:tabs>
          <w:tab w:val="left" w:pos="360"/>
          <w:tab w:val="left" w:pos="720"/>
        </w:tabs>
        <w:spacing w:line="360" w:lineRule="auto"/>
        <w:ind w:left="720" w:hanging="180"/>
        <w:rPr>
          <w:rFonts w:ascii="宋体" w:hAnsi="宋体" w:hint="eastAsia"/>
        </w:rPr>
      </w:pPr>
      <w:r>
        <w:rPr>
          <w:rFonts w:ascii="宋体" w:hAnsi="宋体" w:hint="eastAsia"/>
        </w:rPr>
        <w:t>目前中国的房地产市场发展不均衡，发达城市和不发达城市之间房地产的开发和发展具有明显差异。盐城市（江苏发达的二类城市，同时受长三角经济辐射）在未来必然会提升其城市形象和加大其在江苏地区区域经济中所占的比重。</w:t>
      </w:r>
    </w:p>
    <w:p>
      <w:pPr>
        <w:pStyle w:val="Normal0"/>
        <w:spacing w:line="360" w:lineRule="auto"/>
        <w:rPr>
          <w:rFonts w:ascii="仿宋_GB2312" w:eastAsia="仿宋_GB2312" w:hAnsi="宋体" w:hint="eastAsia"/>
          <w:sz w:val="28"/>
        </w:rPr>
      </w:pPr>
      <w:r>
        <w:rPr>
          <w:rFonts w:ascii="仿宋_GB2312" w:eastAsia="仿宋_GB2312" w:hAnsi="宋体" w:hint="eastAsia"/>
          <w:sz w:val="28"/>
        </w:rPr>
        <w:t>第一部分：</w:t>
      </w:r>
      <w:r>
        <w:rPr>
          <w:rFonts w:ascii="仿宋_GB2312" w:eastAsia="仿宋_GB2312" w:hAnsi="宋体" w:hint="eastAsia"/>
          <w:sz w:val="28"/>
          <w:lang w:eastAsia="zh-CN"/>
        </w:rPr>
        <w:t>相关项目</w:t>
      </w:r>
      <w:r>
        <w:rPr>
          <w:rFonts w:ascii="仿宋_GB2312" w:eastAsia="仿宋_GB2312" w:hAnsi="宋体" w:hint="eastAsia"/>
          <w:sz w:val="28"/>
        </w:rPr>
        <w:t>概况</w:t>
      </w:r>
    </w:p>
    <w:p>
      <w:pPr>
        <w:pStyle w:val="Normal0"/>
        <w:spacing w:line="360" w:lineRule="auto"/>
        <w:rPr>
          <w:rFonts w:ascii="仿宋_GB2312" w:eastAsia="仿宋_GB2312" w:hAnsi="宋体" w:hint="eastAsia"/>
          <w:sz w:val="28"/>
        </w:rPr>
      </w:pPr>
      <w:r>
        <w:rPr>
          <w:rFonts w:ascii="仿宋_GB2312" w:eastAsia="仿宋_GB2312" w:hAnsi="宋体" w:hint="eastAsia"/>
          <w:sz w:val="28"/>
        </w:rPr>
        <w:t>一、 宗地位置</w:t>
      </w:r>
    </w:p>
    <w:p>
      <w:pPr>
        <w:pStyle w:val="Normal0"/>
        <w:spacing w:line="360" w:lineRule="auto"/>
        <w:ind w:firstLine="400" w:firstLineChars="200"/>
        <w:rPr>
          <w:rFonts w:ascii="宋体" w:hAnsi="宋体" w:hint="eastAsia"/>
        </w:rPr>
      </w:pPr>
      <w:r>
        <w:rPr>
          <w:rFonts w:ascii="宋体" w:hAnsi="宋体"/>
          <w:sz w:val="20"/>
        </w:rPr>
        <w:pict>
          <v:shapetype id="_x0000_t202" coordsize="21600,21600" o:spt="202" path="m,l,21600r21600,l21600,xe">
            <v:stroke joinstyle="miter"/>
            <v:path gradientshapeok="t" o:connecttype="rect"/>
          </v:shapetype>
          <v:shape id="_x0000_s1025" o:spid="_x0000_s1025" type="#_x0000_t202" style="width:291.2pt;height:286.25pt;margin-top:31.2pt;margin-left:81pt;mso-height-relative:page;mso-width-relative:page;position:absolute;z-index:251658240" coordsize="21600,21600" filled="f" stroked="f">
            <v:stroke joinstyle="miter"/>
            <v:textbox>
              <w:txbxContent>
                <w:p>
                  <w:pPr>
                    <w:pStyle w:val="Normal0"/>
                  </w:pPr>
                  <w:r>
                    <w:rPr>
                      <w:rFonts w:ascii="宋体" w:hAnsi="宋体"/>
                      <w:sz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76.8pt;height:279.05pt" o:ole="" coordsize="21600,21600" o:preferrelative="t" filled="f" stroked="f">
                        <v:stroke joinstyle="miter"/>
                        <v:imagedata r:id="rId25" o:title="" cropbottom="2380f" cropleft="2844f"/>
                        <o:lock v:ext="edit" aspectratio="t"/>
                        <w10:anchorlock/>
                      </v:shape>
                      <o:OLEObject Type="Embed" ProgID="Word.Picture.8" ShapeID="_x0000_i1026" DrawAspect="Content" ObjectID="_1468075725" r:id="rId26"/>
                    </w:object>
                  </w:r>
                </w:p>
              </w:txbxContent>
            </v:textbox>
          </v:shape>
        </w:pict>
      </w:r>
      <w:r>
        <w:rPr>
          <w:rFonts w:ascii="宋体" w:hAnsi="宋体" w:hint="eastAsia"/>
        </w:rPr>
        <w:t>宗地所处城市、行政区域、非行政区域（经济开发区、商贸金融区等）的地理位置：</w:t>
      </w:r>
      <w:r>
        <w:rPr>
          <w:rFonts w:ascii="宋体" w:hAnsi="宋体"/>
        </w:rPr>
        <w:t xml:space="preserve"> </w:t>
      </w: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Normal0"/>
        <w:spacing w:line="360" w:lineRule="auto"/>
        <w:rPr>
          <w:rFonts w:ascii="仿宋_GB2312" w:eastAsia="仿宋_GB2312" w:hAnsi="宋体" w:hint="eastAsia"/>
          <w:sz w:val="28"/>
        </w:rPr>
      </w:pPr>
      <w:r>
        <w:rPr>
          <w:rFonts w:ascii="仿宋_GB2312" w:eastAsia="仿宋_GB2312" w:hAnsi="宋体" w:hint="eastAsia"/>
          <w:sz w:val="28"/>
        </w:rPr>
        <w:t>二、</w:t>
      </w:r>
      <w:r>
        <w:rPr>
          <w:rFonts w:ascii="仿宋_GB2312" w:eastAsia="仿宋_GB2312" w:hAnsi="宋体"/>
          <w:sz w:val="28"/>
        </w:rPr>
        <w:t xml:space="preserve"> </w:t>
      </w:r>
      <w:r>
        <w:rPr>
          <w:rFonts w:ascii="仿宋_GB2312" w:eastAsia="仿宋_GB2312" w:hAnsi="宋体" w:hint="eastAsia"/>
          <w:sz w:val="28"/>
        </w:rPr>
        <w:t>宗地现状</w:t>
      </w:r>
    </w:p>
    <w:p>
      <w:pPr>
        <w:pStyle w:val="Normal0"/>
        <w:numPr>
          <w:ilvl w:val="1"/>
          <w:numId w:val="0"/>
        </w:numPr>
        <w:tabs>
          <w:tab w:val="left" w:pos="360"/>
        </w:tabs>
        <w:spacing w:line="360" w:lineRule="auto"/>
        <w:rPr>
          <w:rFonts w:hint="eastAsia"/>
        </w:rPr>
      </w:pPr>
      <w:r>
        <w:rPr>
          <w:rFonts w:hint="eastAsia"/>
        </w:rPr>
        <w:t>宗地位置较好，地处盐城中心西南面，距离市中心直线距离1000米、道路距离2000米。</w:t>
      </w:r>
    </w:p>
    <w:p>
      <w:pPr>
        <w:pStyle w:val="Normal0"/>
        <w:numPr>
          <w:ilvl w:val="1"/>
          <w:numId w:val="0"/>
        </w:numPr>
        <w:tabs>
          <w:tab w:val="left" w:pos="360"/>
        </w:tabs>
        <w:spacing w:line="360" w:lineRule="auto"/>
        <w:rPr>
          <w:rFonts w:ascii="宋体" w:hAnsi="宋体" w:hint="eastAsia"/>
        </w:rPr>
      </w:pPr>
      <w:r>
        <w:rPr>
          <w:rFonts w:hint="eastAsia"/>
        </w:rPr>
        <w:t>地势平坦，自然标高相当于黄海高程2.76米。</w:t>
      </w:r>
    </w:p>
    <w:p>
      <w:pPr>
        <w:pStyle w:val="Normal0"/>
        <w:numPr>
          <w:ilvl w:val="1"/>
          <w:numId w:val="0"/>
        </w:numPr>
        <w:tabs>
          <w:tab w:val="left" w:pos="360"/>
        </w:tabs>
        <w:spacing w:line="360" w:lineRule="auto"/>
        <w:rPr>
          <w:rFonts w:ascii="宋体" w:hAnsi="宋体" w:hint="eastAsia"/>
        </w:rPr>
      </w:pPr>
      <w:r>
        <w:rPr>
          <w:rFonts w:hint="eastAsia"/>
        </w:rPr>
        <w:t>目前宗地不存在地面居民、工厂、拆迁等工作。</w:t>
      </w:r>
    </w:p>
    <w:p>
      <w:pPr>
        <w:pStyle w:val="Normal0"/>
        <w:numPr>
          <w:ilvl w:val="1"/>
          <w:numId w:val="0"/>
        </w:numPr>
        <w:tabs>
          <w:tab w:val="left" w:pos="360"/>
        </w:tabs>
        <w:spacing w:line="360" w:lineRule="auto"/>
        <w:rPr>
          <w:rFonts w:ascii="宋体" w:hAnsi="宋体" w:hint="eastAsia"/>
        </w:rPr>
        <w:sectPr>
          <w:headerReference w:type="default" r:id="rId27"/>
          <w:footerReference w:type="default" r:id="rId28"/>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1"/>
          <w:cols w:num="1" w:space="425"/>
          <w:titlePg w:val="0"/>
          <w:docGrid w:type="lines" w:linePitch="312" w:charSpace="0"/>
        </w:sectPr>
      </w:pPr>
      <w:r>
        <w:rPr>
          <w:rFonts w:hint="eastAsia"/>
        </w:rPr>
        <w:t>地下情况，包括管线、地下电缆、暗渠、地上建筑物原有桩基及地下建筑、结构等（开发商提供）</w:t>
      </w:r>
    </w:p>
    <w:p>
      <w:pPr>
        <w:pStyle w:val="Normal0"/>
        <w:spacing w:line="360" w:lineRule="auto"/>
        <w:ind w:left="980"/>
        <w:rPr>
          <w:rFonts w:ascii="宋体" w:hAnsi="宋体" w:hint="eastAsia"/>
        </w:rPr>
      </w:pPr>
    </w:p>
    <w:p>
      <w:pPr>
        <w:pStyle w:val="Normal0"/>
        <w:spacing w:line="360" w:lineRule="auto"/>
        <w:rPr>
          <w:rFonts w:ascii="宋体" w:hAnsi="宋体" w:hint="eastAsia"/>
        </w:rPr>
      </w:pPr>
      <w:r>
        <w:rPr>
          <w:rFonts w:eastAsia="仿宋_GB2312" w:hint="eastAsia"/>
          <w:sz w:val="28"/>
        </w:rPr>
        <w:t xml:space="preserve">三、 </w:t>
      </w:r>
      <w:r>
        <w:rPr>
          <w:rFonts w:ascii="宋体" w:eastAsia="仿宋_GB2312" w:hAnsi="宋体" w:hint="eastAsia"/>
          <w:sz w:val="28"/>
          <w:lang w:eastAsia="zh-CN"/>
        </w:rPr>
        <w:t>相关项目</w:t>
      </w:r>
      <w:r>
        <w:rPr>
          <w:rFonts w:ascii="宋体" w:eastAsia="仿宋_GB2312" w:hAnsi="宋体" w:hint="eastAsia"/>
          <w:sz w:val="28"/>
        </w:rPr>
        <w:t>规划数据</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40"/>
        <w:gridCol w:w="6"/>
        <w:gridCol w:w="2961"/>
        <w:gridCol w:w="1960"/>
        <w:gridCol w:w="275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trHeight w:val="465"/>
        </w:trPr>
        <w:tc>
          <w:tcPr>
            <w:tcW w:w="3807" w:type="dxa"/>
            <w:gridSpan w:val="3"/>
            <w:shd w:val="clear" w:color="auto" w:fill="E0E0E0"/>
          </w:tcPr>
          <w:p>
            <w:pPr>
              <w:pStyle w:val="Normal0"/>
              <w:spacing w:line="360" w:lineRule="auto"/>
              <w:jc w:val="center"/>
              <w:rPr>
                <w:rFonts w:ascii="宋体" w:hAnsi="宋体" w:hint="eastAsia"/>
              </w:rPr>
            </w:pPr>
            <w:r>
              <w:rPr>
                <w:rFonts w:ascii="宋体" w:hAnsi="宋体" w:hint="eastAsia"/>
              </w:rPr>
              <w:t>数据名称</w:t>
            </w:r>
          </w:p>
        </w:tc>
        <w:tc>
          <w:tcPr>
            <w:tcW w:w="4715" w:type="dxa"/>
            <w:gridSpan w:val="2"/>
            <w:shd w:val="clear" w:color="auto" w:fill="E0E0E0"/>
          </w:tcPr>
          <w:p>
            <w:pPr>
              <w:pStyle w:val="Normal0"/>
              <w:spacing w:line="360" w:lineRule="auto"/>
              <w:jc w:val="center"/>
              <w:rPr>
                <w:rFonts w:ascii="宋体" w:hAnsi="宋体" w:hint="eastAsia"/>
              </w:rPr>
            </w:pPr>
            <w:r>
              <w:rPr>
                <w:rFonts w:ascii="宋体" w:hAnsi="宋体" w:hint="eastAsia"/>
              </w:rPr>
              <w:t>具体数据</w:t>
            </w:r>
          </w:p>
        </w:tc>
      </w:tr>
      <w:tr>
        <w:tblPrEx>
          <w:tblW w:w="0" w:type="auto"/>
          <w:tblInd w:w="0" w:type="dxa"/>
          <w:tblCellMar>
            <w:top w:w="0" w:type="dxa"/>
            <w:left w:w="108" w:type="dxa"/>
            <w:bottom w:w="0" w:type="dxa"/>
            <w:right w:w="108" w:type="dxa"/>
          </w:tblCellMar>
        </w:tblPrEx>
        <w:trPr>
          <w:trHeight w:val="465"/>
        </w:trPr>
        <w:tc>
          <w:tcPr>
            <w:tcW w:w="3807" w:type="dxa"/>
            <w:gridSpan w:val="3"/>
            <w:shd w:val="clear" w:color="auto" w:fill="E0E0E0"/>
          </w:tcPr>
          <w:p>
            <w:pPr>
              <w:pStyle w:val="Normal0"/>
              <w:spacing w:line="360" w:lineRule="auto"/>
              <w:rPr>
                <w:rFonts w:ascii="宋体" w:hAnsi="宋体" w:hint="eastAsia"/>
              </w:rPr>
            </w:pPr>
            <w:r>
              <w:rPr>
                <w:rFonts w:ascii="宋体" w:hAnsi="宋体" w:hint="eastAsia"/>
              </w:rPr>
              <w:t>基地面积</w:t>
            </w:r>
          </w:p>
        </w:tc>
        <w:tc>
          <w:tcPr>
            <w:tcW w:w="1960" w:type="dxa"/>
          </w:tcPr>
          <w:p>
            <w:pPr>
              <w:pStyle w:val="Normal0"/>
              <w:spacing w:line="360" w:lineRule="auto"/>
              <w:jc w:val="left"/>
              <w:rPr>
                <w:rFonts w:ascii="宋体" w:hAnsi="宋体" w:hint="eastAsia"/>
              </w:rPr>
            </w:pPr>
            <w:r>
              <w:rPr>
                <w:rFonts w:ascii="宋体" w:hAnsi="宋体" w:hint="eastAsia"/>
              </w:rPr>
              <w:t>9250 M</w:t>
            </w:r>
            <w:r>
              <w:rPr>
                <w:rFonts w:ascii="宋体" w:hAnsi="宋体" w:hint="eastAsia"/>
                <w:vertAlign w:val="superscript"/>
              </w:rPr>
              <w:t>2</w:t>
            </w:r>
          </w:p>
        </w:tc>
        <w:tc>
          <w:tcPr>
            <w:tcW w:w="2755" w:type="dxa"/>
          </w:tcPr>
          <w:p>
            <w:pPr>
              <w:pStyle w:val="Normal0"/>
              <w:spacing w:line="360" w:lineRule="auto"/>
              <w:rPr>
                <w:rFonts w:ascii="宋体" w:hAnsi="宋体" w:hint="eastAsia"/>
              </w:rPr>
            </w:pPr>
          </w:p>
        </w:tc>
      </w:tr>
      <w:tr>
        <w:tblPrEx>
          <w:tblW w:w="0" w:type="auto"/>
          <w:tblInd w:w="0" w:type="dxa"/>
          <w:tblCellMar>
            <w:top w:w="0" w:type="dxa"/>
            <w:left w:w="108" w:type="dxa"/>
            <w:bottom w:w="0" w:type="dxa"/>
            <w:right w:w="108" w:type="dxa"/>
          </w:tblCellMar>
        </w:tblPrEx>
        <w:tc>
          <w:tcPr>
            <w:tcW w:w="3807" w:type="dxa"/>
            <w:gridSpan w:val="3"/>
            <w:shd w:val="clear" w:color="auto" w:fill="E0E0E0"/>
          </w:tcPr>
          <w:p>
            <w:pPr>
              <w:pStyle w:val="Normal0"/>
              <w:spacing w:line="360" w:lineRule="auto"/>
              <w:rPr>
                <w:rFonts w:ascii="宋体" w:hAnsi="宋体" w:hint="eastAsia"/>
              </w:rPr>
            </w:pPr>
            <w:r>
              <w:rPr>
                <w:rFonts w:ascii="宋体" w:hAnsi="宋体" w:hint="eastAsia"/>
              </w:rPr>
              <w:t>总建筑面积</w:t>
            </w:r>
          </w:p>
        </w:tc>
        <w:tc>
          <w:tcPr>
            <w:tcW w:w="1960" w:type="dxa"/>
          </w:tcPr>
          <w:p>
            <w:pPr>
              <w:pStyle w:val="Normal0"/>
              <w:spacing w:line="360" w:lineRule="auto"/>
              <w:rPr>
                <w:rFonts w:ascii="宋体" w:hAnsi="宋体" w:hint="eastAsia"/>
              </w:rPr>
            </w:pPr>
            <w:r>
              <w:rPr>
                <w:rFonts w:ascii="宋体" w:hAnsi="宋体" w:hint="eastAsia"/>
              </w:rPr>
              <w:t>23886 M</w:t>
            </w:r>
            <w:r>
              <w:rPr>
                <w:rFonts w:ascii="宋体" w:hAnsi="宋体" w:hint="eastAsia"/>
                <w:vertAlign w:val="superscript"/>
              </w:rPr>
              <w:t>2</w:t>
            </w:r>
          </w:p>
        </w:tc>
        <w:tc>
          <w:tcPr>
            <w:tcW w:w="2755" w:type="dxa"/>
          </w:tcPr>
          <w:p>
            <w:pPr>
              <w:pStyle w:val="Normal0"/>
              <w:spacing w:line="360" w:lineRule="auto"/>
              <w:rPr>
                <w:rFonts w:ascii="宋体" w:hAnsi="宋体" w:hint="eastAsia"/>
              </w:rPr>
            </w:pPr>
          </w:p>
        </w:tc>
      </w:tr>
      <w:tr>
        <w:tblPrEx>
          <w:tblW w:w="0" w:type="auto"/>
          <w:tblInd w:w="0" w:type="dxa"/>
          <w:tblCellMar>
            <w:top w:w="0" w:type="dxa"/>
            <w:left w:w="108" w:type="dxa"/>
            <w:bottom w:w="0" w:type="dxa"/>
            <w:right w:w="108" w:type="dxa"/>
          </w:tblCellMar>
        </w:tblPrEx>
        <w:trPr>
          <w:cantSplit/>
          <w:trHeight w:val="450"/>
        </w:trPr>
        <w:tc>
          <w:tcPr>
            <w:tcW w:w="846" w:type="dxa"/>
            <w:gridSpan w:val="2"/>
            <w:vMerge w:val="restart"/>
            <w:shd w:val="clear" w:color="auto" w:fill="E0E0E0"/>
          </w:tcPr>
          <w:p>
            <w:pPr>
              <w:pStyle w:val="Normal0"/>
              <w:spacing w:line="360" w:lineRule="auto"/>
              <w:rPr>
                <w:rFonts w:ascii="宋体" w:hAnsi="宋体"/>
              </w:rPr>
            </w:pPr>
            <w:r>
              <w:rPr>
                <w:rFonts w:ascii="宋体" w:hAnsi="宋体" w:hint="eastAsia"/>
              </w:rPr>
              <w:t>其中：</w:t>
            </w:r>
          </w:p>
          <w:p>
            <w:pPr>
              <w:pStyle w:val="Normal0"/>
              <w:spacing w:line="360" w:lineRule="auto"/>
              <w:ind w:firstLine="630" w:firstLineChars="300"/>
              <w:rPr>
                <w:rFonts w:ascii="宋体" w:hAnsi="宋体"/>
              </w:rPr>
            </w:pPr>
          </w:p>
          <w:p>
            <w:pPr>
              <w:pStyle w:val="Normal0"/>
              <w:spacing w:line="360" w:lineRule="auto"/>
              <w:rPr>
                <w:rFonts w:ascii="宋体" w:hAnsi="宋体" w:hint="eastAsia"/>
              </w:rPr>
            </w:pPr>
          </w:p>
        </w:tc>
        <w:tc>
          <w:tcPr>
            <w:tcW w:w="2961" w:type="dxa"/>
            <w:shd w:val="clear" w:color="auto" w:fill="E0E0E0"/>
          </w:tcPr>
          <w:p>
            <w:pPr>
              <w:pStyle w:val="Normal0"/>
              <w:spacing w:line="360" w:lineRule="auto"/>
              <w:rPr>
                <w:rFonts w:ascii="宋体" w:hAnsi="宋体" w:hint="eastAsia"/>
              </w:rPr>
            </w:pPr>
            <w:r>
              <w:rPr>
                <w:rFonts w:ascii="宋体" w:hAnsi="宋体" w:hint="eastAsia"/>
              </w:rPr>
              <w:t>住宅建筑面积</w:t>
            </w:r>
          </w:p>
        </w:tc>
        <w:tc>
          <w:tcPr>
            <w:tcW w:w="1960" w:type="dxa"/>
          </w:tcPr>
          <w:p>
            <w:pPr>
              <w:pStyle w:val="Normal0"/>
              <w:spacing w:line="360" w:lineRule="auto"/>
              <w:rPr>
                <w:rFonts w:ascii="宋体" w:hAnsi="宋体" w:hint="eastAsia"/>
              </w:rPr>
            </w:pPr>
            <w:r>
              <w:rPr>
                <w:rFonts w:ascii="宋体" w:hAnsi="宋体" w:hint="eastAsia"/>
              </w:rPr>
              <w:t>18353 M</w:t>
            </w:r>
            <w:r>
              <w:rPr>
                <w:rFonts w:ascii="宋体" w:hAnsi="宋体" w:hint="eastAsia"/>
                <w:vertAlign w:val="superscript"/>
              </w:rPr>
              <w:t>2</w:t>
            </w:r>
          </w:p>
        </w:tc>
        <w:tc>
          <w:tcPr>
            <w:tcW w:w="2755" w:type="dxa"/>
          </w:tcPr>
          <w:p>
            <w:pPr>
              <w:pStyle w:val="Normal0"/>
              <w:spacing w:line="360" w:lineRule="auto"/>
              <w:rPr>
                <w:rFonts w:ascii="宋体" w:hAnsi="宋体" w:hint="eastAsia"/>
              </w:rPr>
            </w:pPr>
            <w:r>
              <w:rPr>
                <w:rFonts w:ascii="宋体" w:hAnsi="宋体" w:hint="eastAsia"/>
              </w:rPr>
              <w:t>所占比例77%</w:t>
            </w:r>
          </w:p>
        </w:tc>
      </w:tr>
      <w:tr>
        <w:tblPrEx>
          <w:tblW w:w="0" w:type="auto"/>
          <w:tblInd w:w="0" w:type="dxa"/>
          <w:tblCellMar>
            <w:top w:w="0" w:type="dxa"/>
            <w:left w:w="108" w:type="dxa"/>
            <w:bottom w:w="0" w:type="dxa"/>
            <w:right w:w="108" w:type="dxa"/>
          </w:tblCellMar>
        </w:tblPrEx>
        <w:trPr>
          <w:cantSplit/>
          <w:trHeight w:val="420"/>
        </w:trPr>
        <w:tc>
          <w:tcPr>
            <w:tcW w:w="846" w:type="dxa"/>
            <w:gridSpan w:val="2"/>
            <w:vMerge/>
            <w:shd w:val="clear" w:color="auto" w:fill="E0E0E0"/>
          </w:tcPr>
          <w:p>
            <w:pPr>
              <w:pStyle w:val="Normal0"/>
              <w:spacing w:line="360" w:lineRule="auto"/>
              <w:rPr>
                <w:rFonts w:ascii="宋体" w:hAnsi="宋体" w:hint="eastAsia"/>
              </w:rPr>
            </w:pPr>
          </w:p>
        </w:tc>
        <w:tc>
          <w:tcPr>
            <w:tcW w:w="2961" w:type="dxa"/>
            <w:shd w:val="clear" w:color="auto" w:fill="E0E0E0"/>
          </w:tcPr>
          <w:p>
            <w:pPr>
              <w:pStyle w:val="Normal0"/>
              <w:spacing w:line="360" w:lineRule="auto"/>
              <w:rPr>
                <w:rFonts w:ascii="宋体" w:hAnsi="宋体" w:hint="eastAsia"/>
              </w:rPr>
            </w:pPr>
            <w:r>
              <w:rPr>
                <w:rFonts w:ascii="宋体" w:hAnsi="宋体" w:hint="eastAsia"/>
              </w:rPr>
              <w:t>商业及配套公建建筑面积</w:t>
            </w:r>
          </w:p>
        </w:tc>
        <w:tc>
          <w:tcPr>
            <w:tcW w:w="1960" w:type="dxa"/>
          </w:tcPr>
          <w:p>
            <w:pPr>
              <w:pStyle w:val="Normal0"/>
              <w:spacing w:line="360" w:lineRule="auto"/>
              <w:rPr>
                <w:rFonts w:ascii="宋体" w:hAnsi="宋体" w:hint="eastAsia"/>
              </w:rPr>
            </w:pPr>
            <w:r>
              <w:rPr>
                <w:rFonts w:ascii="宋体" w:hAnsi="宋体" w:hint="eastAsia"/>
              </w:rPr>
              <w:t>4023 M</w:t>
            </w:r>
            <w:r>
              <w:rPr>
                <w:rFonts w:ascii="宋体" w:hAnsi="宋体" w:hint="eastAsia"/>
                <w:vertAlign w:val="superscript"/>
              </w:rPr>
              <w:t>2</w:t>
            </w:r>
          </w:p>
        </w:tc>
        <w:tc>
          <w:tcPr>
            <w:tcW w:w="2755" w:type="dxa"/>
          </w:tcPr>
          <w:p>
            <w:pPr>
              <w:pStyle w:val="Normal0"/>
              <w:spacing w:line="360" w:lineRule="auto"/>
              <w:rPr>
                <w:rFonts w:ascii="宋体" w:hAnsi="宋体" w:hint="eastAsia"/>
              </w:rPr>
            </w:pPr>
            <w:r>
              <w:rPr>
                <w:rFonts w:ascii="宋体" w:hAnsi="宋体" w:hint="eastAsia"/>
              </w:rPr>
              <w:t>所占比例17%</w:t>
            </w:r>
          </w:p>
        </w:tc>
      </w:tr>
      <w:tr>
        <w:tblPrEx>
          <w:tblW w:w="0" w:type="auto"/>
          <w:tblInd w:w="0" w:type="dxa"/>
          <w:tblCellMar>
            <w:top w:w="0" w:type="dxa"/>
            <w:left w:w="108" w:type="dxa"/>
            <w:bottom w:w="0" w:type="dxa"/>
            <w:right w:w="108" w:type="dxa"/>
          </w:tblCellMar>
        </w:tblPrEx>
        <w:trPr>
          <w:cantSplit/>
          <w:trHeight w:val="525"/>
        </w:trPr>
        <w:tc>
          <w:tcPr>
            <w:tcW w:w="846" w:type="dxa"/>
            <w:gridSpan w:val="2"/>
            <w:vMerge/>
            <w:shd w:val="clear" w:color="auto" w:fill="E0E0E0"/>
          </w:tcPr>
          <w:p>
            <w:pPr>
              <w:pStyle w:val="Normal0"/>
              <w:spacing w:line="360" w:lineRule="auto"/>
              <w:rPr>
                <w:rFonts w:ascii="宋体" w:hAnsi="宋体" w:hint="eastAsia"/>
              </w:rPr>
            </w:pPr>
          </w:p>
        </w:tc>
        <w:tc>
          <w:tcPr>
            <w:tcW w:w="2961" w:type="dxa"/>
            <w:shd w:val="clear" w:color="auto" w:fill="E0E0E0"/>
          </w:tcPr>
          <w:p>
            <w:pPr>
              <w:pStyle w:val="Normal0"/>
              <w:spacing w:line="360" w:lineRule="auto"/>
              <w:rPr>
                <w:rFonts w:ascii="宋体" w:hAnsi="宋体" w:hint="eastAsia"/>
              </w:rPr>
            </w:pPr>
            <w:r>
              <w:rPr>
                <w:rFonts w:ascii="宋体" w:hAnsi="宋体" w:hint="eastAsia"/>
              </w:rPr>
              <w:t>停车库建筑面积</w:t>
            </w:r>
          </w:p>
        </w:tc>
        <w:tc>
          <w:tcPr>
            <w:tcW w:w="1960" w:type="dxa"/>
          </w:tcPr>
          <w:p>
            <w:pPr>
              <w:pStyle w:val="Normal0"/>
              <w:spacing w:line="360" w:lineRule="auto"/>
              <w:rPr>
                <w:rFonts w:ascii="宋体" w:hAnsi="宋体" w:hint="eastAsia"/>
              </w:rPr>
            </w:pPr>
            <w:r>
              <w:rPr>
                <w:rFonts w:ascii="宋体" w:hAnsi="宋体" w:hint="eastAsia"/>
              </w:rPr>
              <w:t>1505 M</w:t>
            </w:r>
            <w:r>
              <w:rPr>
                <w:rFonts w:ascii="宋体" w:hAnsi="宋体" w:hint="eastAsia"/>
                <w:vertAlign w:val="superscript"/>
              </w:rPr>
              <w:t>2</w:t>
            </w:r>
          </w:p>
        </w:tc>
        <w:tc>
          <w:tcPr>
            <w:tcW w:w="2755" w:type="dxa"/>
          </w:tcPr>
          <w:p>
            <w:pPr>
              <w:pStyle w:val="Normal0"/>
              <w:spacing w:line="360" w:lineRule="auto"/>
              <w:rPr>
                <w:rFonts w:ascii="宋体" w:hAnsi="宋体" w:hint="eastAsia"/>
              </w:rPr>
            </w:pPr>
            <w:r>
              <w:rPr>
                <w:rFonts w:ascii="宋体" w:hAnsi="宋体" w:hint="eastAsia"/>
              </w:rPr>
              <w:t>所占比例 6%</w:t>
            </w:r>
          </w:p>
        </w:tc>
      </w:tr>
      <w:tr>
        <w:tblPrEx>
          <w:tblW w:w="0" w:type="auto"/>
          <w:tblInd w:w="0" w:type="dxa"/>
          <w:tblCellMar>
            <w:top w:w="0" w:type="dxa"/>
            <w:left w:w="108" w:type="dxa"/>
            <w:bottom w:w="0" w:type="dxa"/>
            <w:right w:w="108" w:type="dxa"/>
          </w:tblCellMar>
        </w:tblPrEx>
        <w:tc>
          <w:tcPr>
            <w:tcW w:w="3807" w:type="dxa"/>
            <w:gridSpan w:val="3"/>
            <w:shd w:val="clear" w:color="auto" w:fill="E0E0E0"/>
          </w:tcPr>
          <w:p>
            <w:pPr>
              <w:pStyle w:val="Normal0"/>
              <w:spacing w:line="360" w:lineRule="auto"/>
              <w:rPr>
                <w:rFonts w:ascii="宋体" w:hAnsi="宋体" w:hint="eastAsia"/>
              </w:rPr>
            </w:pPr>
            <w:r>
              <w:rPr>
                <w:rFonts w:ascii="宋体" w:hAnsi="宋体" w:hint="eastAsia"/>
              </w:rPr>
              <w:t>综合容积率</w:t>
            </w:r>
          </w:p>
        </w:tc>
        <w:tc>
          <w:tcPr>
            <w:tcW w:w="1960" w:type="dxa"/>
          </w:tcPr>
          <w:p>
            <w:pPr>
              <w:pStyle w:val="Normal0"/>
              <w:spacing w:line="360" w:lineRule="auto"/>
              <w:rPr>
                <w:rFonts w:ascii="宋体" w:hAnsi="宋体" w:hint="eastAsia"/>
              </w:rPr>
            </w:pPr>
            <w:r>
              <w:rPr>
                <w:rFonts w:ascii="宋体" w:hAnsi="宋体" w:hint="eastAsia"/>
              </w:rPr>
              <w:t>2.58</w:t>
            </w:r>
          </w:p>
        </w:tc>
        <w:tc>
          <w:tcPr>
            <w:tcW w:w="2755" w:type="dxa"/>
          </w:tcPr>
          <w:p>
            <w:pPr>
              <w:pStyle w:val="Normal0"/>
              <w:spacing w:line="360" w:lineRule="auto"/>
              <w:rPr>
                <w:rFonts w:ascii="宋体" w:hAnsi="宋体" w:hint="eastAsia"/>
              </w:rPr>
            </w:pPr>
          </w:p>
        </w:tc>
      </w:tr>
      <w:tr>
        <w:tblPrEx>
          <w:tblW w:w="0" w:type="auto"/>
          <w:tblInd w:w="0" w:type="dxa"/>
          <w:tblCellMar>
            <w:top w:w="0" w:type="dxa"/>
            <w:left w:w="108" w:type="dxa"/>
            <w:bottom w:w="0" w:type="dxa"/>
            <w:right w:w="108" w:type="dxa"/>
          </w:tblCellMar>
        </w:tblPrEx>
        <w:tc>
          <w:tcPr>
            <w:tcW w:w="3807" w:type="dxa"/>
            <w:gridSpan w:val="3"/>
            <w:shd w:val="clear" w:color="auto" w:fill="E0E0E0"/>
          </w:tcPr>
          <w:p>
            <w:pPr>
              <w:pStyle w:val="Normal0"/>
              <w:spacing w:line="360" w:lineRule="auto"/>
              <w:rPr>
                <w:rFonts w:ascii="宋体" w:hAnsi="宋体" w:hint="eastAsia"/>
              </w:rPr>
            </w:pPr>
            <w:r>
              <w:rPr>
                <w:rFonts w:ascii="宋体" w:hAnsi="宋体" w:hint="eastAsia"/>
              </w:rPr>
              <w:t>建筑密度</w:t>
            </w:r>
          </w:p>
        </w:tc>
        <w:tc>
          <w:tcPr>
            <w:tcW w:w="1960" w:type="dxa"/>
          </w:tcPr>
          <w:p>
            <w:pPr>
              <w:pStyle w:val="Normal0"/>
              <w:spacing w:line="360" w:lineRule="auto"/>
              <w:rPr>
                <w:rFonts w:ascii="宋体" w:hAnsi="宋体" w:hint="eastAsia"/>
              </w:rPr>
            </w:pPr>
            <w:r>
              <w:rPr>
                <w:rFonts w:ascii="宋体" w:hAnsi="宋体" w:hint="eastAsia"/>
              </w:rPr>
              <w:t>34%</w:t>
            </w:r>
          </w:p>
        </w:tc>
        <w:tc>
          <w:tcPr>
            <w:tcW w:w="2755" w:type="dxa"/>
          </w:tcPr>
          <w:p>
            <w:pPr>
              <w:pStyle w:val="Normal0"/>
              <w:spacing w:line="360" w:lineRule="auto"/>
              <w:rPr>
                <w:rFonts w:ascii="宋体" w:hAnsi="宋体" w:hint="eastAsia"/>
              </w:rPr>
            </w:pPr>
          </w:p>
        </w:tc>
      </w:tr>
      <w:tr>
        <w:tblPrEx>
          <w:tblW w:w="0" w:type="auto"/>
          <w:tblInd w:w="0" w:type="dxa"/>
          <w:tblCellMar>
            <w:top w:w="0" w:type="dxa"/>
            <w:left w:w="108" w:type="dxa"/>
            <w:bottom w:w="0" w:type="dxa"/>
            <w:right w:w="108" w:type="dxa"/>
          </w:tblCellMar>
        </w:tblPrEx>
        <w:tc>
          <w:tcPr>
            <w:tcW w:w="3807" w:type="dxa"/>
            <w:gridSpan w:val="3"/>
            <w:shd w:val="clear" w:color="auto" w:fill="E0E0E0"/>
          </w:tcPr>
          <w:p>
            <w:pPr>
              <w:pStyle w:val="Normal0"/>
              <w:spacing w:line="360" w:lineRule="auto"/>
              <w:rPr>
                <w:rFonts w:ascii="宋体" w:hAnsi="宋体" w:hint="eastAsia"/>
              </w:rPr>
            </w:pPr>
            <w:r>
              <w:rPr>
                <w:rFonts w:ascii="宋体" w:hAnsi="宋体" w:hint="eastAsia"/>
              </w:rPr>
              <w:t>集中绿化率</w:t>
            </w:r>
          </w:p>
        </w:tc>
        <w:tc>
          <w:tcPr>
            <w:tcW w:w="1960" w:type="dxa"/>
          </w:tcPr>
          <w:p>
            <w:pPr>
              <w:pStyle w:val="Normal0"/>
              <w:spacing w:line="360" w:lineRule="auto"/>
              <w:rPr>
                <w:rFonts w:ascii="宋体" w:hAnsi="宋体" w:hint="eastAsia"/>
              </w:rPr>
            </w:pPr>
            <w:r>
              <w:rPr>
                <w:rFonts w:ascii="宋体" w:hAnsi="宋体" w:hint="eastAsia"/>
              </w:rPr>
              <w:t>11.2%</w:t>
            </w:r>
          </w:p>
        </w:tc>
        <w:tc>
          <w:tcPr>
            <w:tcW w:w="2755" w:type="dxa"/>
          </w:tcPr>
          <w:p>
            <w:pPr>
              <w:pStyle w:val="Normal0"/>
              <w:spacing w:line="360" w:lineRule="auto"/>
              <w:rPr>
                <w:rFonts w:ascii="宋体" w:hAnsi="宋体" w:hint="eastAsia"/>
              </w:rPr>
            </w:pPr>
          </w:p>
        </w:tc>
      </w:tr>
      <w:tr>
        <w:tblPrEx>
          <w:tblW w:w="0" w:type="auto"/>
          <w:tblInd w:w="0" w:type="dxa"/>
          <w:tblCellMar>
            <w:top w:w="0" w:type="dxa"/>
            <w:left w:w="108" w:type="dxa"/>
            <w:bottom w:w="0" w:type="dxa"/>
            <w:right w:w="108" w:type="dxa"/>
          </w:tblCellMar>
        </w:tblPrEx>
        <w:tc>
          <w:tcPr>
            <w:tcW w:w="3807" w:type="dxa"/>
            <w:gridSpan w:val="3"/>
            <w:shd w:val="clear" w:color="auto" w:fill="E0E0E0"/>
          </w:tcPr>
          <w:p>
            <w:pPr>
              <w:pStyle w:val="Normal0"/>
              <w:spacing w:line="360" w:lineRule="auto"/>
              <w:rPr>
                <w:rFonts w:ascii="宋体" w:hAnsi="宋体" w:hint="eastAsia"/>
              </w:rPr>
            </w:pPr>
            <w:r>
              <w:rPr>
                <w:rFonts w:ascii="宋体" w:hAnsi="宋体" w:hint="eastAsia"/>
              </w:rPr>
              <w:t>总户数</w:t>
            </w:r>
          </w:p>
        </w:tc>
        <w:tc>
          <w:tcPr>
            <w:tcW w:w="1960" w:type="dxa"/>
          </w:tcPr>
          <w:p>
            <w:pPr>
              <w:pStyle w:val="Normal0"/>
              <w:spacing w:line="360" w:lineRule="auto"/>
              <w:rPr>
                <w:rFonts w:ascii="宋体" w:hAnsi="宋体" w:hint="eastAsia"/>
              </w:rPr>
            </w:pPr>
            <w:r>
              <w:rPr>
                <w:rFonts w:ascii="宋体" w:hAnsi="宋体" w:hint="eastAsia"/>
              </w:rPr>
              <w:t>112户</w:t>
            </w:r>
          </w:p>
        </w:tc>
        <w:tc>
          <w:tcPr>
            <w:tcW w:w="2755" w:type="dxa"/>
          </w:tcPr>
          <w:p>
            <w:pPr>
              <w:pStyle w:val="Normal0"/>
              <w:spacing w:line="360" w:lineRule="auto"/>
              <w:rPr>
                <w:rFonts w:ascii="宋体" w:hAnsi="宋体" w:hint="eastAsia"/>
              </w:rPr>
            </w:pPr>
          </w:p>
        </w:tc>
      </w:tr>
      <w:tr>
        <w:tblPrEx>
          <w:tblW w:w="0" w:type="auto"/>
          <w:tblInd w:w="0" w:type="dxa"/>
          <w:tblCellMar>
            <w:top w:w="0" w:type="dxa"/>
            <w:left w:w="108" w:type="dxa"/>
            <w:bottom w:w="0" w:type="dxa"/>
            <w:right w:w="108" w:type="dxa"/>
          </w:tblCellMar>
        </w:tblPrEx>
        <w:trPr>
          <w:cantSplit/>
        </w:trPr>
        <w:tc>
          <w:tcPr>
            <w:tcW w:w="846" w:type="dxa"/>
            <w:gridSpan w:val="2"/>
            <w:vMerge w:val="restart"/>
            <w:shd w:val="clear" w:color="auto" w:fill="E0E0E0"/>
          </w:tcPr>
          <w:p>
            <w:pPr>
              <w:pStyle w:val="Normal0"/>
              <w:spacing w:line="360" w:lineRule="auto"/>
              <w:rPr>
                <w:rFonts w:ascii="宋体" w:hAnsi="宋体" w:hint="eastAsia"/>
              </w:rPr>
            </w:pPr>
            <w:r>
              <w:rPr>
                <w:rFonts w:ascii="宋体" w:hAnsi="宋体" w:hint="eastAsia"/>
              </w:rPr>
              <w:t>其中：</w:t>
            </w:r>
          </w:p>
        </w:tc>
        <w:tc>
          <w:tcPr>
            <w:tcW w:w="2961" w:type="dxa"/>
            <w:shd w:val="clear" w:color="auto" w:fill="E0E0E0"/>
          </w:tcPr>
          <w:p>
            <w:pPr>
              <w:pStyle w:val="Normal0"/>
              <w:spacing w:line="360" w:lineRule="auto"/>
              <w:rPr>
                <w:rFonts w:ascii="宋体" w:hAnsi="宋体" w:hint="eastAsia"/>
              </w:rPr>
            </w:pPr>
            <w:r>
              <w:rPr>
                <w:rFonts w:ascii="宋体" w:hAnsi="宋体" w:hint="eastAsia"/>
              </w:rPr>
              <w:t>三室二厅二卫</w:t>
            </w:r>
          </w:p>
        </w:tc>
        <w:tc>
          <w:tcPr>
            <w:tcW w:w="1960" w:type="dxa"/>
          </w:tcPr>
          <w:p>
            <w:pPr>
              <w:pStyle w:val="Normal0"/>
              <w:spacing w:line="360" w:lineRule="auto"/>
              <w:rPr>
                <w:rFonts w:ascii="宋体" w:hAnsi="宋体" w:hint="eastAsia"/>
              </w:rPr>
            </w:pPr>
            <w:r>
              <w:rPr>
                <w:rFonts w:ascii="宋体" w:hAnsi="宋体" w:hint="eastAsia"/>
              </w:rPr>
              <w:t>68户</w:t>
            </w:r>
          </w:p>
        </w:tc>
        <w:tc>
          <w:tcPr>
            <w:tcW w:w="2755" w:type="dxa"/>
          </w:tcPr>
          <w:p>
            <w:pPr>
              <w:pStyle w:val="Normal0"/>
              <w:spacing w:line="360" w:lineRule="auto"/>
              <w:rPr>
                <w:rFonts w:ascii="宋体" w:hAnsi="宋体" w:hint="eastAsia"/>
              </w:rPr>
            </w:pPr>
            <w:r>
              <w:rPr>
                <w:rFonts w:ascii="宋体" w:hAnsi="宋体" w:hint="eastAsia"/>
              </w:rPr>
              <w:t>所占比例 61%</w:t>
            </w:r>
          </w:p>
        </w:tc>
      </w:tr>
      <w:tr>
        <w:tblPrEx>
          <w:tblW w:w="0" w:type="auto"/>
          <w:tblInd w:w="0" w:type="dxa"/>
          <w:tblCellMar>
            <w:top w:w="0" w:type="dxa"/>
            <w:left w:w="108" w:type="dxa"/>
            <w:bottom w:w="0" w:type="dxa"/>
            <w:right w:w="108" w:type="dxa"/>
          </w:tblCellMar>
        </w:tblPrEx>
        <w:trPr>
          <w:cantSplit/>
        </w:trPr>
        <w:tc>
          <w:tcPr>
            <w:tcW w:w="846" w:type="dxa"/>
            <w:gridSpan w:val="2"/>
            <w:vMerge/>
            <w:shd w:val="clear" w:color="auto" w:fill="E0E0E0"/>
          </w:tcPr>
          <w:p>
            <w:pPr>
              <w:pStyle w:val="Normal0"/>
              <w:spacing w:line="360" w:lineRule="auto"/>
              <w:rPr>
                <w:rFonts w:ascii="宋体" w:hAnsi="宋体" w:hint="eastAsia"/>
              </w:rPr>
            </w:pPr>
          </w:p>
        </w:tc>
        <w:tc>
          <w:tcPr>
            <w:tcW w:w="2961" w:type="dxa"/>
            <w:shd w:val="clear" w:color="auto" w:fill="E0E0E0"/>
          </w:tcPr>
          <w:p>
            <w:pPr>
              <w:pStyle w:val="Normal0"/>
              <w:spacing w:line="360" w:lineRule="auto"/>
              <w:rPr>
                <w:rFonts w:ascii="宋体" w:hAnsi="宋体" w:hint="eastAsia"/>
              </w:rPr>
            </w:pPr>
            <w:r>
              <w:rPr>
                <w:rFonts w:ascii="宋体" w:hAnsi="宋体" w:hint="eastAsia"/>
              </w:rPr>
              <w:t>二室二厅一卫</w:t>
            </w:r>
          </w:p>
        </w:tc>
        <w:tc>
          <w:tcPr>
            <w:tcW w:w="1960" w:type="dxa"/>
          </w:tcPr>
          <w:p>
            <w:pPr>
              <w:pStyle w:val="Normal0"/>
              <w:spacing w:line="360" w:lineRule="auto"/>
              <w:rPr>
                <w:rFonts w:ascii="宋体" w:hAnsi="宋体" w:hint="eastAsia"/>
              </w:rPr>
            </w:pPr>
            <w:r>
              <w:rPr>
                <w:rFonts w:ascii="宋体" w:hAnsi="宋体" w:hint="eastAsia"/>
              </w:rPr>
              <w:t>32户</w:t>
            </w:r>
          </w:p>
        </w:tc>
        <w:tc>
          <w:tcPr>
            <w:tcW w:w="2755" w:type="dxa"/>
          </w:tcPr>
          <w:p>
            <w:pPr>
              <w:pStyle w:val="Normal0"/>
              <w:spacing w:line="360" w:lineRule="auto"/>
              <w:rPr>
                <w:rFonts w:ascii="宋体" w:hAnsi="宋体" w:hint="eastAsia"/>
              </w:rPr>
            </w:pPr>
            <w:r>
              <w:rPr>
                <w:rFonts w:ascii="宋体" w:hAnsi="宋体" w:hint="eastAsia"/>
              </w:rPr>
              <w:t>所占比例 29%</w:t>
            </w:r>
          </w:p>
        </w:tc>
      </w:tr>
      <w:tr>
        <w:tblPrEx>
          <w:tblW w:w="0" w:type="auto"/>
          <w:tblInd w:w="0" w:type="dxa"/>
          <w:tblCellMar>
            <w:top w:w="0" w:type="dxa"/>
            <w:left w:w="108" w:type="dxa"/>
            <w:bottom w:w="0" w:type="dxa"/>
            <w:right w:w="108" w:type="dxa"/>
          </w:tblCellMar>
        </w:tblPrEx>
        <w:trPr>
          <w:cantSplit/>
        </w:trPr>
        <w:tc>
          <w:tcPr>
            <w:tcW w:w="846" w:type="dxa"/>
            <w:gridSpan w:val="2"/>
            <w:vMerge/>
            <w:shd w:val="clear" w:color="auto" w:fill="E0E0E0"/>
          </w:tcPr>
          <w:p>
            <w:pPr>
              <w:pStyle w:val="Normal0"/>
              <w:spacing w:line="360" w:lineRule="auto"/>
              <w:rPr>
                <w:rFonts w:ascii="宋体" w:hAnsi="宋体" w:hint="eastAsia"/>
              </w:rPr>
            </w:pPr>
          </w:p>
        </w:tc>
        <w:tc>
          <w:tcPr>
            <w:tcW w:w="2961" w:type="dxa"/>
            <w:shd w:val="clear" w:color="auto" w:fill="E0E0E0"/>
          </w:tcPr>
          <w:p>
            <w:pPr>
              <w:pStyle w:val="Normal0"/>
              <w:spacing w:line="360" w:lineRule="auto"/>
              <w:rPr>
                <w:rFonts w:ascii="宋体" w:hAnsi="宋体" w:hint="eastAsia"/>
              </w:rPr>
            </w:pPr>
            <w:r>
              <w:rPr>
                <w:rFonts w:ascii="宋体" w:hAnsi="宋体" w:hint="eastAsia"/>
              </w:rPr>
              <w:t>跃层</w:t>
            </w:r>
          </w:p>
        </w:tc>
        <w:tc>
          <w:tcPr>
            <w:tcW w:w="1960" w:type="dxa"/>
          </w:tcPr>
          <w:p>
            <w:pPr>
              <w:pStyle w:val="Normal0"/>
              <w:spacing w:line="360" w:lineRule="auto"/>
              <w:rPr>
                <w:rFonts w:ascii="宋体" w:hAnsi="宋体" w:hint="eastAsia"/>
              </w:rPr>
            </w:pPr>
            <w:r>
              <w:rPr>
                <w:rFonts w:ascii="宋体" w:hAnsi="宋体" w:hint="eastAsia"/>
              </w:rPr>
              <w:t>12户</w:t>
            </w:r>
          </w:p>
        </w:tc>
        <w:tc>
          <w:tcPr>
            <w:tcW w:w="2755" w:type="dxa"/>
          </w:tcPr>
          <w:p>
            <w:pPr>
              <w:pStyle w:val="Normal0"/>
              <w:spacing w:line="360" w:lineRule="auto"/>
              <w:rPr>
                <w:rFonts w:ascii="宋体" w:hAnsi="宋体" w:hint="eastAsia"/>
              </w:rPr>
            </w:pPr>
            <w:r>
              <w:rPr>
                <w:rFonts w:ascii="宋体" w:hAnsi="宋体" w:hint="eastAsia"/>
              </w:rPr>
              <w:t>所占比例 10%</w:t>
            </w:r>
          </w:p>
        </w:tc>
      </w:tr>
      <w:tr>
        <w:tblPrEx>
          <w:tblW w:w="0" w:type="auto"/>
          <w:tblInd w:w="0" w:type="dxa"/>
          <w:tblCellMar>
            <w:top w:w="0" w:type="dxa"/>
            <w:left w:w="108" w:type="dxa"/>
            <w:bottom w:w="0" w:type="dxa"/>
            <w:right w:w="108" w:type="dxa"/>
          </w:tblCellMar>
        </w:tblPrEx>
        <w:tc>
          <w:tcPr>
            <w:tcW w:w="3807" w:type="dxa"/>
            <w:gridSpan w:val="3"/>
            <w:shd w:val="clear" w:color="auto" w:fill="E0E0E0"/>
          </w:tcPr>
          <w:p>
            <w:pPr>
              <w:pStyle w:val="Normal0"/>
              <w:spacing w:line="360" w:lineRule="auto"/>
              <w:rPr>
                <w:rFonts w:ascii="宋体" w:hAnsi="宋体" w:hint="eastAsia"/>
              </w:rPr>
            </w:pPr>
            <w:r>
              <w:rPr>
                <w:rFonts w:ascii="宋体" w:hAnsi="宋体" w:hint="eastAsia"/>
              </w:rPr>
              <w:t>机动车停车位（小区内）</w:t>
            </w:r>
          </w:p>
        </w:tc>
        <w:tc>
          <w:tcPr>
            <w:tcW w:w="1960" w:type="dxa"/>
          </w:tcPr>
          <w:p>
            <w:pPr>
              <w:pStyle w:val="Normal0"/>
              <w:spacing w:line="360" w:lineRule="auto"/>
              <w:rPr>
                <w:rFonts w:ascii="宋体" w:hAnsi="宋体" w:hint="eastAsia"/>
              </w:rPr>
            </w:pPr>
            <w:r>
              <w:rPr>
                <w:rFonts w:ascii="宋体" w:hAnsi="宋体" w:hint="eastAsia"/>
              </w:rPr>
              <w:t>44辆</w:t>
            </w:r>
          </w:p>
        </w:tc>
        <w:tc>
          <w:tcPr>
            <w:tcW w:w="2755" w:type="dxa"/>
          </w:tcPr>
          <w:p>
            <w:pPr>
              <w:pStyle w:val="Normal0"/>
              <w:spacing w:line="360" w:lineRule="auto"/>
              <w:rPr>
                <w:rFonts w:ascii="宋体" w:hAnsi="宋体" w:hint="eastAsia"/>
              </w:rPr>
            </w:pPr>
          </w:p>
        </w:tc>
      </w:tr>
      <w:tr>
        <w:tblPrEx>
          <w:tblW w:w="0" w:type="auto"/>
          <w:tblInd w:w="0" w:type="dxa"/>
          <w:tblCellMar>
            <w:top w:w="0" w:type="dxa"/>
            <w:left w:w="108" w:type="dxa"/>
            <w:bottom w:w="0" w:type="dxa"/>
            <w:right w:w="108" w:type="dxa"/>
          </w:tblCellMar>
        </w:tblPrEx>
        <w:trPr>
          <w:cantSplit/>
        </w:trPr>
        <w:tc>
          <w:tcPr>
            <w:tcW w:w="840" w:type="dxa"/>
            <w:vMerge w:val="restart"/>
            <w:shd w:val="clear" w:color="auto" w:fill="E0E0E0"/>
          </w:tcPr>
          <w:p>
            <w:pPr>
              <w:pStyle w:val="Normal0"/>
              <w:spacing w:line="360" w:lineRule="auto"/>
              <w:rPr>
                <w:rFonts w:ascii="宋体" w:hAnsi="宋体" w:hint="eastAsia"/>
              </w:rPr>
            </w:pPr>
            <w:r>
              <w:rPr>
                <w:rFonts w:ascii="宋体" w:hAnsi="宋体" w:hint="eastAsia"/>
              </w:rPr>
              <w:t>其中：</w:t>
            </w:r>
          </w:p>
        </w:tc>
        <w:tc>
          <w:tcPr>
            <w:tcW w:w="2967" w:type="dxa"/>
            <w:gridSpan w:val="2"/>
            <w:shd w:val="clear" w:color="auto" w:fill="E0E0E0"/>
          </w:tcPr>
          <w:p>
            <w:pPr>
              <w:pStyle w:val="Normal0"/>
              <w:spacing w:line="360" w:lineRule="auto"/>
              <w:rPr>
                <w:rFonts w:ascii="宋体" w:hAnsi="宋体" w:hint="eastAsia"/>
              </w:rPr>
            </w:pPr>
            <w:r>
              <w:rPr>
                <w:rFonts w:ascii="宋体" w:hAnsi="宋体" w:hint="eastAsia"/>
              </w:rPr>
              <w:t>室内</w:t>
            </w:r>
          </w:p>
        </w:tc>
        <w:tc>
          <w:tcPr>
            <w:tcW w:w="1960" w:type="dxa"/>
          </w:tcPr>
          <w:p>
            <w:pPr>
              <w:pStyle w:val="Normal0"/>
              <w:spacing w:line="360" w:lineRule="auto"/>
              <w:rPr>
                <w:rFonts w:ascii="宋体" w:hAnsi="宋体" w:hint="eastAsia"/>
              </w:rPr>
            </w:pPr>
            <w:r>
              <w:rPr>
                <w:rFonts w:ascii="宋体" w:hAnsi="宋体" w:hint="eastAsia"/>
              </w:rPr>
              <w:t>35辆</w:t>
            </w:r>
          </w:p>
        </w:tc>
        <w:tc>
          <w:tcPr>
            <w:tcW w:w="2755" w:type="dxa"/>
          </w:tcPr>
          <w:p>
            <w:pPr>
              <w:pStyle w:val="Normal0"/>
              <w:spacing w:line="360" w:lineRule="auto"/>
              <w:rPr>
                <w:rFonts w:ascii="宋体" w:hAnsi="宋体" w:hint="eastAsia"/>
              </w:rPr>
            </w:pPr>
            <w:r>
              <w:rPr>
                <w:rFonts w:ascii="宋体" w:hAnsi="宋体" w:hint="eastAsia"/>
              </w:rPr>
              <w:t>所占比例 80%</w:t>
            </w:r>
          </w:p>
        </w:tc>
      </w:tr>
      <w:tr>
        <w:tblPrEx>
          <w:tblW w:w="0" w:type="auto"/>
          <w:tblInd w:w="0" w:type="dxa"/>
          <w:tblCellMar>
            <w:top w:w="0" w:type="dxa"/>
            <w:left w:w="108" w:type="dxa"/>
            <w:bottom w:w="0" w:type="dxa"/>
            <w:right w:w="108" w:type="dxa"/>
          </w:tblCellMar>
        </w:tblPrEx>
        <w:trPr>
          <w:cantSplit/>
        </w:trPr>
        <w:tc>
          <w:tcPr>
            <w:tcW w:w="840" w:type="dxa"/>
            <w:vMerge/>
            <w:shd w:val="clear" w:color="auto" w:fill="E0E0E0"/>
          </w:tcPr>
          <w:p>
            <w:pPr>
              <w:pStyle w:val="Normal0"/>
              <w:spacing w:line="360" w:lineRule="auto"/>
              <w:rPr>
                <w:rFonts w:ascii="宋体" w:hAnsi="宋体" w:hint="eastAsia"/>
              </w:rPr>
            </w:pPr>
          </w:p>
        </w:tc>
        <w:tc>
          <w:tcPr>
            <w:tcW w:w="2967" w:type="dxa"/>
            <w:gridSpan w:val="2"/>
            <w:shd w:val="clear" w:color="auto" w:fill="E0E0E0"/>
          </w:tcPr>
          <w:p>
            <w:pPr>
              <w:pStyle w:val="Normal0"/>
              <w:spacing w:line="360" w:lineRule="auto"/>
              <w:rPr>
                <w:rFonts w:ascii="宋体" w:hAnsi="宋体" w:hint="eastAsia"/>
              </w:rPr>
            </w:pPr>
            <w:r>
              <w:rPr>
                <w:rFonts w:ascii="宋体" w:hAnsi="宋体" w:hint="eastAsia"/>
              </w:rPr>
              <w:t>室外</w:t>
            </w:r>
          </w:p>
        </w:tc>
        <w:tc>
          <w:tcPr>
            <w:tcW w:w="1960" w:type="dxa"/>
          </w:tcPr>
          <w:p>
            <w:pPr>
              <w:pStyle w:val="Normal0"/>
              <w:spacing w:line="360" w:lineRule="auto"/>
              <w:rPr>
                <w:rFonts w:ascii="宋体" w:hAnsi="宋体" w:hint="eastAsia"/>
              </w:rPr>
            </w:pPr>
            <w:r>
              <w:rPr>
                <w:rFonts w:ascii="宋体" w:hAnsi="宋体" w:hint="eastAsia"/>
              </w:rPr>
              <w:t>9辆</w:t>
            </w:r>
          </w:p>
        </w:tc>
        <w:tc>
          <w:tcPr>
            <w:tcW w:w="2755" w:type="dxa"/>
          </w:tcPr>
          <w:p>
            <w:pPr>
              <w:pStyle w:val="Normal0"/>
              <w:spacing w:line="360" w:lineRule="auto"/>
              <w:rPr>
                <w:rFonts w:ascii="宋体" w:hAnsi="宋体" w:hint="eastAsia"/>
              </w:rPr>
            </w:pPr>
            <w:r>
              <w:rPr>
                <w:rFonts w:ascii="宋体" w:hAnsi="宋体" w:hint="eastAsia"/>
              </w:rPr>
              <w:t>所占比例 20%</w:t>
            </w:r>
          </w:p>
        </w:tc>
      </w:tr>
    </w:tbl>
    <w:p>
      <w:pPr>
        <w:pStyle w:val="Normal0"/>
        <w:spacing w:line="360" w:lineRule="auto"/>
        <w:rPr>
          <w:rFonts w:ascii="仿宋_GB2312" w:eastAsia="仿宋_GB2312" w:hAnsi="宋体" w:hint="eastAsia"/>
          <w:sz w:val="28"/>
        </w:rPr>
      </w:pPr>
      <w:r>
        <w:rPr>
          <w:rFonts w:ascii="仿宋_GB2312" w:eastAsia="仿宋_GB2312" w:hAnsi="宋体" w:hint="eastAsia"/>
          <w:sz w:val="28"/>
        </w:rPr>
        <w:t>四、</w:t>
      </w:r>
      <w:r>
        <w:rPr>
          <w:rFonts w:ascii="仿宋_GB2312" w:eastAsia="仿宋_GB2312" w:hAnsi="宋体" w:hint="eastAsia"/>
          <w:sz w:val="28"/>
          <w:lang w:eastAsia="zh-CN"/>
        </w:rPr>
        <w:t>相关项目</w:t>
      </w:r>
      <w:r>
        <w:rPr>
          <w:rFonts w:ascii="仿宋_GB2312" w:eastAsia="仿宋_GB2312" w:hAnsi="宋体" w:hint="eastAsia"/>
          <w:sz w:val="28"/>
        </w:rPr>
        <w:t>周边的社区配套</w:t>
      </w:r>
    </w:p>
    <w:p>
      <w:pPr>
        <w:pStyle w:val="Normal0"/>
        <w:spacing w:line="360" w:lineRule="auto"/>
        <w:ind w:firstLine="420" w:firstLineChars="200"/>
        <w:rPr>
          <w:rFonts w:ascii="宋体" w:hAnsi="宋体" w:hint="eastAsia"/>
        </w:rPr>
      </w:pPr>
      <w:r>
        <w:rPr>
          <w:rFonts w:ascii="宋体" w:hAnsi="宋体" w:hint="eastAsia"/>
        </w:rPr>
        <w:t>周边</w:t>
      </w:r>
      <w:r>
        <w:rPr>
          <w:rFonts w:ascii="宋体" w:hAnsi="宋体"/>
        </w:rPr>
        <w:t>300</w:t>
      </w:r>
      <w:r>
        <w:rPr>
          <w:rFonts w:ascii="宋体" w:hAnsi="宋体" w:hint="eastAsia"/>
        </w:rPr>
        <w:t>米范围内的社区配套</w:t>
      </w:r>
    </w:p>
    <w:p>
      <w:pPr>
        <w:pStyle w:val="Normal0"/>
        <w:spacing w:line="360" w:lineRule="auto"/>
        <w:rPr>
          <w:rFonts w:ascii="宋体" w:hAnsi="宋体" w:hint="eastAsia"/>
        </w:rPr>
      </w:pPr>
      <w:r>
        <w:rPr>
          <w:rFonts w:ascii="宋体" w:hAnsi="宋体"/>
        </w:rPr>
        <w:t>1</w:t>
      </w:r>
      <w:r>
        <w:rPr>
          <w:rFonts w:ascii="宋体" w:hAnsi="宋体" w:hint="eastAsia"/>
        </w:rPr>
        <w:t>、</w:t>
      </w:r>
      <w:r>
        <w:rPr>
          <w:rFonts w:ascii="宋体" w:hAnsi="宋体"/>
        </w:rPr>
        <w:t xml:space="preserve"> </w:t>
      </w:r>
      <w:r>
        <w:rPr>
          <w:rFonts w:ascii="宋体" w:hAnsi="宋体" w:hint="eastAsia"/>
        </w:rPr>
        <w:t>交通状况</w:t>
      </w:r>
    </w:p>
    <w:p>
      <w:pPr>
        <w:pStyle w:val="Normal0"/>
        <w:numPr>
          <w:ilvl w:val="3"/>
          <w:numId w:val="0"/>
        </w:numPr>
        <w:tabs>
          <w:tab w:val="left" w:pos="360"/>
          <w:tab w:val="left" w:pos="540"/>
        </w:tabs>
        <w:spacing w:line="360" w:lineRule="auto"/>
        <w:ind w:left="540"/>
        <w:rPr>
          <w:rFonts w:ascii="宋体" w:hAnsi="宋体" w:hint="eastAsia"/>
        </w:rPr>
      </w:pPr>
      <w:r>
        <w:rPr>
          <w:rFonts w:ascii="宋体" w:hAnsi="宋体" w:hint="eastAsia"/>
          <w:color w:val="000000"/>
          <w:szCs w:val="21"/>
        </w:rPr>
        <w:t>本案所在地</w:t>
      </w:r>
      <w:r>
        <w:rPr>
          <w:rFonts w:ascii="宋体" w:hAnsi="宋体" w:hint="eastAsia"/>
        </w:rPr>
        <w:t>公交线路有20、28、68、207、34路共五条公交线路，盐城市的公共</w:t>
      </w:r>
      <w:r>
        <w:rPr>
          <w:rFonts w:ascii="宋体" w:hAnsi="宋体" w:hint="eastAsia"/>
          <w:color w:val="000000"/>
          <w:szCs w:val="21"/>
        </w:rPr>
        <w:t>交通网络以六纵八横的辐射由城市中心向外延伸</w:t>
      </w:r>
      <w:r>
        <w:rPr>
          <w:rFonts w:ascii="宋体" w:hAnsi="宋体" w:hint="eastAsia"/>
        </w:rPr>
        <w:t>，连接建军路的</w:t>
      </w:r>
      <w:r>
        <w:rPr>
          <w:rFonts w:ascii="宋体" w:hAnsi="宋体" w:hint="eastAsia"/>
          <w:color w:val="000000"/>
          <w:szCs w:val="21"/>
        </w:rPr>
        <w:t>盐马路和连接解放南路的大庆路正处在该交通网络以内</w:t>
      </w:r>
      <w:r>
        <w:rPr>
          <w:rFonts w:ascii="宋体" w:hAnsi="宋体" w:hint="eastAsia"/>
        </w:rPr>
        <w:t>，居民出行比较方便。大庆路和盐马路由于建设时间相对较晚，所以路况较好。</w:t>
      </w:r>
    </w:p>
    <w:p>
      <w:pPr>
        <w:pStyle w:val="Normal0"/>
        <w:numPr>
          <w:ilvl w:val="3"/>
          <w:numId w:val="0"/>
        </w:numPr>
        <w:tabs>
          <w:tab w:val="left" w:pos="360"/>
          <w:tab w:val="left" w:pos="540"/>
        </w:tabs>
        <w:spacing w:line="360" w:lineRule="auto"/>
        <w:ind w:left="537" w:hanging="359" w:leftChars="85" w:hangingChars="171"/>
        <w:rPr>
          <w:rFonts w:ascii="宋体" w:hAnsi="宋体" w:hint="eastAsia"/>
        </w:rPr>
        <w:sectPr>
          <w:headerReference w:type="default" r:id="rId29"/>
          <w:footerReference w:type="default" r:id="rId30"/>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2"/>
          <w:cols w:num="1" w:space="425"/>
          <w:titlePg w:val="0"/>
          <w:docGrid w:type="lines" w:linePitch="312" w:charSpace="0"/>
        </w:sectPr>
      </w:pPr>
      <w:r>
        <w:rPr>
          <w:rFonts w:hint="eastAsia"/>
        </w:rPr>
        <w:t>宗地出行主要依靠：公交车和单车（部分私家），建议开发商在对</w:t>
      </w:r>
      <w:r>
        <w:rPr>
          <w:rFonts w:hint="eastAsia"/>
          <w:lang w:eastAsia="zh-CN"/>
        </w:rPr>
        <w:t>相关项目</w:t>
      </w:r>
      <w:r>
        <w:rPr>
          <w:rFonts w:hint="eastAsia"/>
        </w:rPr>
        <w:t>进行推广时可利用公交站牌及马路路边POP广告的形象宣传。</w:t>
      </w:r>
    </w:p>
    <w:p>
      <w:pPr>
        <w:pStyle w:val="Normal0"/>
        <w:numPr>
          <w:ilvl w:val="3"/>
          <w:numId w:val="0"/>
        </w:numPr>
        <w:tabs>
          <w:tab w:val="left" w:pos="360"/>
          <w:tab w:val="left" w:pos="540"/>
        </w:tabs>
        <w:spacing w:line="360" w:lineRule="auto"/>
        <w:ind w:left="540"/>
        <w:rPr>
          <w:rFonts w:ascii="宋体" w:hAnsi="宋体" w:hint="eastAsia"/>
        </w:rPr>
      </w:pPr>
      <w:r>
        <w:rPr>
          <w:rFonts w:ascii="宋体" w:hAnsi="宋体" w:hint="eastAsia"/>
        </w:rPr>
        <w:t>盐马路南段正在进行马路拓宽的市政改造工程，预计今年年内该路段将拓宽完毕，到时宗地马路的人流量及车流量将有所加大。</w:t>
      </w:r>
    </w:p>
    <w:p>
      <w:pPr>
        <w:pStyle w:val="Normal0"/>
        <w:spacing w:line="360" w:lineRule="auto"/>
        <w:rPr>
          <w:rFonts w:hint="eastAsia"/>
        </w:rPr>
      </w:pPr>
      <w:r>
        <w:t>2</w:t>
      </w:r>
      <w:r>
        <w:rPr>
          <w:rFonts w:hint="eastAsia"/>
        </w:rPr>
        <w:t>、</w:t>
      </w:r>
      <w:r>
        <w:t xml:space="preserve"> </w:t>
      </w:r>
      <w:r>
        <w:rPr>
          <w:rFonts w:hint="eastAsia"/>
        </w:rPr>
        <w:t>教育：</w:t>
      </w:r>
    </w:p>
    <w:p>
      <w:pPr>
        <w:pStyle w:val="Normal0"/>
        <w:spacing w:line="360" w:lineRule="auto"/>
        <w:ind w:firstLine="567" w:firstLineChars="270"/>
        <w:rPr>
          <w:rFonts w:hint="eastAsia"/>
        </w:rPr>
      </w:pPr>
      <w:r>
        <w:rPr>
          <w:rFonts w:hint="eastAsia"/>
        </w:rPr>
        <w:t>宗地北面150米处为盐城市中心小学</w:t>
      </w:r>
    </w:p>
    <w:p>
      <w:pPr>
        <w:pStyle w:val="Normal0"/>
        <w:spacing w:line="360" w:lineRule="auto"/>
        <w:ind w:firstLine="567" w:firstLineChars="270"/>
        <w:rPr>
          <w:rFonts w:hint="eastAsia"/>
        </w:rPr>
      </w:pPr>
      <w:r>
        <w:rPr>
          <w:rFonts w:hint="eastAsia"/>
        </w:rPr>
        <w:t>宗地东北方向1公里处为城区实小和市第一职业高级中学</w:t>
      </w:r>
    </w:p>
    <w:p>
      <w:pPr>
        <w:pStyle w:val="Normal0"/>
        <w:spacing w:line="360" w:lineRule="auto"/>
        <w:rPr>
          <w:rFonts w:hint="eastAsia"/>
        </w:rPr>
      </w:pPr>
      <w:r>
        <w:t>3</w:t>
      </w:r>
      <w:r>
        <w:rPr>
          <w:rFonts w:hint="eastAsia"/>
        </w:rPr>
        <w:t>、</w:t>
      </w:r>
      <w:r>
        <w:t xml:space="preserve"> </w:t>
      </w:r>
      <w:r>
        <w:rPr>
          <w:rFonts w:hint="eastAsia"/>
        </w:rPr>
        <w:t>医院等级和医疗水平</w:t>
      </w:r>
      <w:r>
        <w:t xml:space="preserve"> </w:t>
      </w:r>
      <w:r>
        <w:rPr>
          <w:rFonts w:hint="eastAsia"/>
        </w:rPr>
        <w:t>：</w:t>
      </w:r>
    </w:p>
    <w:p>
      <w:pPr>
        <w:pStyle w:val="Normal0"/>
        <w:spacing w:line="360" w:lineRule="auto"/>
        <w:ind w:firstLine="567" w:firstLineChars="270"/>
        <w:rPr>
          <w:rFonts w:hint="eastAsia"/>
        </w:rPr>
      </w:pPr>
      <w:r>
        <w:rPr>
          <w:rFonts w:hint="eastAsia"/>
        </w:rPr>
        <w:t>宗地西侧相邻为一家医院</w:t>
      </w:r>
    </w:p>
    <w:p>
      <w:pPr>
        <w:pStyle w:val="Normal0"/>
        <w:spacing w:line="360" w:lineRule="auto"/>
        <w:rPr>
          <w:rFonts w:hint="eastAsia"/>
        </w:rPr>
      </w:pPr>
      <w:r>
        <w:rPr>
          <w:rFonts w:hint="eastAsia"/>
        </w:rPr>
        <w:t>4、大型购物中心、主要商业和菜市场</w:t>
      </w:r>
      <w:r>
        <w:t xml:space="preserve"> </w:t>
      </w:r>
      <w:r>
        <w:rPr>
          <w:rFonts w:hint="eastAsia"/>
        </w:rPr>
        <w:t>：</w:t>
      </w:r>
    </w:p>
    <w:p>
      <w:pPr>
        <w:pStyle w:val="Normal0"/>
        <w:spacing w:line="360" w:lineRule="auto"/>
        <w:ind w:firstLine="567" w:firstLineChars="270"/>
        <w:rPr>
          <w:rFonts w:hint="eastAsia"/>
        </w:rPr>
      </w:pPr>
      <w:r>
        <w:rPr>
          <w:rFonts w:hint="eastAsia"/>
        </w:rPr>
        <w:t>宗地西面50米为雅家乐超市</w:t>
      </w:r>
    </w:p>
    <w:p>
      <w:pPr>
        <w:pStyle w:val="Normal0"/>
        <w:spacing w:line="360" w:lineRule="auto"/>
        <w:ind w:firstLine="567" w:firstLineChars="270"/>
        <w:rPr>
          <w:rFonts w:hint="eastAsia"/>
        </w:rPr>
      </w:pPr>
      <w:r>
        <w:rPr>
          <w:rFonts w:hint="eastAsia"/>
        </w:rPr>
        <w:t>宗地北面250米左右为盐城市最大的超市：世纪联华</w:t>
      </w:r>
    </w:p>
    <w:p>
      <w:pPr>
        <w:pStyle w:val="Normal0"/>
        <w:spacing w:line="360" w:lineRule="auto"/>
        <w:ind w:firstLine="567" w:firstLineChars="270"/>
        <w:rPr>
          <w:rFonts w:hint="eastAsia"/>
        </w:rPr>
      </w:pPr>
      <w:r>
        <w:rPr>
          <w:rFonts w:hint="eastAsia"/>
        </w:rPr>
        <w:t>宗地北面200米左右为农贸市场</w:t>
      </w:r>
    </w:p>
    <w:p>
      <w:pPr>
        <w:pStyle w:val="Normal0"/>
        <w:spacing w:line="360" w:lineRule="auto"/>
        <w:ind w:left="210" w:firstLine="357" w:leftChars="100" w:firstLineChars="170"/>
        <w:rPr>
          <w:rFonts w:hint="eastAsia"/>
        </w:rPr>
      </w:pPr>
      <w:r>
        <w:rPr>
          <w:rFonts w:hint="eastAsia"/>
        </w:rPr>
        <w:t>宗地所在区域的商业氛围较好，沿盐马路及大庆路店面的主要经营种类为百货、餐饮、娱乐为主，店面的售价为12000~15000元/平，店面的租金为3.7元/平*天。</w:t>
      </w:r>
    </w:p>
    <w:p>
      <w:pPr>
        <w:pStyle w:val="Normal0"/>
        <w:spacing w:line="360" w:lineRule="auto"/>
        <w:rPr>
          <w:rFonts w:hint="eastAsia"/>
        </w:rPr>
      </w:pPr>
      <w:r>
        <w:rPr>
          <w:rFonts w:hint="eastAsia"/>
        </w:rPr>
        <w:t>5、</w:t>
      </w:r>
      <w:r>
        <w:t xml:space="preserve"> </w:t>
      </w:r>
      <w:r>
        <w:rPr>
          <w:rFonts w:hint="eastAsia"/>
        </w:rPr>
        <w:t>公园</w:t>
      </w:r>
      <w:r>
        <w:t xml:space="preserve"> </w:t>
      </w:r>
      <w:r>
        <w:rPr>
          <w:rFonts w:hint="eastAsia"/>
        </w:rPr>
        <w:t>：</w:t>
      </w:r>
    </w:p>
    <w:p>
      <w:pPr>
        <w:pStyle w:val="Normal0"/>
        <w:numPr>
          <w:ilvl w:val="3"/>
          <w:numId w:val="0"/>
        </w:numPr>
        <w:tabs>
          <w:tab w:val="left" w:pos="0"/>
          <w:tab w:val="left" w:pos="360"/>
        </w:tabs>
        <w:spacing w:line="360" w:lineRule="auto"/>
        <w:ind w:left="176" w:firstLine="2" w:leftChars="84"/>
        <w:rPr>
          <w:rFonts w:hint="eastAsia"/>
        </w:rPr>
      </w:pPr>
      <w:r>
        <w:rPr>
          <w:rFonts w:hint="eastAsia"/>
          <w:lang w:eastAsia="zh-CN"/>
        </w:rPr>
        <w:t>相关项目</w:t>
      </w:r>
      <w:r>
        <w:rPr>
          <w:rFonts w:hint="eastAsia"/>
        </w:rPr>
        <w:t>当地缺乏</w:t>
      </w:r>
    </w:p>
    <w:p>
      <w:pPr>
        <w:pStyle w:val="Normal0"/>
        <w:numPr>
          <w:ilvl w:val="3"/>
          <w:numId w:val="0"/>
        </w:numPr>
        <w:tabs>
          <w:tab w:val="left" w:pos="180"/>
          <w:tab w:val="left" w:pos="360"/>
        </w:tabs>
        <w:spacing w:line="360" w:lineRule="auto"/>
        <w:ind w:left="180"/>
        <w:rPr>
          <w:rFonts w:hint="eastAsia"/>
        </w:rPr>
      </w:pPr>
      <w:r>
        <w:rPr>
          <w:rFonts w:hint="eastAsia"/>
        </w:rPr>
        <w:t>建议在规划中充分利用1000多平米的集中绿地，通过建造一些别致的小品来烘托  出轻松休闲的环境氛围。</w:t>
      </w:r>
    </w:p>
    <w:p>
      <w:pPr>
        <w:pStyle w:val="Normal0"/>
        <w:spacing w:line="360" w:lineRule="auto"/>
        <w:rPr>
          <w:rFonts w:hint="eastAsia"/>
        </w:rPr>
      </w:pPr>
      <w:r>
        <w:rPr>
          <w:rFonts w:hint="eastAsia"/>
        </w:rPr>
        <w:t>6、</w:t>
      </w:r>
      <w:r>
        <w:t xml:space="preserve"> </w:t>
      </w:r>
      <w:r>
        <w:rPr>
          <w:rFonts w:hint="eastAsia"/>
        </w:rPr>
        <w:t>银行</w:t>
      </w:r>
      <w:r>
        <w:t xml:space="preserve"> </w:t>
      </w:r>
      <w:r>
        <w:rPr>
          <w:rFonts w:hint="eastAsia"/>
        </w:rPr>
        <w:t>：</w:t>
      </w:r>
    </w:p>
    <w:p>
      <w:pPr>
        <w:pStyle w:val="Normal0"/>
        <w:spacing w:line="360" w:lineRule="auto"/>
        <w:ind w:firstLine="420" w:firstLineChars="200"/>
        <w:rPr>
          <w:rFonts w:hint="eastAsia"/>
        </w:rPr>
      </w:pPr>
      <w:r>
        <w:rPr>
          <w:rFonts w:hint="eastAsia"/>
        </w:rPr>
        <w:t>可考虑在将来的物业中留有银行的门面，这样对提升宗地小区的档次和解决宗地居民不</w:t>
      </w:r>
    </w:p>
    <w:p>
      <w:pPr>
        <w:pStyle w:val="Normal0"/>
        <w:spacing w:line="360" w:lineRule="auto"/>
        <w:ind w:firstLine="420" w:firstLineChars="200"/>
        <w:rPr>
          <w:rFonts w:hint="eastAsia"/>
        </w:rPr>
      </w:pPr>
      <w:r>
        <w:rPr>
          <w:rFonts w:hint="eastAsia"/>
        </w:rPr>
        <w:t>便，提升小区在宗地当地的形象有很大的帮助。</w:t>
      </w:r>
    </w:p>
    <w:p>
      <w:pPr>
        <w:pStyle w:val="Normal0"/>
        <w:spacing w:line="360" w:lineRule="auto"/>
        <w:ind w:firstLine="420" w:firstLineChars="200"/>
        <w:rPr>
          <w:rFonts w:hint="eastAsia"/>
        </w:rPr>
      </w:pPr>
    </w:p>
    <w:p>
      <w:pPr>
        <w:pStyle w:val="Normal0"/>
        <w:spacing w:line="360" w:lineRule="auto"/>
        <w:rPr>
          <w:rFonts w:ascii="仿宋_GB2312" w:eastAsia="仿宋_GB2312" w:hAnsi="宋体" w:hint="eastAsia"/>
          <w:sz w:val="28"/>
        </w:rPr>
      </w:pPr>
      <w:r>
        <w:rPr>
          <w:rFonts w:ascii="仿宋_GB2312" w:eastAsia="仿宋_GB2312" w:hAnsi="宋体" w:hint="eastAsia"/>
          <w:sz w:val="28"/>
        </w:rPr>
        <w:t>五、</w:t>
      </w:r>
      <w:r>
        <w:rPr>
          <w:rFonts w:ascii="仿宋_GB2312" w:eastAsia="仿宋_GB2312" w:hAnsi="宋体"/>
          <w:sz w:val="28"/>
        </w:rPr>
        <w:t xml:space="preserve"> </w:t>
      </w:r>
      <w:r>
        <w:rPr>
          <w:rFonts w:ascii="仿宋_GB2312" w:eastAsia="仿宋_GB2312" w:hAnsi="宋体" w:hint="eastAsia"/>
          <w:sz w:val="28"/>
          <w:lang w:eastAsia="zh-CN"/>
        </w:rPr>
        <w:t>相关项目</w:t>
      </w:r>
      <w:r>
        <w:rPr>
          <w:rFonts w:ascii="仿宋_GB2312" w:eastAsia="仿宋_GB2312" w:hAnsi="宋体" w:hint="eastAsia"/>
          <w:sz w:val="28"/>
        </w:rPr>
        <w:t>周边环境</w:t>
      </w:r>
    </w:p>
    <w:p>
      <w:pPr>
        <w:pStyle w:val="Normal0"/>
        <w:spacing w:line="360" w:lineRule="auto"/>
        <w:rPr>
          <w:rFonts w:ascii="宋体" w:hAnsi="宋体" w:hint="eastAsia"/>
          <w:b/>
          <w:bCs/>
        </w:rPr>
      </w:pPr>
      <w:r>
        <w:rPr>
          <w:rFonts w:ascii="宋体" w:hAnsi="宋体" w:hint="eastAsia"/>
          <w:b/>
          <w:bCs/>
          <w:lang w:eastAsia="zh-CN"/>
        </w:rPr>
        <w:t>相关项目</w:t>
      </w:r>
      <w:r>
        <w:rPr>
          <w:rFonts w:ascii="宋体" w:hAnsi="宋体" w:hint="eastAsia"/>
          <w:b/>
          <w:bCs/>
        </w:rPr>
        <w:t>主要竞争个案调查</w:t>
      </w:r>
    </w:p>
    <w:p>
      <w:pPr>
        <w:pStyle w:val="Normal0"/>
        <w:spacing w:line="360" w:lineRule="auto"/>
        <w:rPr>
          <w:rFonts w:ascii="宋体" w:hAnsi="宋体" w:hint="eastAsia"/>
          <w:color w:val="000000"/>
        </w:rPr>
      </w:pPr>
      <w:r>
        <w:rPr>
          <w:rFonts w:ascii="宋体" w:hAnsi="宋体" w:hint="eastAsia"/>
        </w:rPr>
        <w:t>1）楼盘名称：</w:t>
      </w:r>
      <w:r>
        <w:rPr>
          <w:b/>
          <w:bCs/>
          <w:color w:val="000000"/>
          <w:szCs w:val="18"/>
        </w:rPr>
        <w:t>新日月·翠洲嘉园</w:t>
      </w:r>
    </w:p>
    <w:p>
      <w:pPr>
        <w:pStyle w:val="Normal0"/>
        <w:spacing w:line="360" w:lineRule="auto"/>
        <w:rPr>
          <w:rFonts w:ascii="宋体" w:hAnsi="宋体" w:hint="eastAsia"/>
        </w:rPr>
      </w:pPr>
      <w:r>
        <w:rPr>
          <w:rFonts w:ascii="宋体" w:hAnsi="宋体" w:hint="eastAsia"/>
        </w:rPr>
        <w:t>物业类型：住宅</w:t>
      </w:r>
    </w:p>
    <w:p>
      <w:pPr>
        <w:pStyle w:val="Normal0"/>
        <w:spacing w:line="360" w:lineRule="auto"/>
        <w:rPr>
          <w:rFonts w:ascii="宋体" w:hAnsi="宋体" w:hint="eastAsia"/>
          <w:color w:val="000000"/>
        </w:rPr>
      </w:pPr>
      <w:r>
        <w:rPr>
          <w:rFonts w:ascii="宋体" w:hAnsi="宋体" w:hint="eastAsia"/>
        </w:rPr>
        <w:t>销售价格：</w:t>
      </w:r>
      <w:r>
        <w:rPr>
          <w:rFonts w:ascii="宋体" w:hAnsi="宋体" w:hint="eastAsia"/>
          <w:color w:val="000000"/>
        </w:rPr>
        <w:t>2100元/平</w:t>
      </w:r>
    </w:p>
    <w:p>
      <w:pPr>
        <w:pStyle w:val="Normal0"/>
        <w:spacing w:line="360" w:lineRule="auto"/>
        <w:ind w:left="1050" w:hanging="1050" w:hangingChars="500"/>
        <w:rPr>
          <w:rFonts w:ascii="宋体" w:hAnsi="宋体" w:hint="eastAsia"/>
          <w:b/>
          <w:bCs/>
        </w:rPr>
        <w:sectPr>
          <w:headerReference w:type="default" r:id="rId31"/>
          <w:footerReference w:type="default" r:id="rId32"/>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3"/>
          <w:cols w:num="1" w:space="425"/>
          <w:titlePg w:val="0"/>
          <w:docGrid w:type="lines" w:linePitch="312" w:charSpace="0"/>
        </w:sectPr>
      </w:pPr>
      <w:r>
        <w:rPr>
          <w:rStyle w:val="Strong"/>
          <w:b w:val="0"/>
          <w:bCs w:val="0"/>
          <w:color w:val="000000"/>
          <w:szCs w:val="18"/>
        </w:rPr>
        <w:t>楼盘介绍：</w:t>
      </w:r>
      <w:r>
        <w:rPr>
          <w:rFonts w:ascii="宋体" w:hAnsi="宋体"/>
          <w:color w:val="000000"/>
          <w:szCs w:val="18"/>
        </w:rPr>
        <w:t>交通便捷，公交68路“翠洲嘉园”专线双层巴士直达小区。小区主要路口标志明显；喷泉、背景音乐定时开放；秩序井然。</w:t>
      </w:r>
    </w:p>
    <w:p>
      <w:pPr>
        <w:pStyle w:val="Normal0"/>
        <w:spacing w:line="360" w:lineRule="auto"/>
        <w:ind w:left="1050" w:hanging="1050" w:hangingChars="500"/>
        <w:rPr>
          <w:rFonts w:ascii="宋体" w:hAnsi="宋体" w:hint="eastAsia"/>
          <w:b/>
          <w:bCs/>
        </w:rPr>
      </w:pPr>
      <w:r>
        <w:rPr>
          <w:rFonts w:ascii="宋体" w:hAnsi="宋体"/>
          <w:color w:val="000000"/>
          <w:szCs w:val="18"/>
        </w:rPr>
        <w:t xml:space="preserve"> 小区物管规范，区内设置各种安全措施。</w:t>
      </w:r>
    </w:p>
    <w:p>
      <w:pPr>
        <w:pStyle w:val="Normal0"/>
        <w:spacing w:line="360" w:lineRule="auto"/>
        <w:rPr>
          <w:rFonts w:ascii="宋体" w:hAnsi="宋体" w:hint="eastAsia"/>
          <w:b/>
          <w:bCs/>
          <w:color w:val="000000"/>
        </w:rPr>
      </w:pPr>
      <w:r>
        <w:rPr>
          <w:rFonts w:ascii="宋体" w:hAnsi="宋体" w:hint="eastAsia"/>
        </w:rPr>
        <w:t>2）楼盘名称：</w:t>
      </w:r>
      <w:r>
        <w:rPr>
          <w:rFonts w:ascii="宋体" w:hAnsi="宋体"/>
          <w:b/>
          <w:bCs/>
          <w:color w:val="000000"/>
          <w:szCs w:val="18"/>
        </w:rPr>
        <w:t>鸿基 奥园 芝林广场</w:t>
      </w:r>
    </w:p>
    <w:p>
      <w:pPr>
        <w:pStyle w:val="Normal0"/>
        <w:spacing w:line="360" w:lineRule="auto"/>
        <w:rPr>
          <w:rFonts w:ascii="宋体" w:hAnsi="宋体" w:hint="eastAsia"/>
        </w:rPr>
      </w:pPr>
      <w:r>
        <w:rPr>
          <w:rFonts w:ascii="宋体" w:hAnsi="宋体" w:hint="eastAsia"/>
        </w:rPr>
        <w:t>物业类型：商住</w:t>
      </w:r>
    </w:p>
    <w:p>
      <w:pPr>
        <w:pStyle w:val="Normal0"/>
        <w:spacing w:line="360" w:lineRule="auto"/>
        <w:rPr>
          <w:rFonts w:ascii="宋体" w:hAnsi="宋体" w:hint="eastAsia"/>
        </w:rPr>
      </w:pPr>
      <w:r>
        <w:rPr>
          <w:rFonts w:ascii="宋体" w:hAnsi="宋体" w:hint="eastAsia"/>
        </w:rPr>
        <w:t>销售价格：3000元/平（住宅）</w:t>
      </w:r>
    </w:p>
    <w:p>
      <w:pPr>
        <w:pStyle w:val="Normal0"/>
        <w:spacing w:line="360" w:lineRule="auto"/>
        <w:ind w:firstLine="1050" w:firstLineChars="500"/>
        <w:rPr>
          <w:rFonts w:ascii="宋体" w:hAnsi="宋体" w:hint="eastAsia"/>
        </w:rPr>
      </w:pPr>
      <w:r>
        <w:rPr>
          <w:rFonts w:ascii="宋体" w:hAnsi="宋体" w:hint="eastAsia"/>
        </w:rPr>
        <w:t>20000元/平（一层商铺）</w:t>
      </w:r>
    </w:p>
    <w:p>
      <w:pPr>
        <w:pStyle w:val="Normal0"/>
        <w:spacing w:line="360" w:lineRule="auto"/>
        <w:ind w:firstLine="1050" w:firstLineChars="500"/>
        <w:rPr>
          <w:rFonts w:ascii="宋体" w:hAnsi="宋体" w:hint="eastAsia"/>
        </w:rPr>
      </w:pPr>
      <w:r>
        <w:rPr>
          <w:rFonts w:ascii="宋体" w:hAnsi="宋体" w:hint="eastAsia"/>
        </w:rPr>
        <w:t xml:space="preserve">8000元/平（二层商铺） </w:t>
      </w:r>
    </w:p>
    <w:p>
      <w:pPr>
        <w:pStyle w:val="Normal0"/>
        <w:spacing w:line="360" w:lineRule="auto"/>
        <w:rPr>
          <w:rFonts w:ascii="宋体" w:hAnsi="宋体" w:hint="eastAsia"/>
          <w:color w:val="333333"/>
          <w:szCs w:val="18"/>
        </w:rPr>
      </w:pPr>
      <w:r>
        <w:rPr>
          <w:rStyle w:val="Strong"/>
          <w:b w:val="0"/>
          <w:bCs w:val="0"/>
          <w:color w:val="000000"/>
          <w:szCs w:val="18"/>
        </w:rPr>
        <w:t>楼盘介绍：</w:t>
      </w:r>
      <w:r>
        <w:rPr>
          <w:rFonts w:ascii="宋体" w:hAnsi="宋体"/>
          <w:color w:val="333333"/>
          <w:szCs w:val="18"/>
        </w:rPr>
        <w:t xml:space="preserve">主要户型：3室2厅　 </w:t>
      </w:r>
    </w:p>
    <w:p>
      <w:pPr>
        <w:pStyle w:val="Normal0"/>
        <w:spacing w:line="360" w:lineRule="auto"/>
        <w:ind w:firstLine="420" w:firstLineChars="200"/>
        <w:rPr>
          <w:rFonts w:ascii="宋体" w:hAnsi="宋体" w:hint="eastAsia"/>
          <w:color w:val="333333"/>
          <w:szCs w:val="18"/>
        </w:rPr>
      </w:pPr>
      <w:r>
        <w:rPr>
          <w:rFonts w:ascii="宋体" w:hAnsi="宋体"/>
          <w:color w:val="333333"/>
          <w:szCs w:val="18"/>
        </w:rPr>
        <w:t xml:space="preserve">·超前的生态景观住宅，人性化的空间构造； </w:t>
      </w:r>
    </w:p>
    <w:p>
      <w:pPr>
        <w:pStyle w:val="Normal0"/>
        <w:spacing w:line="360" w:lineRule="auto"/>
        <w:ind w:firstLine="420" w:firstLineChars="200"/>
        <w:rPr>
          <w:rFonts w:ascii="宋体" w:hAnsi="宋体" w:hint="eastAsia"/>
          <w:color w:val="333333"/>
          <w:szCs w:val="18"/>
        </w:rPr>
      </w:pPr>
      <w:r>
        <w:rPr>
          <w:rFonts w:ascii="宋体" w:hAnsi="宋体"/>
          <w:color w:val="333333"/>
          <w:szCs w:val="18"/>
        </w:rPr>
        <w:t xml:space="preserve">·数万平方米的市民健身公园景观，再版都市桃花源的灵秀风韵； </w:t>
      </w:r>
    </w:p>
    <w:p>
      <w:pPr>
        <w:pStyle w:val="Normal0"/>
        <w:spacing w:line="360" w:lineRule="auto"/>
        <w:ind w:firstLine="420" w:firstLineChars="200"/>
        <w:rPr>
          <w:rFonts w:ascii="宋体" w:hAnsi="宋体" w:hint="eastAsia"/>
          <w:b/>
          <w:bCs/>
        </w:rPr>
      </w:pPr>
      <w:r>
        <w:rPr>
          <w:rFonts w:ascii="宋体" w:hAnsi="宋体"/>
          <w:color w:val="333333"/>
          <w:szCs w:val="18"/>
        </w:rPr>
        <w:t>·都</w:t>
      </w:r>
      <w:r>
        <w:rPr>
          <w:rFonts w:ascii="宋体" w:hAnsi="宋体" w:hint="eastAsia"/>
          <w:color w:val="333333"/>
          <w:szCs w:val="18"/>
        </w:rPr>
        <w:t>市</w:t>
      </w:r>
      <w:r>
        <w:rPr>
          <w:rFonts w:ascii="宋体" w:hAnsi="宋体"/>
          <w:color w:val="333333"/>
          <w:szCs w:val="18"/>
        </w:rPr>
        <w:t>CLD国际社区生态居住典范，成功人士的修养生息之栖</w:t>
      </w:r>
    </w:p>
    <w:p>
      <w:pPr>
        <w:pStyle w:val="Normal0"/>
        <w:spacing w:line="360" w:lineRule="auto"/>
        <w:rPr>
          <w:rFonts w:ascii="宋体" w:hAnsi="宋体" w:hint="eastAsia"/>
          <w:b/>
          <w:bCs/>
          <w:color w:val="000000"/>
          <w:szCs w:val="18"/>
        </w:rPr>
      </w:pPr>
      <w:r>
        <w:rPr>
          <w:rStyle w:val="Strong"/>
          <w:rFonts w:ascii="宋体" w:hAnsi="宋体" w:hint="eastAsia"/>
          <w:b w:val="0"/>
          <w:bCs w:val="0"/>
          <w:color w:val="000000"/>
          <w:szCs w:val="18"/>
        </w:rPr>
        <w:t>3）</w:t>
      </w:r>
      <w:r>
        <w:rPr>
          <w:rStyle w:val="Strong"/>
          <w:rFonts w:ascii="宋体" w:hAnsi="宋体"/>
          <w:b w:val="0"/>
          <w:bCs w:val="0"/>
          <w:color w:val="000000"/>
          <w:szCs w:val="18"/>
        </w:rPr>
        <w:t>楼盘</w:t>
      </w:r>
      <w:r>
        <w:rPr>
          <w:rFonts w:ascii="宋体" w:hAnsi="宋体" w:hint="eastAsia"/>
        </w:rPr>
        <w:t>名称：</w:t>
      </w:r>
      <w:r>
        <w:rPr>
          <w:rFonts w:ascii="宋体" w:hAnsi="宋体"/>
          <w:b/>
          <w:bCs/>
          <w:color w:val="000000"/>
          <w:szCs w:val="18"/>
        </w:rPr>
        <w:t>新港湾花园</w:t>
      </w:r>
    </w:p>
    <w:p>
      <w:pPr>
        <w:pStyle w:val="Normal0"/>
        <w:spacing w:line="360" w:lineRule="auto"/>
        <w:rPr>
          <w:rFonts w:ascii="宋体" w:hAnsi="宋体" w:hint="eastAsia"/>
          <w:b/>
          <w:bCs/>
          <w:color w:val="000000"/>
        </w:rPr>
      </w:pPr>
      <w:r>
        <w:rPr>
          <w:rFonts w:ascii="宋体" w:hAnsi="宋体" w:hint="eastAsia"/>
        </w:rPr>
        <w:t>物业类型：住宅</w:t>
      </w:r>
    </w:p>
    <w:p>
      <w:pPr>
        <w:pStyle w:val="Normal0"/>
        <w:spacing w:line="360" w:lineRule="auto"/>
        <w:rPr>
          <w:rFonts w:ascii="宋体" w:hAnsi="宋体" w:hint="eastAsia"/>
        </w:rPr>
      </w:pPr>
      <w:r>
        <w:rPr>
          <w:rFonts w:ascii="宋体" w:hAnsi="宋体" w:hint="eastAsia"/>
        </w:rPr>
        <w:t>销售价格：2400元/平</w:t>
      </w:r>
    </w:p>
    <w:p>
      <w:pPr>
        <w:pStyle w:val="Normal0"/>
        <w:spacing w:line="360" w:lineRule="auto"/>
        <w:ind w:left="1050" w:hanging="1050" w:hangingChars="500"/>
        <w:rPr>
          <w:rFonts w:ascii="宋体" w:hAnsi="宋体" w:hint="eastAsia"/>
          <w:b/>
          <w:bCs/>
        </w:rPr>
      </w:pPr>
      <w:r>
        <w:rPr>
          <w:rStyle w:val="Strong"/>
          <w:rFonts w:ascii="宋体" w:hAnsi="宋体"/>
          <w:b w:val="0"/>
          <w:bCs w:val="0"/>
          <w:color w:val="000000"/>
          <w:szCs w:val="18"/>
        </w:rPr>
        <w:t>楼盘介绍：</w:t>
      </w:r>
      <w:r>
        <w:rPr>
          <w:color w:val="000000"/>
          <w:szCs w:val="18"/>
        </w:rPr>
        <w:t>新港湾花园是江苏中诚信进军精心打造的第一块品牌。占地28.26亩，位于盐马路世纪联华超市西侧，户型设计独特新颖。以90-150平方米的三室二厅二卫或四室二厅二卫为主，配以获国家建设部优秀设计奖本市区首创的错跃层套型；功能配套齐全。防盗对讲门安全系统，天然气有限电视宽带网等设备配套齐全。小区实行先进的红外线监控</w:t>
      </w:r>
      <w:r>
        <w:rPr>
          <w:rFonts w:hint="eastAsia"/>
          <w:color w:val="000000"/>
          <w:szCs w:val="18"/>
          <w:lang w:eastAsia="zh-CN"/>
        </w:rPr>
        <w:t>管理管控</w:t>
      </w:r>
      <w:r>
        <w:rPr>
          <w:color w:val="000000"/>
          <w:szCs w:val="18"/>
        </w:rPr>
        <w:t>方式，树立人性化的服务理念，24小时保安巡更，主要入口配置值班岗亭，全方位的物业</w:t>
      </w:r>
      <w:r>
        <w:rPr>
          <w:rFonts w:hint="eastAsia"/>
          <w:color w:val="000000"/>
          <w:szCs w:val="18"/>
          <w:lang w:eastAsia="zh-CN"/>
        </w:rPr>
        <w:t>管理管控</w:t>
      </w:r>
      <w:r>
        <w:rPr>
          <w:color w:val="000000"/>
          <w:szCs w:val="18"/>
        </w:rPr>
        <w:t>，为入住的居民提供一流的</w:t>
      </w:r>
      <w:r>
        <w:rPr>
          <w:rFonts w:hint="eastAsia"/>
          <w:color w:val="000000"/>
          <w:szCs w:val="18"/>
          <w:lang w:eastAsia="zh-CN"/>
        </w:rPr>
        <w:t>管理管控</w:t>
      </w:r>
      <w:r>
        <w:rPr>
          <w:color w:val="000000"/>
          <w:szCs w:val="18"/>
        </w:rPr>
        <w:t>服务。小区的设计充分体现以人为本，回归自然的原则。东南两恻绿水环绕，河岸铺满如茵草坪，小区内绿因光而翠，光因绿而馨。幽静闲适。使你流连忘返。</w:t>
      </w:r>
    </w:p>
    <w:p>
      <w:pPr>
        <w:pStyle w:val="Normal0"/>
        <w:spacing w:line="360" w:lineRule="auto"/>
        <w:rPr>
          <w:rFonts w:ascii="宋体" w:hAnsi="宋体" w:hint="eastAsia"/>
          <w:b/>
          <w:bCs/>
          <w:color w:val="000000"/>
        </w:rPr>
      </w:pPr>
      <w:r>
        <w:rPr>
          <w:rStyle w:val="Strong"/>
          <w:rFonts w:ascii="宋体" w:hAnsi="宋体" w:hint="eastAsia"/>
          <w:b w:val="0"/>
          <w:bCs w:val="0"/>
          <w:color w:val="000000"/>
          <w:szCs w:val="18"/>
        </w:rPr>
        <w:t>4）</w:t>
      </w:r>
      <w:r>
        <w:rPr>
          <w:rStyle w:val="Strong"/>
          <w:rFonts w:ascii="宋体" w:hAnsi="宋体"/>
          <w:b w:val="0"/>
          <w:bCs w:val="0"/>
          <w:color w:val="000000"/>
          <w:szCs w:val="18"/>
        </w:rPr>
        <w:t>楼盘</w:t>
      </w:r>
      <w:r>
        <w:rPr>
          <w:rFonts w:ascii="宋体" w:hAnsi="宋体" w:hint="eastAsia"/>
        </w:rPr>
        <w:t>名称：</w:t>
      </w:r>
      <w:r>
        <w:rPr>
          <w:b/>
          <w:bCs/>
          <w:color w:val="000000"/>
          <w:szCs w:val="18"/>
        </w:rPr>
        <w:t>兴盛华庭</w:t>
      </w:r>
    </w:p>
    <w:p>
      <w:pPr>
        <w:pStyle w:val="Normal0"/>
        <w:spacing w:line="360" w:lineRule="auto"/>
        <w:rPr>
          <w:rFonts w:ascii="宋体" w:hAnsi="宋体" w:hint="eastAsia"/>
          <w:b/>
          <w:bCs/>
        </w:rPr>
      </w:pPr>
      <w:r>
        <w:rPr>
          <w:rFonts w:ascii="宋体" w:hAnsi="宋体" w:hint="eastAsia"/>
        </w:rPr>
        <w:t>物业类型：商住</w:t>
      </w:r>
    </w:p>
    <w:p>
      <w:pPr>
        <w:pStyle w:val="Normal0"/>
        <w:spacing w:line="360" w:lineRule="auto"/>
        <w:rPr>
          <w:rFonts w:ascii="宋体" w:hAnsi="宋体" w:hint="eastAsia"/>
          <w:b/>
          <w:bCs/>
        </w:rPr>
      </w:pPr>
      <w:r>
        <w:rPr>
          <w:rFonts w:ascii="宋体" w:hAnsi="宋体" w:hint="eastAsia"/>
        </w:rPr>
        <w:t>销售价格：2400元/平</w:t>
      </w:r>
    </w:p>
    <w:p>
      <w:pPr>
        <w:pStyle w:val="Normal0"/>
        <w:spacing w:line="360" w:lineRule="auto"/>
        <w:ind w:left="1050" w:hanging="1050" w:hangingChars="500"/>
        <w:rPr>
          <w:rFonts w:hint="eastAsia"/>
          <w:szCs w:val="18"/>
        </w:rPr>
      </w:pPr>
      <w:r>
        <w:rPr>
          <w:rStyle w:val="Strong"/>
          <w:rFonts w:ascii="宋体" w:hAnsi="宋体"/>
          <w:b w:val="0"/>
          <w:bCs w:val="0"/>
          <w:color w:val="000000"/>
          <w:szCs w:val="18"/>
        </w:rPr>
        <w:t>楼盘介绍：</w:t>
      </w:r>
      <w:r>
        <w:rPr>
          <w:rStyle w:val="Strong"/>
          <w:rFonts w:ascii="宋体" w:hAnsi="宋体" w:hint="eastAsia"/>
          <w:b w:val="0"/>
          <w:bCs w:val="0"/>
          <w:color w:val="000000"/>
          <w:szCs w:val="18"/>
        </w:rPr>
        <w:t>该</w:t>
      </w:r>
      <w:r>
        <w:rPr>
          <w:rStyle w:val="Strong"/>
          <w:rFonts w:ascii="宋体" w:hAnsi="宋体" w:hint="eastAsia"/>
          <w:b w:val="0"/>
          <w:bCs w:val="0"/>
          <w:color w:val="000000"/>
          <w:szCs w:val="18"/>
          <w:lang w:eastAsia="zh-CN"/>
        </w:rPr>
        <w:t>相关项目</w:t>
      </w:r>
      <w:r>
        <w:rPr>
          <w:rStyle w:val="Strong"/>
          <w:rFonts w:ascii="宋体" w:hAnsi="宋体" w:hint="eastAsia"/>
          <w:b w:val="0"/>
          <w:bCs w:val="0"/>
          <w:color w:val="000000"/>
          <w:szCs w:val="18"/>
        </w:rPr>
        <w:t>位于</w:t>
      </w:r>
      <w:r>
        <w:rPr>
          <w:szCs w:val="18"/>
        </w:rPr>
        <w:t>盐马路世纪联华对面</w:t>
      </w:r>
      <w:r>
        <w:rPr>
          <w:rFonts w:hint="eastAsia"/>
          <w:szCs w:val="18"/>
        </w:rPr>
        <w:t>，为多层住宅小区，沿马路底层为商铺，目前已经销售完毕。</w:t>
      </w:r>
    </w:p>
    <w:p>
      <w:pPr>
        <w:pStyle w:val="Normal0"/>
        <w:spacing w:line="360" w:lineRule="auto"/>
        <w:ind w:left="1050" w:hanging="1050" w:hangingChars="500"/>
        <w:rPr>
          <w:rFonts w:ascii="宋体" w:hAnsi="宋体" w:hint="eastAsia"/>
          <w:b/>
          <w:bCs/>
        </w:rPr>
        <w:sectPr>
          <w:headerReference w:type="default" r:id="rId33"/>
          <w:footerReference w:type="default" r:id="rId34"/>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4"/>
          <w:cols w:num="1" w:space="425"/>
          <w:titlePg w:val="0"/>
          <w:docGrid w:type="lines" w:linePitch="312" w:charSpace="0"/>
        </w:sectPr>
      </w:pPr>
    </w:p>
    <w:p>
      <w:pPr>
        <w:pStyle w:val="Normal0"/>
        <w:spacing w:line="360" w:lineRule="auto"/>
        <w:rPr>
          <w:rFonts w:ascii="仿宋_GB2312" w:eastAsia="仿宋_GB2312" w:hAnsi="宋体" w:hint="eastAsia"/>
          <w:sz w:val="28"/>
        </w:rPr>
      </w:pPr>
      <w:r>
        <w:rPr>
          <w:rFonts w:ascii="仿宋_GB2312" w:eastAsia="仿宋_GB2312" w:hAnsi="宋体" w:hint="eastAsia"/>
          <w:sz w:val="28"/>
        </w:rPr>
        <w:t>六、</w:t>
      </w:r>
      <w:r>
        <w:rPr>
          <w:rFonts w:ascii="仿宋_GB2312" w:eastAsia="仿宋_GB2312" w:hAnsi="宋体"/>
          <w:sz w:val="28"/>
        </w:rPr>
        <w:t xml:space="preserve"> </w:t>
      </w:r>
      <w:r>
        <w:rPr>
          <w:rFonts w:ascii="仿宋_GB2312" w:eastAsia="仿宋_GB2312" w:hAnsi="宋体" w:hint="eastAsia"/>
          <w:sz w:val="28"/>
        </w:rPr>
        <w:t>大市政配套</w:t>
      </w:r>
    </w:p>
    <w:p>
      <w:pPr>
        <w:pStyle w:val="Normal0"/>
        <w:spacing w:line="360" w:lineRule="auto"/>
        <w:ind w:firstLine="420" w:firstLineChars="200"/>
        <w:rPr>
          <w:rFonts w:hint="eastAsia"/>
        </w:rPr>
      </w:pPr>
      <w:r>
        <w:t>1</w:t>
      </w:r>
      <w:r>
        <w:rPr>
          <w:rFonts w:hint="eastAsia"/>
        </w:rPr>
        <w:t>、</w:t>
      </w:r>
      <w:r>
        <w:t xml:space="preserve"> </w:t>
      </w:r>
      <w:r>
        <w:rPr>
          <w:rFonts w:hint="eastAsia"/>
        </w:rPr>
        <w:t>道路现状及规划发展：包括现有路幅、规划路幅，规划实施的时间，与宗地的关系（影响）。</w:t>
      </w:r>
      <w:r>
        <w:t xml:space="preserve"> </w:t>
      </w:r>
    </w:p>
    <w:p>
      <w:pPr>
        <w:pStyle w:val="Normal0"/>
        <w:tabs>
          <w:tab w:val="left" w:pos="360"/>
        </w:tabs>
        <w:spacing w:line="360" w:lineRule="auto"/>
        <w:rPr>
          <w:rFonts w:hint="eastAsia"/>
        </w:rPr>
      </w:pPr>
      <w:r>
        <w:rPr>
          <w:rFonts w:hint="eastAsia"/>
        </w:rPr>
        <w:t>供水状况：现有管线、管径及未来规划和实施时间。</w:t>
      </w:r>
      <w:r>
        <w:t xml:space="preserve"> </w:t>
      </w:r>
    </w:p>
    <w:p>
      <w:pPr>
        <w:pStyle w:val="Normal0"/>
        <w:tabs>
          <w:tab w:val="left" w:pos="360"/>
        </w:tabs>
        <w:spacing w:line="360" w:lineRule="auto"/>
        <w:rPr>
          <w:rFonts w:hint="eastAsia"/>
        </w:rPr>
      </w:pPr>
      <w:r>
        <w:rPr>
          <w:rFonts w:hint="eastAsia"/>
        </w:rPr>
        <w:t>污水、雨水排放：现有管线、管径及未来规划和实施时间。</w:t>
      </w:r>
      <w:r>
        <w:t xml:space="preserve"> </w:t>
      </w:r>
    </w:p>
    <w:p>
      <w:pPr>
        <w:pStyle w:val="Normal0"/>
        <w:tabs>
          <w:tab w:val="left" w:pos="360"/>
        </w:tabs>
        <w:spacing w:line="360" w:lineRule="auto"/>
        <w:rPr>
          <w:rFonts w:hint="eastAsia"/>
        </w:rPr>
      </w:pPr>
      <w:r>
        <w:rPr>
          <w:rFonts w:hint="eastAsia"/>
        </w:rPr>
        <w:t>通讯（有线电视、电话、网络）：现有管线、上源位置、距宗地距离、涉及线路成本等。</w:t>
      </w:r>
      <w:r>
        <w:t xml:space="preserve"> </w:t>
      </w:r>
    </w:p>
    <w:p>
      <w:pPr>
        <w:pStyle w:val="Normal0"/>
        <w:tabs>
          <w:tab w:val="left" w:pos="360"/>
        </w:tabs>
        <w:spacing w:line="360" w:lineRule="auto"/>
        <w:rPr>
          <w:rFonts w:hint="eastAsia"/>
        </w:rPr>
      </w:pPr>
      <w:r>
        <w:rPr>
          <w:rFonts w:hint="eastAsia"/>
        </w:rPr>
        <w:t>永久性供电和临时施工用电：现有管线、上源位置、距宗地距离、涉及线路成本等。</w:t>
      </w:r>
      <w:r>
        <w:t xml:space="preserve"> </w:t>
      </w:r>
    </w:p>
    <w:p>
      <w:pPr>
        <w:pStyle w:val="Normal0"/>
        <w:tabs>
          <w:tab w:val="left" w:pos="360"/>
        </w:tabs>
        <w:spacing w:line="360" w:lineRule="auto"/>
        <w:rPr>
          <w:rFonts w:hint="eastAsia"/>
        </w:rPr>
      </w:pPr>
      <w:r>
        <w:rPr>
          <w:rFonts w:hint="eastAsia"/>
        </w:rPr>
        <w:t>燃气：现有管线、管径、上源位置、距宗地距离、接口位置。</w:t>
      </w:r>
      <w:r>
        <w:t xml:space="preserve"> </w:t>
      </w:r>
    </w:p>
    <w:p>
      <w:pPr>
        <w:pStyle w:val="Normal0"/>
        <w:tabs>
          <w:tab w:val="left" w:pos="360"/>
        </w:tabs>
        <w:spacing w:line="360" w:lineRule="auto"/>
        <w:rPr>
          <w:rFonts w:ascii="宋体" w:hAnsi="宋体" w:hint="eastAsia"/>
        </w:rPr>
      </w:pPr>
      <w:r>
        <w:rPr>
          <w:rFonts w:hint="eastAsia"/>
        </w:rPr>
        <w:t>供热及生活热水：现有管线、管径、上源位置、距宗地距离、接口位置。</w:t>
      </w:r>
      <w:r>
        <w:t xml:space="preserve"> </w:t>
      </w: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rPr>
      </w:pPr>
    </w:p>
    <w:p>
      <w:pPr>
        <w:pStyle w:val="Normal0"/>
        <w:spacing w:line="360" w:lineRule="auto"/>
        <w:rPr>
          <w:rFonts w:ascii="宋体" w:hAnsi="宋体" w:hint="eastAsia"/>
          <w:b/>
          <w:bCs/>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sectPr>
          <w:headerReference w:type="default" r:id="rId35"/>
          <w:footerReference w:type="default" r:id="rId36"/>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5"/>
          <w:cols w:num="1" w:space="425"/>
          <w:titlePg w:val="0"/>
          <w:docGrid w:type="lines" w:linePitch="312" w:charSpace="0"/>
        </w:sect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宋体" w:hAnsi="宋体" w:hint="eastAsia"/>
          <w:b/>
          <w:bCs/>
          <w:sz w:val="32"/>
        </w:rPr>
      </w:pPr>
    </w:p>
    <w:p>
      <w:pPr>
        <w:pStyle w:val="Normal0"/>
        <w:spacing w:line="360" w:lineRule="auto"/>
        <w:jc w:val="center"/>
        <w:rPr>
          <w:rFonts w:ascii="方正姚体简体" w:eastAsia="方正姚体简体" w:hAnsi="宋体" w:hint="eastAsia"/>
          <w:b/>
          <w:bCs/>
          <w:shadow/>
          <w:w w:val="200"/>
          <w:sz w:val="84"/>
        </w:rPr>
      </w:pPr>
      <w:r>
        <w:rPr>
          <w:rFonts w:ascii="方正姚体简体" w:eastAsia="方正姚体简体" w:hAnsi="宋体" w:hint="eastAsia"/>
          <w:b/>
          <w:bCs/>
          <w:shadow/>
          <w:w w:val="200"/>
          <w:sz w:val="84"/>
        </w:rPr>
        <w:t>贰</w:t>
      </w:r>
    </w:p>
    <w:p>
      <w:pPr>
        <w:pStyle w:val="Normal0"/>
        <w:spacing w:line="360" w:lineRule="auto"/>
        <w:jc w:val="center"/>
        <w:rPr>
          <w:rFonts w:ascii="方正姚体简体" w:eastAsia="方正姚体简体" w:hAnsi="宋体" w:hint="eastAsia"/>
          <w:b/>
          <w:bCs/>
          <w:shadow/>
          <w:w w:val="200"/>
          <w:sz w:val="84"/>
        </w:rPr>
      </w:pPr>
      <w:r>
        <w:rPr>
          <w:rFonts w:ascii="方正姚体简体" w:eastAsia="方正姚体简体" w:hAnsi="宋体" w:hint="eastAsia"/>
          <w:b/>
          <w:bCs/>
          <w:shadow/>
          <w:w w:val="200"/>
          <w:sz w:val="84"/>
        </w:rPr>
        <w:t>·</w:t>
      </w:r>
    </w:p>
    <w:p>
      <w:pPr>
        <w:pStyle w:val="Normal0"/>
        <w:spacing w:line="360" w:lineRule="auto"/>
        <w:jc w:val="center"/>
        <w:rPr>
          <w:rFonts w:ascii="方正姚体简体" w:eastAsia="方正姚体简体" w:hAnsi="宋体" w:hint="eastAsia"/>
          <w:b/>
          <w:bCs/>
          <w:shadow/>
          <w:w w:val="200"/>
          <w:sz w:val="84"/>
        </w:rPr>
      </w:pPr>
      <w:r>
        <w:rPr>
          <w:rFonts w:ascii="方正姚体简体" w:eastAsia="方正姚体简体" w:hAnsi="宋体" w:hint="eastAsia"/>
          <w:b/>
          <w:bCs/>
          <w:shadow/>
          <w:w w:val="200"/>
          <w:sz w:val="84"/>
        </w:rPr>
        <w:t>市</w:t>
      </w:r>
    </w:p>
    <w:p>
      <w:pPr>
        <w:pStyle w:val="Normal0"/>
        <w:spacing w:line="360" w:lineRule="auto"/>
        <w:jc w:val="center"/>
        <w:rPr>
          <w:rFonts w:ascii="方正姚体简体" w:eastAsia="方正姚体简体" w:hAnsi="宋体" w:hint="eastAsia"/>
          <w:b/>
          <w:bCs/>
          <w:shadow/>
          <w:w w:val="200"/>
          <w:sz w:val="84"/>
        </w:rPr>
      </w:pPr>
      <w:r>
        <w:rPr>
          <w:rFonts w:ascii="方正姚体简体" w:eastAsia="方正姚体简体" w:hAnsi="宋体" w:hint="eastAsia"/>
          <w:b/>
          <w:bCs/>
          <w:shadow/>
          <w:w w:val="200"/>
          <w:sz w:val="84"/>
        </w:rPr>
        <w:t>场</w:t>
      </w:r>
    </w:p>
    <w:p>
      <w:pPr>
        <w:pStyle w:val="Normal0"/>
        <w:spacing w:line="360" w:lineRule="auto"/>
        <w:jc w:val="center"/>
        <w:rPr>
          <w:rFonts w:ascii="方正姚体简体" w:eastAsia="方正姚体简体" w:hAnsi="宋体" w:hint="eastAsia"/>
          <w:shadow/>
          <w:w w:val="200"/>
          <w:sz w:val="84"/>
        </w:rPr>
      </w:pPr>
      <w:r>
        <w:rPr>
          <w:rFonts w:ascii="方正姚体简体" w:eastAsia="方正姚体简体" w:hAnsi="宋体" w:hint="eastAsia"/>
          <w:b/>
          <w:bCs/>
          <w:shadow/>
          <w:w w:val="200"/>
          <w:sz w:val="84"/>
        </w:rPr>
        <w:t>篇</w:t>
      </w:r>
    </w:p>
    <w:p>
      <w:pPr>
        <w:pStyle w:val="Normal0"/>
        <w:spacing w:line="360" w:lineRule="auto"/>
        <w:rPr>
          <w:rFonts w:ascii="方正姚体简体" w:eastAsia="方正姚体简体" w:hAnsi="宋体" w:hint="eastAsia"/>
          <w:shadow/>
          <w:w w:val="200"/>
        </w:rPr>
      </w:pPr>
    </w:p>
    <w:p>
      <w:pPr>
        <w:pStyle w:val="Normal0"/>
        <w:spacing w:line="360" w:lineRule="auto"/>
        <w:rPr>
          <w:rFonts w:ascii="方正姚体简体" w:eastAsia="方正姚体简体" w:hAnsi="宋体" w:hint="eastAsia"/>
          <w:shadow/>
          <w:w w:val="200"/>
        </w:rPr>
      </w:pPr>
    </w:p>
    <w:p>
      <w:pPr>
        <w:pStyle w:val="Normal0"/>
        <w:spacing w:line="360" w:lineRule="auto"/>
        <w:rPr>
          <w:rFonts w:ascii="方正姚体简体" w:eastAsia="方正姚体简体" w:hAnsi="宋体" w:hint="eastAsia"/>
          <w:shadow/>
          <w:w w:val="200"/>
        </w:rPr>
      </w:pPr>
    </w:p>
    <w:p>
      <w:pPr>
        <w:pStyle w:val="Normal0"/>
        <w:spacing w:line="360" w:lineRule="auto"/>
        <w:rPr>
          <w:rFonts w:ascii="方正姚体简体" w:eastAsia="方正姚体简体" w:hAnsi="宋体" w:hint="eastAsia"/>
          <w:shadow/>
          <w:w w:val="200"/>
        </w:rPr>
      </w:pPr>
    </w:p>
    <w:p>
      <w:pPr>
        <w:pStyle w:val="Normal0"/>
        <w:spacing w:line="360" w:lineRule="auto"/>
        <w:rPr>
          <w:rFonts w:ascii="方正姚体简体" w:eastAsia="方正姚体简体" w:hAnsi="宋体" w:hint="eastAsia"/>
          <w:shadow/>
          <w:w w:val="200"/>
        </w:rPr>
      </w:pPr>
    </w:p>
    <w:p>
      <w:pPr>
        <w:pStyle w:val="Normal0"/>
        <w:spacing w:line="360" w:lineRule="auto"/>
        <w:rPr>
          <w:rFonts w:ascii="方正姚体简体" w:eastAsia="方正姚体简体" w:hAnsi="宋体" w:hint="eastAsia"/>
          <w:shadow/>
          <w:w w:val="200"/>
        </w:rPr>
        <w:sectPr>
          <w:headerReference w:type="default" r:id="rId37"/>
          <w:footerReference w:type="default" r:id="rId38"/>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6"/>
          <w:cols w:num="1" w:space="425"/>
          <w:titlePg w:val="0"/>
          <w:docGrid w:type="lines" w:linePitch="312" w:charSpace="0"/>
        </w:sectPr>
      </w:pPr>
    </w:p>
    <w:p>
      <w:pPr>
        <w:pStyle w:val="Normal0"/>
        <w:spacing w:line="360" w:lineRule="auto"/>
        <w:rPr>
          <w:rFonts w:ascii="仿宋_GB2312" w:eastAsia="仿宋_GB2312" w:hAnsi="宋体" w:hint="eastAsia"/>
          <w:sz w:val="28"/>
        </w:rPr>
      </w:pPr>
      <w:r>
        <w:rPr>
          <w:rFonts w:ascii="仿宋_GB2312" w:eastAsia="仿宋_GB2312" w:hAnsi="宋体" w:hint="eastAsia"/>
          <w:sz w:val="28"/>
        </w:rPr>
        <w:t xml:space="preserve">一、市经济环境的分析和生活结构研究 </w:t>
      </w:r>
    </w:p>
    <w:p>
      <w:pPr>
        <w:pStyle w:val="Normal0"/>
        <w:spacing w:line="360" w:lineRule="auto"/>
        <w:rPr>
          <w:rFonts w:ascii="仿宋_GB2312" w:eastAsia="仿宋_GB2312" w:hAnsi="宋体" w:hint="eastAsia"/>
          <w:sz w:val="30"/>
        </w:rPr>
      </w:pPr>
      <w:r>
        <w:rPr>
          <w:rFonts w:ascii="仿宋_GB2312" w:eastAsia="仿宋_GB2312" w:hAnsi="宋体" w:hint="eastAsia"/>
          <w:sz w:val="30"/>
        </w:rPr>
        <w:t>总人口、家庭户数构成、收入水平、消费水平等</w:t>
      </w:r>
    </w:p>
    <w:p>
      <w:pPr>
        <w:pStyle w:val="Normal0"/>
        <w:spacing w:line="360" w:lineRule="auto"/>
        <w:rPr>
          <w:rFonts w:ascii="宋体" w:hAnsi="宋体" w:hint="eastAsia"/>
        </w:rPr>
      </w:pPr>
      <w:r>
        <w:rPr>
          <w:rFonts w:ascii="宋体" w:hAnsi="宋体" w:hint="eastAsia"/>
        </w:rPr>
        <w:t>1）总人口：</w:t>
      </w:r>
    </w:p>
    <w:p>
      <w:pPr>
        <w:pStyle w:val="Normal0"/>
        <w:spacing w:line="360" w:lineRule="auto"/>
        <w:ind w:firstLine="840" w:firstLineChars="400"/>
        <w:rPr>
          <w:rFonts w:ascii="宋体" w:hAnsi="宋体" w:hint="eastAsia"/>
          <w:color w:val="000000"/>
        </w:rPr>
      </w:pPr>
      <w:r>
        <w:rPr>
          <w:rFonts w:ascii="宋体" w:hAnsi="宋体" w:hint="eastAsia"/>
        </w:rPr>
        <w:t>盐城市总人口</w:t>
      </w:r>
      <w:r>
        <w:rPr>
          <w:rFonts w:ascii="宋体" w:hAnsi="宋体" w:hint="eastAsia"/>
          <w:color w:val="000000"/>
        </w:rPr>
        <w:t>数量为</w:t>
      </w:r>
      <w:r>
        <w:rPr>
          <w:rFonts w:ascii="宋体" w:hAnsi="宋体"/>
          <w:color w:val="000000"/>
          <w:szCs w:val="18"/>
        </w:rPr>
        <w:t>796.51万</w:t>
      </w:r>
      <w:r>
        <w:rPr>
          <w:rFonts w:ascii="宋体" w:hAnsi="宋体" w:hint="eastAsia"/>
          <w:color w:val="000000"/>
          <w:szCs w:val="18"/>
        </w:rPr>
        <w:t>人</w:t>
      </w:r>
    </w:p>
    <w:p>
      <w:pPr>
        <w:pStyle w:val="Normal0"/>
        <w:spacing w:line="360" w:lineRule="auto"/>
        <w:ind w:firstLine="1470" w:firstLineChars="700"/>
        <w:rPr>
          <w:rFonts w:ascii="宋体" w:hAnsi="宋体" w:hint="eastAsia"/>
          <w:color w:val="000000"/>
        </w:rPr>
      </w:pPr>
      <w:r>
        <w:rPr>
          <w:rFonts w:ascii="宋体" w:hAnsi="宋体" w:hint="eastAsia"/>
          <w:color w:val="000000"/>
        </w:rPr>
        <w:t>其中：市区人口</w:t>
      </w:r>
      <w:r>
        <w:rPr>
          <w:rFonts w:ascii="宋体" w:hAnsi="宋体"/>
          <w:color w:val="000000"/>
          <w:szCs w:val="18"/>
        </w:rPr>
        <w:t>151.36</w:t>
      </w:r>
      <w:r>
        <w:rPr>
          <w:rFonts w:ascii="宋体" w:hAnsi="宋体" w:hint="eastAsia"/>
          <w:color w:val="000000"/>
        </w:rPr>
        <w:t>万人     市区人口占总人口的20%</w:t>
      </w:r>
    </w:p>
    <w:p>
      <w:pPr>
        <w:pStyle w:val="Normal0"/>
        <w:spacing w:line="360" w:lineRule="auto"/>
        <w:ind w:firstLine="2100" w:firstLineChars="1000"/>
        <w:rPr>
          <w:rFonts w:ascii="宋体" w:hAnsi="宋体" w:hint="eastAsia"/>
          <w:color w:val="000000"/>
        </w:rPr>
      </w:pPr>
      <w:r>
        <w:rPr>
          <w:rFonts w:ascii="宋体" w:hAnsi="宋体" w:hint="eastAsia"/>
          <w:color w:val="000000"/>
        </w:rPr>
        <w:t>农村人口 645.15万人    农村人口占总人口的80%</w:t>
      </w:r>
    </w:p>
    <w:p>
      <w:pPr>
        <w:pStyle w:val="Normal0"/>
        <w:spacing w:line="360" w:lineRule="auto"/>
        <w:ind w:firstLine="420" w:firstLineChars="200"/>
        <w:rPr>
          <w:rFonts w:ascii="宋体" w:hAnsi="宋体" w:hint="eastAsia"/>
          <w:color w:val="000000"/>
        </w:rPr>
      </w:pPr>
      <w:r>
        <w:rPr>
          <w:rFonts w:ascii="宋体" w:hAnsi="宋体" w:hint="eastAsia"/>
          <w:color w:val="000000"/>
        </w:rPr>
        <w:t>市政府规划，当地2010年的市区人口数量将达到100万</w:t>
      </w:r>
    </w:p>
    <w:p>
      <w:pPr>
        <w:pStyle w:val="Normal0"/>
        <w:spacing w:line="360" w:lineRule="auto"/>
        <w:ind w:firstLine="420" w:firstLineChars="200"/>
        <w:rPr>
          <w:rFonts w:ascii="宋体" w:hAnsi="宋体" w:hint="eastAsia"/>
        </w:rPr>
      </w:pPr>
      <w:r>
        <w:rPr>
          <w:rFonts w:ascii="宋体" w:hAnsi="宋体" w:hint="eastAsia"/>
        </w:rPr>
        <w:t>盐城市外来人口数量较少，可以忽略不计</w:t>
      </w:r>
    </w:p>
    <w:p>
      <w:pPr>
        <w:pStyle w:val="Normal0"/>
        <w:spacing w:line="360" w:lineRule="auto"/>
        <w:rPr>
          <w:rFonts w:ascii="宋体" w:hAnsi="宋体" w:hint="eastAsia"/>
        </w:rPr>
      </w:pPr>
      <w:r>
        <w:rPr>
          <w:rFonts w:ascii="宋体" w:hAnsi="宋体" w:hint="eastAsia"/>
        </w:rPr>
        <w:t>2）收入水平：</w:t>
      </w:r>
    </w:p>
    <w:p>
      <w:pPr>
        <w:pStyle w:val="Normal0"/>
        <w:spacing w:line="360" w:lineRule="auto"/>
        <w:ind w:firstLine="420" w:firstLineChars="200"/>
        <w:rPr>
          <w:rFonts w:ascii="宋体" w:hAnsi="宋体" w:hint="eastAsia"/>
        </w:rPr>
      </w:pPr>
      <w:r>
        <w:rPr>
          <w:rFonts w:ascii="宋体" w:hAnsi="宋体" w:hint="eastAsia"/>
        </w:rPr>
        <w:t>2004年盐城市居民人均收入为9361元，比上年增涨16.2%</w:t>
      </w:r>
    </w:p>
    <w:p>
      <w:pPr>
        <w:pStyle w:val="Normal0"/>
        <w:spacing w:line="360" w:lineRule="auto"/>
        <w:ind w:firstLine="840" w:firstLineChars="400"/>
        <w:rPr>
          <w:rFonts w:ascii="宋体" w:hAnsi="宋体" w:hint="eastAsia"/>
        </w:rPr>
      </w:pPr>
      <w:r>
        <w:rPr>
          <w:rFonts w:ascii="宋体" w:hAnsi="宋体" w:hint="eastAsia"/>
        </w:rPr>
        <w:t>其中：工薪居民收入比上年增涨9.9%</w:t>
      </w:r>
    </w:p>
    <w:p>
      <w:pPr>
        <w:pStyle w:val="Normal0"/>
        <w:spacing w:line="360" w:lineRule="auto"/>
        <w:ind w:firstLine="420" w:firstLineChars="200"/>
        <w:rPr>
          <w:rFonts w:ascii="宋体" w:hAnsi="宋体" w:hint="eastAsia"/>
        </w:rPr>
      </w:pPr>
      <w:r>
        <w:rPr>
          <w:rFonts w:ascii="宋体" w:hAnsi="宋体" w:hint="eastAsia"/>
        </w:rPr>
        <w:t>2004年低于平均收入的居民占整个居民总数的62%，显示当地贫富差距进一步拉大</w:t>
      </w:r>
    </w:p>
    <w:p>
      <w:pPr>
        <w:pStyle w:val="Normal0"/>
        <w:spacing w:line="360" w:lineRule="auto"/>
        <w:jc w:val="left"/>
        <w:rPr>
          <w:rFonts w:ascii="宋体" w:hAnsi="宋体" w:hint="eastAsia"/>
        </w:rPr>
      </w:pPr>
      <w:r>
        <w:rPr>
          <w:rFonts w:ascii="宋体" w:hAnsi="宋体" w:hint="eastAsia"/>
        </w:rPr>
        <w:t>3）消费水平：</w:t>
      </w:r>
    </w:p>
    <w:p>
      <w:pPr>
        <w:pStyle w:val="Normal0"/>
        <w:spacing w:line="360" w:lineRule="auto"/>
        <w:ind w:firstLine="420" w:firstLineChars="200"/>
        <w:rPr>
          <w:rFonts w:ascii="宋体" w:hAnsi="宋体" w:hint="eastAsia"/>
        </w:rPr>
      </w:pPr>
      <w:r>
        <w:rPr>
          <w:rFonts w:ascii="宋体" w:hAnsi="宋体" w:hint="eastAsia"/>
        </w:rPr>
        <w:t>2004年盐城市居民人均消费支出为6565元，比上年增涨17.7%，在消费结构方面居民用于居住、娱乐消费增幅加大，居民人均居住类消费支出为882元，居民人均居住类消费支出增涨34.5%，市区居住类（不含商品房价格）价格平均上涨5.4%，比居民消费价格总指数高1.8个百分点，而12月份居住类价格上涨6.5%，涨幅高于同月食品价格0.7个百分点，成为居民消费价格的“领跑者”，居住类价格在整个居民消费价格中所占比例较小，约为13.2%，但是如果居住类价格持续快速增长，也将成为价格回落的不稳定因素。</w:t>
      </w:r>
    </w:p>
    <w:p>
      <w:pPr>
        <w:pStyle w:val="Normal0"/>
        <w:spacing w:line="360" w:lineRule="auto"/>
        <w:ind w:firstLine="420" w:firstLineChars="200"/>
        <w:rPr>
          <w:rFonts w:ascii="宋体" w:hAnsi="宋体" w:hint="eastAsia"/>
        </w:rPr>
      </w:pPr>
    </w:p>
    <w:p>
      <w:pPr>
        <w:pStyle w:val="Normal0"/>
        <w:spacing w:line="360" w:lineRule="auto"/>
        <w:rPr>
          <w:rFonts w:ascii="仿宋_GB2312" w:eastAsia="仿宋_GB2312" w:hAnsi="宋体" w:hint="eastAsia"/>
          <w:sz w:val="28"/>
        </w:rPr>
      </w:pPr>
      <w:r>
        <w:rPr>
          <w:rFonts w:ascii="仿宋_GB2312" w:eastAsia="仿宋_GB2312" w:hAnsi="宋体" w:hint="eastAsia"/>
          <w:sz w:val="28"/>
        </w:rPr>
        <w:t>GDP发展状况及产业结构情况</w:t>
      </w:r>
    </w:p>
    <w:p>
      <w:pPr>
        <w:pStyle w:val="Normal0"/>
        <w:spacing w:line="360" w:lineRule="auto"/>
        <w:ind w:firstLine="420" w:firstLineChars="200"/>
        <w:rPr>
          <w:rFonts w:ascii="宋体" w:hAnsi="宋体" w:hint="eastAsia"/>
        </w:rPr>
      </w:pPr>
      <w:r>
        <w:rPr>
          <w:rFonts w:ascii="宋体" w:hAnsi="宋体" w:hint="eastAsia"/>
          <w:szCs w:val="18"/>
        </w:rPr>
        <w:t>2004年盐城国民生产总值</w:t>
      </w:r>
      <w:r>
        <w:rPr>
          <w:rFonts w:ascii="宋体" w:hAnsi="宋体"/>
          <w:szCs w:val="18"/>
        </w:rPr>
        <w:t>871.36</w:t>
      </w:r>
      <w:r>
        <w:rPr>
          <w:rFonts w:ascii="宋体" w:hAnsi="宋体" w:hint="eastAsia"/>
          <w:szCs w:val="18"/>
        </w:rPr>
        <w:t>亿元，累计增长</w:t>
      </w:r>
      <w:r>
        <w:rPr>
          <w:rFonts w:ascii="宋体" w:hAnsi="宋体"/>
          <w:szCs w:val="18"/>
        </w:rPr>
        <w:t>14</w:t>
      </w:r>
      <w:r>
        <w:rPr>
          <w:rFonts w:ascii="宋体" w:hAnsi="宋体" w:hint="eastAsia"/>
          <w:szCs w:val="18"/>
        </w:rPr>
        <w:t>%，</w:t>
      </w:r>
      <w:r>
        <w:rPr>
          <w:rFonts w:ascii="宋体" w:hAnsi="宋体" w:hint="eastAsia"/>
        </w:rPr>
        <w:t>城市人均GDP为12499元/人。</w:t>
      </w:r>
    </w:p>
    <w:p>
      <w:pPr>
        <w:pStyle w:val="Normal0"/>
        <w:spacing w:line="360" w:lineRule="auto"/>
        <w:ind w:firstLine="300" w:firstLineChars="200"/>
        <w:rPr>
          <w:rFonts w:ascii="宋体" w:hAnsi="宋体" w:hint="eastAsia"/>
          <w:sz w:val="15"/>
        </w:rPr>
      </w:pPr>
    </w:p>
    <w:p>
      <w:pPr>
        <w:pStyle w:val="Normal0"/>
        <w:spacing w:line="360" w:lineRule="auto"/>
        <w:rPr>
          <w:rFonts w:ascii="仿宋_GB2312" w:eastAsia="仿宋_GB2312" w:hAnsi="宋体" w:hint="eastAsia"/>
          <w:sz w:val="28"/>
        </w:rPr>
      </w:pPr>
      <w:r>
        <w:rPr>
          <w:rFonts w:ascii="仿宋_GB2312" w:eastAsia="仿宋_GB2312" w:hAnsi="宋体" w:hint="eastAsia"/>
          <w:sz w:val="28"/>
        </w:rPr>
        <w:t>消费品零售总额</w:t>
      </w:r>
    </w:p>
    <w:p>
      <w:pPr>
        <w:pStyle w:val="Normal0"/>
        <w:spacing w:line="360" w:lineRule="auto"/>
        <w:ind w:left="420" w:leftChars="200"/>
        <w:rPr>
          <w:rFonts w:ascii="宋体" w:hAnsi="宋体" w:hint="eastAsia"/>
        </w:rPr>
        <w:sectPr>
          <w:headerReference w:type="default" r:id="rId39"/>
          <w:footerReference w:type="default" r:id="rId40"/>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7"/>
          <w:cols w:num="1" w:space="425"/>
          <w:titlePg w:val="0"/>
          <w:docGrid w:type="lines" w:linePitch="312" w:charSpace="0"/>
        </w:sectPr>
      </w:pPr>
      <w:r>
        <w:t>2004年，全市</w:t>
      </w:r>
      <w:r>
        <w:rPr>
          <w:rFonts w:ascii="宋体" w:hAnsi="宋体" w:hint="eastAsia"/>
          <w:szCs w:val="18"/>
        </w:rPr>
        <w:t>社会消费品零售总额</w:t>
      </w:r>
      <w:r>
        <w:rPr>
          <w:rFonts w:ascii="宋体" w:hAnsi="宋体"/>
          <w:szCs w:val="18"/>
        </w:rPr>
        <w:t>255.90</w:t>
      </w:r>
      <w:r>
        <w:rPr>
          <w:rFonts w:ascii="宋体" w:hAnsi="宋体" w:hint="eastAsia"/>
          <w:szCs w:val="18"/>
        </w:rPr>
        <w:t>亿元，累计增长</w:t>
      </w:r>
      <w:r>
        <w:rPr>
          <w:rFonts w:ascii="宋体" w:hAnsi="宋体"/>
          <w:szCs w:val="18"/>
        </w:rPr>
        <w:t>14.8</w:t>
      </w:r>
      <w:r>
        <w:rPr>
          <w:rFonts w:ascii="宋体" w:hAnsi="宋体" w:hint="eastAsia"/>
          <w:szCs w:val="18"/>
        </w:rPr>
        <w:t>%。</w:t>
      </w:r>
      <w:r>
        <w:rPr>
          <w:rFonts w:hint="eastAsia"/>
        </w:rPr>
        <w:t>其中</w:t>
      </w:r>
    </w:p>
    <w:p>
      <w:pPr>
        <w:pStyle w:val="Normal0"/>
        <w:spacing w:line="360" w:lineRule="auto"/>
        <w:ind w:left="420" w:leftChars="200"/>
        <w:rPr>
          <w:rFonts w:ascii="宋体" w:hAnsi="宋体" w:hint="eastAsia"/>
        </w:rPr>
      </w:pPr>
      <w:r>
        <w:t>，全市城市市场实现消费品零售额142.1亿元，比上年同期增长15.6%；县以下市场实现消费品零售额113.8亿元，增长14.1%。城乡消费增幅差距有所缩小，农村消费品市场出现升温势头。</w:t>
      </w:r>
    </w:p>
    <w:p>
      <w:pPr>
        <w:pStyle w:val="Normal0"/>
        <w:spacing w:line="360" w:lineRule="auto"/>
        <w:rPr>
          <w:rFonts w:ascii="楷体_GB2312" w:eastAsia="楷体_GB2312" w:hAnsi="宋体" w:hint="eastAsia"/>
          <w:sz w:val="28"/>
        </w:rPr>
      </w:pPr>
      <w:r>
        <w:rPr>
          <w:rFonts w:ascii="楷体_GB2312" w:eastAsia="楷体_GB2312" w:hAnsi="宋体" w:hint="eastAsia"/>
          <w:sz w:val="28"/>
        </w:rPr>
        <w:t>城乡居民的人均可支配收入</w:t>
      </w:r>
    </w:p>
    <w:p>
      <w:pPr>
        <w:pStyle w:val="Normal0"/>
        <w:spacing w:line="360" w:lineRule="auto"/>
        <w:ind w:left="420" w:leftChars="200"/>
        <w:rPr>
          <w:rFonts w:hint="eastAsia"/>
        </w:rPr>
      </w:pPr>
      <w:r>
        <w:t>2004年全市城镇居民人均可支配收入9362元，农民人均纯收入4505元，分别比去年同期增长16.2%和12.9%。城乡居民收入的增长，增强了购买能力</w:t>
      </w:r>
      <w:r>
        <w:rPr>
          <w:rFonts w:hint="eastAsia"/>
        </w:rPr>
        <w:t>。</w:t>
      </w:r>
    </w:p>
    <w:p>
      <w:pPr>
        <w:pStyle w:val="Normal0"/>
        <w:spacing w:line="360" w:lineRule="auto"/>
        <w:ind w:left="420" w:leftChars="200"/>
        <w:rPr>
          <w:rFonts w:ascii="宋体" w:hAnsi="宋体" w:hint="eastAsia"/>
        </w:rPr>
      </w:pPr>
    </w:p>
    <w:p>
      <w:pPr>
        <w:pStyle w:val="Normal0"/>
        <w:spacing w:line="360" w:lineRule="auto"/>
        <w:rPr>
          <w:rFonts w:ascii="楷体_GB2312" w:eastAsia="楷体_GB2312" w:hAnsi="宋体" w:hint="eastAsia"/>
          <w:sz w:val="28"/>
        </w:rPr>
      </w:pPr>
      <w:r>
        <w:rPr>
          <w:rFonts w:ascii="楷体_GB2312" w:eastAsia="楷体_GB2312" w:hAnsi="宋体" w:hint="eastAsia"/>
          <w:sz w:val="28"/>
        </w:rPr>
        <w:t>城乡居民储蓄存款余额</w:t>
      </w:r>
    </w:p>
    <w:p>
      <w:pPr>
        <w:pStyle w:val="Normal0"/>
        <w:spacing w:line="360" w:lineRule="auto"/>
        <w:ind w:firstLine="570"/>
        <w:rPr>
          <w:rFonts w:ascii="宋体" w:hAnsi="宋体" w:hint="eastAsia"/>
        </w:rPr>
      </w:pPr>
      <w:r>
        <w:rPr>
          <w:rFonts w:ascii="宋体" w:hAnsi="宋体" w:hint="eastAsia"/>
        </w:rPr>
        <w:t>2004年城乡居民储蓄存款余额为6500元/人。</w:t>
      </w:r>
    </w:p>
    <w:p>
      <w:pPr>
        <w:pStyle w:val="Normal0"/>
        <w:spacing w:line="360" w:lineRule="auto"/>
        <w:ind w:firstLine="570"/>
        <w:rPr>
          <w:rFonts w:ascii="宋体" w:hAnsi="宋体" w:hint="eastAsia"/>
        </w:rPr>
      </w:pPr>
    </w:p>
    <w:p>
      <w:pPr>
        <w:pStyle w:val="Normal0"/>
        <w:spacing w:line="360" w:lineRule="auto"/>
        <w:rPr>
          <w:rFonts w:ascii="楷体_GB2312" w:eastAsia="楷体_GB2312" w:hAnsi="宋体" w:hint="eastAsia"/>
          <w:sz w:val="28"/>
        </w:rPr>
      </w:pPr>
      <w:r>
        <w:rPr>
          <w:rFonts w:ascii="仿宋_GB2312" w:eastAsia="仿宋_GB2312" w:hAnsi="宋体" w:hint="eastAsia"/>
          <w:sz w:val="28"/>
        </w:rPr>
        <w:t>二、区域结构调查与城市发展规划调查</w:t>
      </w:r>
    </w:p>
    <w:p>
      <w:pPr>
        <w:pStyle w:val="Normal0"/>
        <w:spacing w:line="360" w:lineRule="auto"/>
        <w:ind w:firstLine="560" w:firstLineChars="200"/>
        <w:rPr>
          <w:rFonts w:ascii="楷体_GB2312" w:eastAsia="楷体_GB2312" w:hAnsi="宋体" w:hint="eastAsia"/>
          <w:sz w:val="28"/>
        </w:rPr>
      </w:pPr>
      <w:r>
        <w:rPr>
          <w:rFonts w:ascii="楷体_GB2312" w:eastAsia="楷体_GB2312" w:hAnsi="宋体" w:hint="eastAsia"/>
          <w:sz w:val="28"/>
        </w:rPr>
        <w:t>道路状况：</w:t>
      </w:r>
    </w:p>
    <w:p>
      <w:pPr>
        <w:pStyle w:val="Normal0"/>
        <w:spacing w:line="360" w:lineRule="auto"/>
        <w:ind w:firstLine="420" w:firstLineChars="200"/>
        <w:rPr>
          <w:rFonts w:ascii="宋体" w:hAnsi="宋体" w:hint="eastAsia"/>
          <w:color w:val="000000"/>
          <w:szCs w:val="21"/>
        </w:rPr>
      </w:pPr>
      <w:r>
        <w:rPr>
          <w:rFonts w:ascii="宋体" w:hAnsi="宋体" w:hint="eastAsia"/>
        </w:rPr>
        <w:t>本案位于盐马路和大庆路的交汇处，而连接建军路的</w:t>
      </w:r>
      <w:r>
        <w:rPr>
          <w:rFonts w:ascii="宋体" w:hAnsi="宋体" w:hint="eastAsia"/>
          <w:color w:val="000000"/>
          <w:szCs w:val="21"/>
        </w:rPr>
        <w:t>盐马路和连接解放南路的大庆路由于建设时间较晚，所以整体道路状况比较好。</w:t>
      </w:r>
    </w:p>
    <w:p>
      <w:pPr>
        <w:pStyle w:val="Normal0"/>
        <w:spacing w:line="360" w:lineRule="auto"/>
        <w:ind w:firstLine="560" w:firstLineChars="200"/>
        <w:rPr>
          <w:rFonts w:ascii="仿宋_GB2312" w:eastAsia="仿宋_GB2312" w:hAnsi="宋体" w:hint="eastAsia"/>
        </w:rPr>
      </w:pPr>
      <w:r>
        <w:rPr>
          <w:rFonts w:ascii="仿宋_GB2312" w:eastAsia="仿宋_GB2312" w:hAnsi="宋体" w:hint="eastAsia"/>
          <w:sz w:val="28"/>
        </w:rPr>
        <w:t>人车通行量：</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1"/>
        <w:gridCol w:w="42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261" w:type="dxa"/>
            <w:shd w:val="clear" w:color="auto" w:fill="E0E0E0"/>
          </w:tcPr>
          <w:p>
            <w:pPr>
              <w:pStyle w:val="Normal0"/>
              <w:spacing w:line="360" w:lineRule="auto"/>
              <w:jc w:val="center"/>
              <w:rPr>
                <w:rFonts w:ascii="宋体" w:hAnsi="宋体" w:hint="eastAsia"/>
              </w:rPr>
            </w:pPr>
            <w:r>
              <w:rPr>
                <w:rFonts w:ascii="宋体" w:hAnsi="宋体" w:hint="eastAsia"/>
              </w:rPr>
              <w:t>测定</w:t>
            </w:r>
            <w:r>
              <w:rPr>
                <w:rFonts w:ascii="宋体" w:hAnsi="宋体" w:hint="eastAsia"/>
                <w:lang w:eastAsia="zh-CN"/>
              </w:rPr>
              <w:t>相关项目</w:t>
            </w:r>
            <w:r>
              <w:rPr>
                <w:rFonts w:ascii="宋体" w:hAnsi="宋体" w:hint="eastAsia"/>
              </w:rPr>
              <w:t>名称</w:t>
            </w:r>
          </w:p>
        </w:tc>
        <w:tc>
          <w:tcPr>
            <w:tcW w:w="4261" w:type="dxa"/>
            <w:shd w:val="clear" w:color="auto" w:fill="E0E0E0"/>
          </w:tcPr>
          <w:p>
            <w:pPr>
              <w:pStyle w:val="Normal0"/>
              <w:spacing w:line="360" w:lineRule="auto"/>
              <w:jc w:val="center"/>
              <w:rPr>
                <w:rFonts w:ascii="宋体" w:hAnsi="宋体" w:hint="eastAsia"/>
              </w:rPr>
            </w:pPr>
            <w:r>
              <w:rPr>
                <w:rFonts w:ascii="宋体" w:hAnsi="宋体" w:hint="eastAsia"/>
              </w:rPr>
              <w:t>具体数据</w:t>
            </w:r>
          </w:p>
        </w:tc>
      </w:tr>
      <w:tr>
        <w:tblPrEx>
          <w:tblW w:w="0" w:type="auto"/>
          <w:tblInd w:w="0" w:type="dxa"/>
          <w:tblCellMar>
            <w:top w:w="0" w:type="dxa"/>
            <w:left w:w="108" w:type="dxa"/>
            <w:bottom w:w="0" w:type="dxa"/>
            <w:right w:w="108" w:type="dxa"/>
          </w:tblCellMar>
        </w:tblPrEx>
        <w:trPr>
          <w:cantSplit/>
        </w:trPr>
        <w:tc>
          <w:tcPr>
            <w:tcW w:w="4261" w:type="dxa"/>
            <w:vMerge w:val="restart"/>
            <w:shd w:val="clear" w:color="auto" w:fill="E0E0E0"/>
          </w:tcPr>
          <w:p>
            <w:pPr>
              <w:pStyle w:val="Normal0"/>
              <w:spacing w:line="360" w:lineRule="auto"/>
              <w:jc w:val="center"/>
              <w:rPr>
                <w:rFonts w:ascii="宋体" w:hAnsi="宋体" w:hint="eastAsia"/>
              </w:rPr>
            </w:pPr>
            <w:r>
              <w:rPr>
                <w:rFonts w:ascii="宋体" w:hAnsi="宋体" w:hint="eastAsia"/>
              </w:rPr>
              <w:t>盐马路平均人流量为</w:t>
            </w:r>
          </w:p>
        </w:tc>
        <w:tc>
          <w:tcPr>
            <w:tcW w:w="4261" w:type="dxa"/>
          </w:tcPr>
          <w:p>
            <w:pPr>
              <w:pStyle w:val="Normal0"/>
              <w:spacing w:line="360" w:lineRule="auto"/>
              <w:jc w:val="center"/>
              <w:rPr>
                <w:rFonts w:ascii="宋体" w:hAnsi="宋体" w:hint="eastAsia"/>
              </w:rPr>
            </w:pPr>
            <w:r>
              <w:rPr>
                <w:rFonts w:ascii="宋体" w:hAnsi="宋体" w:hint="eastAsia"/>
              </w:rPr>
              <w:t>24人次/分钟</w:t>
            </w:r>
          </w:p>
        </w:tc>
      </w:tr>
      <w:tr>
        <w:tblPrEx>
          <w:tblW w:w="0" w:type="auto"/>
          <w:tblInd w:w="0" w:type="dxa"/>
          <w:tblCellMar>
            <w:top w:w="0" w:type="dxa"/>
            <w:left w:w="108" w:type="dxa"/>
            <w:bottom w:w="0" w:type="dxa"/>
            <w:right w:w="108" w:type="dxa"/>
          </w:tblCellMar>
        </w:tblPrEx>
        <w:trPr>
          <w:cantSplit/>
        </w:trPr>
        <w:tc>
          <w:tcPr>
            <w:tcW w:w="4261" w:type="dxa"/>
            <w:vMerge/>
            <w:shd w:val="clear" w:color="auto" w:fill="E0E0E0"/>
          </w:tcPr>
          <w:p>
            <w:pPr>
              <w:pStyle w:val="Normal0"/>
              <w:spacing w:line="360" w:lineRule="auto"/>
              <w:jc w:val="center"/>
              <w:rPr>
                <w:rFonts w:ascii="宋体" w:hAnsi="宋体" w:hint="eastAsia"/>
              </w:rPr>
            </w:pPr>
          </w:p>
        </w:tc>
        <w:tc>
          <w:tcPr>
            <w:tcW w:w="4261" w:type="dxa"/>
          </w:tcPr>
          <w:p>
            <w:pPr>
              <w:pStyle w:val="Normal0"/>
              <w:spacing w:line="360" w:lineRule="auto"/>
              <w:jc w:val="center"/>
              <w:rPr>
                <w:rFonts w:ascii="宋体" w:hAnsi="宋体" w:hint="eastAsia"/>
              </w:rPr>
            </w:pPr>
            <w:r>
              <w:rPr>
                <w:rFonts w:ascii="宋体" w:hAnsi="宋体" w:hint="eastAsia"/>
              </w:rPr>
              <w:t>9辆/分钟</w:t>
            </w:r>
          </w:p>
        </w:tc>
      </w:tr>
      <w:tr>
        <w:tblPrEx>
          <w:tblW w:w="0" w:type="auto"/>
          <w:tblInd w:w="0" w:type="dxa"/>
          <w:tblCellMar>
            <w:top w:w="0" w:type="dxa"/>
            <w:left w:w="108" w:type="dxa"/>
            <w:bottom w:w="0" w:type="dxa"/>
            <w:right w:w="108" w:type="dxa"/>
          </w:tblCellMar>
        </w:tblPrEx>
        <w:trPr>
          <w:cantSplit/>
        </w:trPr>
        <w:tc>
          <w:tcPr>
            <w:tcW w:w="4261" w:type="dxa"/>
            <w:vMerge w:val="restart"/>
            <w:shd w:val="clear" w:color="auto" w:fill="E0E0E0"/>
          </w:tcPr>
          <w:p>
            <w:pPr>
              <w:pStyle w:val="Normal0"/>
              <w:spacing w:line="360" w:lineRule="auto"/>
              <w:jc w:val="center"/>
              <w:rPr>
                <w:rFonts w:ascii="宋体" w:hAnsi="宋体" w:hint="eastAsia"/>
              </w:rPr>
            </w:pPr>
            <w:r>
              <w:rPr>
                <w:rFonts w:ascii="宋体" w:hAnsi="宋体" w:hint="eastAsia"/>
              </w:rPr>
              <w:t>大庆路平均人流量为</w:t>
            </w:r>
          </w:p>
        </w:tc>
        <w:tc>
          <w:tcPr>
            <w:tcW w:w="4261" w:type="dxa"/>
          </w:tcPr>
          <w:p>
            <w:pPr>
              <w:pStyle w:val="Normal0"/>
              <w:spacing w:line="360" w:lineRule="auto"/>
              <w:jc w:val="center"/>
              <w:rPr>
                <w:rFonts w:ascii="宋体" w:hAnsi="宋体" w:hint="eastAsia"/>
              </w:rPr>
            </w:pPr>
            <w:r>
              <w:rPr>
                <w:rFonts w:ascii="宋体" w:hAnsi="宋体" w:hint="eastAsia"/>
              </w:rPr>
              <w:t>29人次/分钟</w:t>
            </w:r>
          </w:p>
        </w:tc>
      </w:tr>
      <w:tr>
        <w:tblPrEx>
          <w:tblW w:w="0" w:type="auto"/>
          <w:tblInd w:w="0" w:type="dxa"/>
          <w:tblCellMar>
            <w:top w:w="0" w:type="dxa"/>
            <w:left w:w="108" w:type="dxa"/>
            <w:bottom w:w="0" w:type="dxa"/>
            <w:right w:w="108" w:type="dxa"/>
          </w:tblCellMar>
        </w:tblPrEx>
        <w:trPr>
          <w:cantSplit/>
        </w:trPr>
        <w:tc>
          <w:tcPr>
            <w:tcW w:w="4261" w:type="dxa"/>
            <w:vMerge/>
            <w:shd w:val="clear" w:color="auto" w:fill="E0E0E0"/>
          </w:tcPr>
          <w:p>
            <w:pPr>
              <w:pStyle w:val="Normal0"/>
              <w:spacing w:line="360" w:lineRule="auto"/>
              <w:jc w:val="center"/>
              <w:rPr>
                <w:rFonts w:ascii="宋体" w:hAnsi="宋体" w:hint="eastAsia"/>
              </w:rPr>
            </w:pPr>
          </w:p>
        </w:tc>
        <w:tc>
          <w:tcPr>
            <w:tcW w:w="4261" w:type="dxa"/>
          </w:tcPr>
          <w:p>
            <w:pPr>
              <w:pStyle w:val="Normal0"/>
              <w:spacing w:line="360" w:lineRule="auto"/>
              <w:jc w:val="center"/>
              <w:rPr>
                <w:rFonts w:ascii="宋体" w:hAnsi="宋体" w:hint="eastAsia"/>
              </w:rPr>
            </w:pPr>
            <w:r>
              <w:rPr>
                <w:rFonts w:ascii="宋体" w:hAnsi="宋体" w:hint="eastAsia"/>
              </w:rPr>
              <w:t>11辆/分钟</w:t>
            </w:r>
          </w:p>
        </w:tc>
      </w:tr>
      <w:tr>
        <w:tblPrEx>
          <w:tblW w:w="0" w:type="auto"/>
          <w:tblInd w:w="0" w:type="dxa"/>
          <w:tblCellMar>
            <w:top w:w="0" w:type="dxa"/>
            <w:left w:w="108" w:type="dxa"/>
            <w:bottom w:w="0" w:type="dxa"/>
            <w:right w:w="108" w:type="dxa"/>
          </w:tblCellMar>
        </w:tblPrEx>
        <w:trPr>
          <w:cantSplit/>
        </w:trPr>
        <w:tc>
          <w:tcPr>
            <w:tcW w:w="4261" w:type="dxa"/>
            <w:vMerge w:val="restart"/>
            <w:shd w:val="clear" w:color="auto" w:fill="E0E0E0"/>
          </w:tcPr>
          <w:p>
            <w:pPr>
              <w:pStyle w:val="Normal0"/>
              <w:spacing w:line="360" w:lineRule="auto"/>
              <w:jc w:val="center"/>
              <w:rPr>
                <w:rFonts w:ascii="宋体" w:hAnsi="宋体" w:hint="eastAsia"/>
              </w:rPr>
            </w:pPr>
            <w:r>
              <w:rPr>
                <w:rFonts w:ascii="宋体" w:hAnsi="宋体" w:hint="eastAsia"/>
              </w:rPr>
              <w:t>解放南路平均人流量为</w:t>
            </w:r>
          </w:p>
        </w:tc>
        <w:tc>
          <w:tcPr>
            <w:tcW w:w="4261" w:type="dxa"/>
          </w:tcPr>
          <w:p>
            <w:pPr>
              <w:pStyle w:val="Normal0"/>
              <w:spacing w:line="360" w:lineRule="auto"/>
              <w:jc w:val="center"/>
              <w:rPr>
                <w:rFonts w:ascii="宋体" w:hAnsi="宋体" w:hint="eastAsia"/>
              </w:rPr>
            </w:pPr>
            <w:r>
              <w:rPr>
                <w:rFonts w:ascii="宋体" w:hAnsi="宋体" w:hint="eastAsia"/>
              </w:rPr>
              <w:t>32人次/分钟</w:t>
            </w:r>
          </w:p>
        </w:tc>
      </w:tr>
      <w:tr>
        <w:tblPrEx>
          <w:tblW w:w="0" w:type="auto"/>
          <w:tblInd w:w="0" w:type="dxa"/>
          <w:tblCellMar>
            <w:top w:w="0" w:type="dxa"/>
            <w:left w:w="108" w:type="dxa"/>
            <w:bottom w:w="0" w:type="dxa"/>
            <w:right w:w="108" w:type="dxa"/>
          </w:tblCellMar>
        </w:tblPrEx>
        <w:trPr>
          <w:cantSplit/>
        </w:trPr>
        <w:tc>
          <w:tcPr>
            <w:tcW w:w="4261" w:type="dxa"/>
            <w:vMerge/>
            <w:shd w:val="clear" w:color="auto" w:fill="E0E0E0"/>
          </w:tcPr>
          <w:p>
            <w:pPr>
              <w:pStyle w:val="Normal0"/>
              <w:spacing w:line="360" w:lineRule="auto"/>
              <w:jc w:val="center"/>
              <w:rPr>
                <w:rFonts w:ascii="宋体" w:hAnsi="宋体" w:hint="eastAsia"/>
              </w:rPr>
            </w:pPr>
          </w:p>
        </w:tc>
        <w:tc>
          <w:tcPr>
            <w:tcW w:w="4261" w:type="dxa"/>
          </w:tcPr>
          <w:p>
            <w:pPr>
              <w:pStyle w:val="Normal0"/>
              <w:spacing w:line="360" w:lineRule="auto"/>
              <w:jc w:val="center"/>
              <w:rPr>
                <w:rFonts w:ascii="宋体" w:hAnsi="宋体" w:hint="eastAsia"/>
              </w:rPr>
            </w:pPr>
            <w:r>
              <w:rPr>
                <w:rFonts w:ascii="宋体" w:hAnsi="宋体" w:hint="eastAsia"/>
              </w:rPr>
              <w:t>7辆/分钟</w:t>
            </w:r>
          </w:p>
        </w:tc>
      </w:tr>
      <w:tr>
        <w:tblPrEx>
          <w:tblW w:w="0" w:type="auto"/>
          <w:tblInd w:w="0" w:type="dxa"/>
          <w:tblCellMar>
            <w:top w:w="0" w:type="dxa"/>
            <w:left w:w="108" w:type="dxa"/>
            <w:bottom w:w="0" w:type="dxa"/>
            <w:right w:w="108" w:type="dxa"/>
          </w:tblCellMar>
        </w:tblPrEx>
        <w:trPr>
          <w:cantSplit/>
          <w:trHeight w:val="525"/>
        </w:trPr>
        <w:tc>
          <w:tcPr>
            <w:tcW w:w="4261" w:type="dxa"/>
            <w:vMerge w:val="restart"/>
            <w:shd w:val="clear" w:color="auto" w:fill="E0E0E0"/>
          </w:tcPr>
          <w:p>
            <w:pPr>
              <w:pStyle w:val="Normal0"/>
              <w:spacing w:line="360" w:lineRule="auto"/>
              <w:jc w:val="center"/>
              <w:rPr>
                <w:rFonts w:ascii="宋体" w:hAnsi="宋体" w:hint="eastAsia"/>
              </w:rPr>
            </w:pPr>
            <w:r>
              <w:rPr>
                <w:rFonts w:ascii="宋体" w:hAnsi="宋体" w:hint="eastAsia"/>
              </w:rPr>
              <w:t>建军路平均人流量及车流量为</w:t>
            </w:r>
          </w:p>
        </w:tc>
        <w:tc>
          <w:tcPr>
            <w:tcW w:w="4261" w:type="dxa"/>
          </w:tcPr>
          <w:p>
            <w:pPr>
              <w:pStyle w:val="Normal0"/>
              <w:spacing w:line="360" w:lineRule="auto"/>
              <w:jc w:val="center"/>
              <w:rPr>
                <w:rFonts w:ascii="宋体" w:hAnsi="宋体" w:hint="eastAsia"/>
              </w:rPr>
            </w:pPr>
            <w:r>
              <w:rPr>
                <w:rFonts w:ascii="宋体" w:hAnsi="宋体" w:hint="eastAsia"/>
              </w:rPr>
              <w:t>33人次/分钟</w:t>
            </w:r>
          </w:p>
        </w:tc>
      </w:tr>
      <w:tr>
        <w:tblPrEx>
          <w:tblW w:w="0" w:type="auto"/>
          <w:tblInd w:w="0" w:type="dxa"/>
          <w:tblCellMar>
            <w:top w:w="0" w:type="dxa"/>
            <w:left w:w="108" w:type="dxa"/>
            <w:bottom w:w="0" w:type="dxa"/>
            <w:right w:w="108" w:type="dxa"/>
          </w:tblCellMar>
        </w:tblPrEx>
        <w:trPr>
          <w:cantSplit/>
          <w:trHeight w:val="375"/>
        </w:trPr>
        <w:tc>
          <w:tcPr>
            <w:tcW w:w="4261" w:type="dxa"/>
            <w:vMerge/>
            <w:shd w:val="clear" w:color="auto" w:fill="E0E0E0"/>
          </w:tcPr>
          <w:p>
            <w:pPr>
              <w:pStyle w:val="Normal0"/>
              <w:spacing w:line="360" w:lineRule="auto"/>
              <w:rPr>
                <w:rFonts w:ascii="宋体" w:hAnsi="宋体" w:hint="eastAsia"/>
              </w:rPr>
            </w:pPr>
          </w:p>
        </w:tc>
        <w:tc>
          <w:tcPr>
            <w:tcW w:w="4261" w:type="dxa"/>
          </w:tcPr>
          <w:p>
            <w:pPr>
              <w:pStyle w:val="Normal0"/>
              <w:spacing w:line="360" w:lineRule="auto"/>
              <w:jc w:val="center"/>
              <w:rPr>
                <w:rFonts w:ascii="宋体" w:hAnsi="宋体" w:hint="eastAsia"/>
              </w:rPr>
            </w:pPr>
            <w:r>
              <w:rPr>
                <w:rFonts w:ascii="宋体" w:hAnsi="宋体" w:hint="eastAsia"/>
              </w:rPr>
              <w:t>12辆/分钟</w:t>
            </w:r>
          </w:p>
        </w:tc>
      </w:tr>
    </w:tbl>
    <w:p>
      <w:pPr>
        <w:pStyle w:val="Normal0"/>
        <w:spacing w:line="360" w:lineRule="auto"/>
        <w:ind w:firstLine="420" w:firstLineChars="200"/>
        <w:rPr>
          <w:rFonts w:ascii="仿宋_GB2312" w:eastAsia="仿宋_GB2312" w:hAnsi="宋体" w:hint="eastAsia"/>
        </w:rPr>
      </w:pPr>
    </w:p>
    <w:p>
      <w:pPr>
        <w:pStyle w:val="Normal0"/>
        <w:spacing w:line="360" w:lineRule="auto"/>
        <w:ind w:firstLine="420" w:firstLineChars="200"/>
        <w:rPr>
          <w:rFonts w:ascii="仿宋_GB2312" w:eastAsia="仿宋_GB2312" w:hAnsi="宋体" w:hint="eastAsia"/>
        </w:rPr>
      </w:pPr>
    </w:p>
    <w:p>
      <w:pPr>
        <w:pStyle w:val="Normal0"/>
        <w:spacing w:line="360" w:lineRule="auto"/>
        <w:ind w:firstLine="560" w:firstLineChars="200"/>
        <w:rPr>
          <w:rFonts w:ascii="仿宋_GB2312" w:eastAsia="仿宋_GB2312" w:hAnsi="宋体" w:hint="eastAsia"/>
          <w:sz w:val="28"/>
        </w:rPr>
      </w:pPr>
      <w:r>
        <w:rPr>
          <w:rFonts w:ascii="仿宋_GB2312" w:eastAsia="仿宋_GB2312" w:hAnsi="宋体" w:hint="eastAsia"/>
          <w:sz w:val="28"/>
        </w:rPr>
        <w:t>各城区区域性质与功能特点</w:t>
      </w:r>
    </w:p>
    <w:p>
      <w:pPr>
        <w:pStyle w:val="BodyTextIndent"/>
        <w:spacing w:line="360" w:lineRule="auto"/>
        <w:rPr>
          <w:rFonts w:ascii="宋体" w:hAnsi="宋体" w:hint="eastAsia"/>
        </w:rPr>
        <w:sectPr>
          <w:headerReference w:type="default" r:id="rId41"/>
          <w:footerReference w:type="default" r:id="rId42"/>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8"/>
          <w:cols w:num="1" w:space="425"/>
          <w:titlePg w:val="0"/>
          <w:docGrid w:type="lines" w:linePitch="312" w:charSpace="0"/>
        </w:sectPr>
      </w:pPr>
    </w:p>
    <w:p>
      <w:pPr>
        <w:pStyle w:val="BodyTextIndent"/>
        <w:spacing w:line="360" w:lineRule="auto"/>
        <w:rPr>
          <w:rFonts w:ascii="宋体" w:hAnsi="宋体" w:hint="eastAsia"/>
        </w:rPr>
      </w:pPr>
      <w:r>
        <w:rPr>
          <w:rFonts w:ascii="宋体" w:hAnsi="宋体" w:hint="eastAsia"/>
        </w:rPr>
        <w:t>以通榆运河、新洋港、西环路、世纪大道、青年路等主要河流、道路为界限，将主城区划分为城中、城南、城西、西南、城北、河东六大片区。</w:t>
      </w:r>
    </w:p>
    <w:p>
      <w:pPr>
        <w:pStyle w:val="BodyTextIndent"/>
        <w:numPr>
          <w:ilvl w:val="2"/>
          <w:numId w:val="0"/>
        </w:numPr>
        <w:tabs>
          <w:tab w:val="left" w:pos="360"/>
        </w:tabs>
        <w:spacing w:line="360" w:lineRule="auto"/>
        <w:ind w:left="720" w:firstLine="420"/>
        <w:rPr>
          <w:rFonts w:ascii="宋体" w:hAnsi="宋体" w:hint="eastAsia"/>
        </w:rPr>
      </w:pPr>
      <w:r>
        <w:rPr>
          <w:rFonts w:ascii="宋体" w:hAnsi="宋体" w:hint="eastAsia"/>
        </w:rPr>
        <w:t>城中片区</w:t>
      </w:r>
    </w:p>
    <w:p>
      <w:pPr>
        <w:pStyle w:val="BodyTextIndent"/>
        <w:spacing w:line="360" w:lineRule="auto"/>
        <w:ind w:firstLineChars="0"/>
        <w:rPr>
          <w:rFonts w:ascii="宋体" w:hAnsi="宋体" w:hint="eastAsia"/>
        </w:rPr>
      </w:pPr>
      <w:r>
        <w:rPr>
          <w:rFonts w:ascii="宋体" w:hAnsi="宋体" w:hint="eastAsia"/>
        </w:rPr>
        <w:t>新洋港以南、通榆运河以西、青年路以北、西环路以东的区域。以商业服务和居住功能为主。</w:t>
      </w:r>
    </w:p>
    <w:p>
      <w:pPr>
        <w:pStyle w:val="BodyTextIndent"/>
        <w:numPr>
          <w:ilvl w:val="2"/>
          <w:numId w:val="0"/>
        </w:numPr>
        <w:tabs>
          <w:tab w:val="left" w:pos="360"/>
          <w:tab w:val="left" w:pos="720"/>
        </w:tabs>
        <w:spacing w:line="360" w:lineRule="auto"/>
        <w:ind w:left="540" w:hanging="180"/>
        <w:rPr>
          <w:rFonts w:ascii="宋体" w:hAnsi="宋体" w:hint="eastAsia"/>
        </w:rPr>
      </w:pPr>
      <w:r>
        <w:rPr>
          <w:rFonts w:ascii="宋体" w:hAnsi="宋体" w:hint="eastAsia"/>
        </w:rPr>
        <w:t>城南片区</w:t>
      </w:r>
    </w:p>
    <w:p>
      <w:pPr>
        <w:pStyle w:val="BodyTextIndent"/>
        <w:spacing w:line="360" w:lineRule="auto"/>
        <w:ind w:left="360" w:firstLine="0" w:firstLineChars="0"/>
        <w:rPr>
          <w:rFonts w:ascii="宋体" w:hAnsi="宋体" w:hint="eastAsia"/>
        </w:rPr>
      </w:pPr>
      <w:r>
        <w:rPr>
          <w:rFonts w:ascii="宋体" w:hAnsi="宋体" w:hint="eastAsia"/>
        </w:rPr>
        <w:t>青年路以南、通榆运河以西、新河以北、西环路以东的区域。以居住和行政、文化、教</w:t>
      </w:r>
    </w:p>
    <w:p>
      <w:pPr>
        <w:pStyle w:val="BodyTextIndent"/>
        <w:spacing w:line="360" w:lineRule="auto"/>
        <w:ind w:firstLine="0" w:firstLineChars="0"/>
        <w:rPr>
          <w:rFonts w:ascii="宋体" w:hAnsi="宋体" w:hint="eastAsia"/>
        </w:rPr>
      </w:pPr>
      <w:r>
        <w:rPr>
          <w:rFonts w:ascii="宋体" w:hAnsi="宋体" w:hint="eastAsia"/>
        </w:rPr>
        <w:t>育功能为主，保留悦达工业园和市开发区用地，以串场河为界，维持“东工西宿”格局。</w:t>
      </w:r>
    </w:p>
    <w:p>
      <w:pPr>
        <w:pStyle w:val="BodyTextIndent"/>
        <w:numPr>
          <w:ilvl w:val="2"/>
          <w:numId w:val="0"/>
        </w:numPr>
        <w:tabs>
          <w:tab w:val="left" w:pos="360"/>
          <w:tab w:val="left" w:pos="720"/>
        </w:tabs>
        <w:spacing w:line="360" w:lineRule="auto"/>
        <w:ind w:left="720" w:firstLine="420"/>
        <w:rPr>
          <w:rFonts w:ascii="宋体" w:hAnsi="宋体" w:hint="eastAsia"/>
        </w:rPr>
      </w:pPr>
      <w:r>
        <w:rPr>
          <w:rFonts w:ascii="宋体" w:hAnsi="宋体" w:hint="eastAsia"/>
        </w:rPr>
        <w:t>城西片区</w:t>
      </w:r>
    </w:p>
    <w:p>
      <w:pPr>
        <w:pStyle w:val="BodyTextIndent"/>
        <w:spacing w:line="360" w:lineRule="auto"/>
        <w:rPr>
          <w:rFonts w:ascii="宋体" w:hAnsi="宋体" w:hint="eastAsia"/>
        </w:rPr>
      </w:pPr>
      <w:r>
        <w:rPr>
          <w:rFonts w:ascii="宋体" w:hAnsi="宋体" w:hint="eastAsia"/>
        </w:rPr>
        <w:t>西环路以西、宁靖盐高速公路以东、世纪大道以北、新洋港以南区域。以居住功能为主，沿世纪大道可布置物流、仓储、市场等功能用地。</w:t>
      </w:r>
    </w:p>
    <w:p>
      <w:pPr>
        <w:pStyle w:val="BodyTextIndent"/>
        <w:numPr>
          <w:ilvl w:val="2"/>
          <w:numId w:val="0"/>
        </w:numPr>
        <w:tabs>
          <w:tab w:val="left" w:pos="360"/>
          <w:tab w:val="left" w:pos="540"/>
        </w:tabs>
        <w:spacing w:line="360" w:lineRule="auto"/>
        <w:ind w:left="720" w:firstLine="420"/>
        <w:rPr>
          <w:rFonts w:ascii="宋体" w:hAnsi="宋体" w:hint="eastAsia"/>
        </w:rPr>
      </w:pPr>
      <w:r>
        <w:rPr>
          <w:rFonts w:ascii="宋体" w:hAnsi="宋体" w:hint="eastAsia"/>
        </w:rPr>
        <w:t>西南片区</w:t>
      </w:r>
    </w:p>
    <w:p>
      <w:pPr>
        <w:pStyle w:val="BodyTextIndent"/>
        <w:spacing w:line="360" w:lineRule="auto"/>
        <w:rPr>
          <w:rFonts w:ascii="宋体" w:hAnsi="宋体" w:hint="eastAsia"/>
        </w:rPr>
      </w:pPr>
      <w:r>
        <w:rPr>
          <w:rFonts w:ascii="宋体" w:hAnsi="宋体" w:hint="eastAsia"/>
        </w:rPr>
        <w:t>西环路以西、宁靖盐高速公路以东、世纪大道以南、徐淮盐高速公路以北区域。以工业为主，沿世纪大道可布置物流、仓储、市场等功能用地。</w:t>
      </w:r>
    </w:p>
    <w:p>
      <w:pPr>
        <w:pStyle w:val="BodyTextIndent"/>
        <w:numPr>
          <w:ilvl w:val="2"/>
          <w:numId w:val="0"/>
        </w:numPr>
        <w:tabs>
          <w:tab w:val="left" w:pos="360"/>
          <w:tab w:val="left" w:pos="720"/>
        </w:tabs>
        <w:spacing w:line="360" w:lineRule="auto"/>
        <w:ind w:left="720" w:firstLine="420"/>
        <w:rPr>
          <w:rFonts w:ascii="宋体" w:hAnsi="宋体" w:hint="eastAsia"/>
        </w:rPr>
      </w:pPr>
      <w:r>
        <w:rPr>
          <w:rFonts w:ascii="宋体" w:hAnsi="宋体" w:hint="eastAsia"/>
        </w:rPr>
        <w:t>城北片区</w:t>
      </w:r>
    </w:p>
    <w:p>
      <w:pPr>
        <w:pStyle w:val="BodyTextIndent"/>
        <w:spacing w:line="360" w:lineRule="auto"/>
        <w:rPr>
          <w:rFonts w:ascii="宋体" w:hAnsi="宋体" w:hint="eastAsia"/>
        </w:rPr>
      </w:pPr>
      <w:r>
        <w:rPr>
          <w:rFonts w:ascii="宋体" w:hAnsi="宋体" w:hint="eastAsia"/>
        </w:rPr>
        <w:t>新洋港以北、通榆运河以西、宁靖盐高速公路以南、串场河以东的区域。基本维持现状功能，沿204国道可布置一定规模的工业用地，在铁路货站附近布置主城区主要的物流、仓储用地。</w:t>
      </w:r>
    </w:p>
    <w:p>
      <w:pPr>
        <w:pStyle w:val="BodyTextIndent"/>
        <w:numPr>
          <w:ilvl w:val="2"/>
          <w:numId w:val="0"/>
        </w:numPr>
        <w:tabs>
          <w:tab w:val="left" w:pos="360"/>
          <w:tab w:val="left" w:pos="720"/>
        </w:tabs>
        <w:spacing w:line="360" w:lineRule="auto"/>
        <w:ind w:left="720" w:firstLine="420"/>
        <w:rPr>
          <w:rFonts w:ascii="宋体" w:hAnsi="宋体" w:hint="eastAsia"/>
        </w:rPr>
      </w:pPr>
      <w:r>
        <w:rPr>
          <w:rFonts w:ascii="宋体" w:hAnsi="宋体" w:hint="eastAsia"/>
        </w:rPr>
        <w:t>河东片区</w:t>
      </w:r>
    </w:p>
    <w:p>
      <w:pPr>
        <w:pStyle w:val="BodyTextIndent"/>
        <w:spacing w:line="360" w:lineRule="auto"/>
        <w:rPr>
          <w:rFonts w:hint="eastAsia"/>
        </w:rPr>
      </w:pPr>
      <w:r>
        <w:rPr>
          <w:rFonts w:hint="eastAsia"/>
        </w:rPr>
        <w:t>通榆运河以东区域。居住、工业相对平衡的城市新区，以世纪大道与开发大道为界分为南北组团，北组团以经十一路为界，形成“东工西宿”格局；南组团以盐读路为界，形成“南工北宿”格局。</w:t>
      </w:r>
    </w:p>
    <w:p>
      <w:pPr>
        <w:pStyle w:val="BodyTextIndent"/>
        <w:spacing w:line="360" w:lineRule="auto"/>
        <w:rPr>
          <w:rFonts w:hint="eastAsia"/>
        </w:rPr>
      </w:pPr>
    </w:p>
    <w:p>
      <w:pPr>
        <w:pStyle w:val="BodyTextIndent"/>
        <w:spacing w:line="360" w:lineRule="auto"/>
        <w:rPr>
          <w:rFonts w:hint="eastAsia"/>
        </w:rPr>
      </w:pPr>
    </w:p>
    <w:p>
      <w:pPr>
        <w:pStyle w:val="Normal0"/>
        <w:spacing w:line="360" w:lineRule="auto"/>
        <w:rPr>
          <w:rFonts w:ascii="仿宋_GB2312" w:eastAsia="仿宋_GB2312" w:hAnsi="宋体" w:hint="eastAsia"/>
          <w:sz w:val="28"/>
        </w:rPr>
      </w:pPr>
      <w:r>
        <w:rPr>
          <w:rFonts w:ascii="仿宋_GB2312" w:eastAsia="仿宋_GB2312" w:hAnsi="宋体" w:hint="eastAsia"/>
          <w:sz w:val="28"/>
        </w:rPr>
        <w:t>城市规划</w:t>
      </w:r>
    </w:p>
    <w:p>
      <w:pPr>
        <w:pStyle w:val="Normal0"/>
        <w:spacing w:line="360" w:lineRule="auto"/>
        <w:ind w:firstLine="420" w:firstLineChars="200"/>
        <w:rPr>
          <w:rFonts w:ascii="宋体" w:hAnsi="宋体" w:hint="eastAsia"/>
        </w:rPr>
      </w:pPr>
      <w:r>
        <w:rPr>
          <w:rFonts w:ascii="宋体" w:hAnsi="宋体" w:hint="eastAsia"/>
        </w:rPr>
        <w:t>盐城市城市总体规划用地范围东至沿海高速公路，南至徐淮盐高速公路，西至宁靖盐高速公路，北至新兴镇区北侧，总面积约423平方公里。</w:t>
      </w:r>
    </w:p>
    <w:p>
      <w:pPr>
        <w:pStyle w:val="Normal0"/>
        <w:spacing w:line="360" w:lineRule="auto"/>
        <w:ind w:firstLine="420" w:firstLineChars="200"/>
        <w:rPr>
          <w:rFonts w:ascii="宋体" w:hAnsi="宋体" w:hint="eastAsia"/>
        </w:rPr>
      </w:pPr>
      <w:r>
        <w:rPr>
          <w:rFonts w:ascii="宋体" w:hAnsi="宋体" w:hint="eastAsia"/>
        </w:rPr>
        <w:t>总体规划上形成“一城多镇”组团状空间形态，主城区保持“团块状”空间形态。</w:t>
      </w:r>
    </w:p>
    <w:p>
      <w:pPr>
        <w:pStyle w:val="Normal0"/>
        <w:spacing w:line="360" w:lineRule="auto"/>
        <w:ind w:firstLine="420" w:firstLineChars="200"/>
        <w:rPr>
          <w:rFonts w:ascii="宋体" w:hAnsi="宋体" w:hint="eastAsia"/>
          <w:sz w:val="28"/>
        </w:rPr>
        <w:sectPr>
          <w:headerReference w:type="default" r:id="rId43"/>
          <w:footerReference w:type="default" r:id="rId44"/>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19"/>
          <w:cols w:num="1" w:space="425"/>
          <w:titlePg w:val="0"/>
          <w:docGrid w:type="lines" w:linePitch="312" w:charSpace="0"/>
        </w:sectPr>
      </w:pPr>
      <w:r>
        <w:rPr>
          <w:rFonts w:ascii="宋体" w:hAnsi="宋体" w:hint="eastAsia"/>
        </w:rPr>
        <w:t>规划发展方向为重点向南，适度向西，启动河东，有</w:t>
      </w:r>
      <w:r>
        <w:rPr>
          <w:rFonts w:ascii="宋体" w:hAnsi="宋体" w:hint="eastAsia"/>
          <w:lang w:eastAsia="zh-CN"/>
        </w:rPr>
        <w:t>相关计划</w:t>
      </w:r>
      <w:r>
        <w:rPr>
          <w:rFonts w:ascii="宋体" w:hAnsi="宋体" w:hint="eastAsia"/>
        </w:rPr>
        <w:t>向北。</w:t>
      </w:r>
    </w:p>
    <w:p>
      <w:pPr>
        <w:pStyle w:val="Normal0"/>
        <w:spacing w:line="360" w:lineRule="auto"/>
        <w:rPr>
          <w:rFonts w:ascii="仿宋_GB2312" w:eastAsia="仿宋_GB2312" w:hAnsi="宋体" w:hint="eastAsia"/>
          <w:sz w:val="28"/>
        </w:rPr>
      </w:pPr>
      <w:r>
        <w:rPr>
          <w:rFonts w:ascii="仿宋_GB2312" w:eastAsia="仿宋_GB2312" w:hAnsi="宋体" w:hint="eastAsia"/>
          <w:sz w:val="28"/>
        </w:rPr>
        <w:t>三、</w:t>
      </w:r>
      <w:r>
        <w:rPr>
          <w:rFonts w:ascii="仿宋_GB2312" w:eastAsia="仿宋_GB2312" w:hAnsi="宋体" w:hint="eastAsia"/>
          <w:sz w:val="28"/>
          <w:lang w:eastAsia="zh-CN"/>
        </w:rPr>
        <w:t>相关项目</w:t>
      </w:r>
      <w:r>
        <w:rPr>
          <w:rFonts w:ascii="仿宋_GB2312" w:eastAsia="仿宋_GB2312" w:hAnsi="宋体" w:hint="eastAsia"/>
          <w:sz w:val="28"/>
        </w:rPr>
        <w:t>立地条件研究</w:t>
      </w:r>
    </w:p>
    <w:p>
      <w:pPr>
        <w:pStyle w:val="Normal0"/>
        <w:numPr>
          <w:ilvl w:val="1"/>
          <w:numId w:val="0"/>
        </w:numPr>
        <w:tabs>
          <w:tab w:val="left" w:pos="360"/>
        </w:tabs>
        <w:spacing w:line="360" w:lineRule="auto"/>
        <w:rPr>
          <w:rFonts w:ascii="楷体_GB2312" w:eastAsia="楷体_GB2312" w:hAnsi="宋体" w:hint="eastAsia"/>
        </w:rPr>
      </w:pPr>
      <w:r>
        <w:rPr>
          <w:rFonts w:ascii="楷体_GB2312" w:eastAsia="楷体_GB2312" w:hAnsi="宋体" w:hint="eastAsia"/>
          <w:sz w:val="28"/>
        </w:rPr>
        <w:t>顾客是否容易达到商业区</w:t>
      </w:r>
    </w:p>
    <w:p>
      <w:pPr>
        <w:pStyle w:val="Normal0"/>
        <w:spacing w:line="360" w:lineRule="auto"/>
        <w:ind w:left="359" w:firstLine="420" w:leftChars="171" w:firstLineChars="200"/>
        <w:rPr>
          <w:rFonts w:ascii="宋体" w:hAnsi="宋体" w:hint="eastAsia"/>
        </w:rPr>
      </w:pPr>
      <w:r>
        <w:rPr>
          <w:rFonts w:ascii="宋体" w:hAnsi="宋体" w:hint="eastAsia"/>
        </w:rPr>
        <w:t>首先，本案地处盐城市的副中心区域，路政情况良好，交通便利，距离传统的居民购物中心只有2公里，可以说当地居民出行购物是非常便捷的。</w:t>
      </w:r>
    </w:p>
    <w:p>
      <w:pPr>
        <w:pStyle w:val="Normal0"/>
        <w:spacing w:line="360" w:lineRule="auto"/>
        <w:ind w:left="420" w:firstLine="420" w:leftChars="200" w:firstLineChars="200"/>
        <w:rPr>
          <w:rFonts w:hint="eastAsia"/>
        </w:rPr>
      </w:pPr>
      <w:r>
        <w:rPr>
          <w:rFonts w:hint="eastAsia"/>
        </w:rPr>
        <w:t>其次，本案所处位置为城市的城南片区，该区域为市政府规划发展的重点区域，而且区域类型以居住和行政、文化、教育功能为主，随着该片区居住氛围的加浓，必然吸引商业机构的全面进入，结合原有的商业基础，本地区将成为未来的商业中心，居民购物将真正实现“购物就在家门口”。</w:t>
      </w:r>
    </w:p>
    <w:p>
      <w:pPr>
        <w:pStyle w:val="Normal0"/>
        <w:spacing w:line="360" w:lineRule="auto"/>
        <w:ind w:left="420" w:firstLine="420" w:leftChars="200" w:firstLineChars="200"/>
        <w:rPr>
          <w:rFonts w:ascii="楷体_GB2312" w:eastAsia="楷体_GB2312" w:hAnsi="宋体" w:hint="eastAsia"/>
        </w:rPr>
      </w:pPr>
    </w:p>
    <w:p>
      <w:pPr>
        <w:pStyle w:val="Normal0"/>
        <w:numPr>
          <w:ilvl w:val="1"/>
          <w:numId w:val="0"/>
        </w:numPr>
        <w:tabs>
          <w:tab w:val="left" w:pos="360"/>
        </w:tabs>
        <w:spacing w:line="360" w:lineRule="auto"/>
        <w:rPr>
          <w:rFonts w:ascii="楷体_GB2312" w:eastAsia="楷体_GB2312" w:hAnsi="宋体" w:hint="eastAsia"/>
        </w:rPr>
      </w:pPr>
      <w:r>
        <w:rPr>
          <w:rFonts w:ascii="楷体_GB2312" w:eastAsia="楷体_GB2312" w:hAnsi="宋体" w:hint="eastAsia"/>
          <w:sz w:val="28"/>
        </w:rPr>
        <w:t>周边环境和公建设施</w:t>
      </w:r>
    </w:p>
    <w:p>
      <w:pPr>
        <w:pStyle w:val="Normal0"/>
        <w:spacing w:line="360" w:lineRule="auto"/>
        <w:ind w:left="420" w:firstLine="420" w:leftChars="200" w:firstLineChars="200"/>
        <w:rPr>
          <w:rFonts w:ascii="宋体" w:hAnsi="宋体" w:hint="eastAsia"/>
        </w:rPr>
      </w:pPr>
      <w:r>
        <w:rPr>
          <w:rFonts w:ascii="宋体" w:hAnsi="宋体" w:hint="eastAsia"/>
          <w:lang w:eastAsia="zh-CN"/>
        </w:rPr>
        <w:t>相关项目</w:t>
      </w:r>
      <w:r>
        <w:rPr>
          <w:rFonts w:ascii="宋体" w:hAnsi="宋体" w:hint="eastAsia"/>
        </w:rPr>
        <w:t>所在的盐马路，在很短的时间内发展成为城市的副中心，说明该区域的发展速度是惊人的。目前本案周边的配套设施还是比较健全的，但公建设施是比较匮乏的，有待进一步完善。</w:t>
      </w:r>
    </w:p>
    <w:p>
      <w:pPr>
        <w:pStyle w:val="Normal0"/>
        <w:spacing w:line="360" w:lineRule="auto"/>
        <w:ind w:left="420" w:firstLine="420" w:leftChars="200" w:firstLineChars="200"/>
        <w:rPr>
          <w:rFonts w:ascii="楷体_GB2312" w:eastAsia="楷体_GB2312" w:hAnsi="宋体" w:hint="eastAsia"/>
        </w:rPr>
      </w:pPr>
    </w:p>
    <w:p>
      <w:pPr>
        <w:pStyle w:val="Normal0"/>
        <w:spacing w:line="360" w:lineRule="auto"/>
        <w:ind w:left="420" w:firstLine="420" w:leftChars="200" w:firstLineChars="200"/>
        <w:rPr>
          <w:rFonts w:ascii="楷体_GB2312" w:eastAsia="楷体_GB2312" w:hAnsi="宋体" w:hint="eastAsia"/>
        </w:rPr>
      </w:pPr>
    </w:p>
    <w:p>
      <w:pPr>
        <w:pStyle w:val="Normal0"/>
        <w:spacing w:line="360" w:lineRule="auto"/>
        <w:ind w:left="420" w:firstLine="420" w:leftChars="200" w:firstLineChars="200"/>
        <w:rPr>
          <w:rFonts w:ascii="楷体_GB2312" w:eastAsia="楷体_GB2312" w:hAnsi="宋体" w:hint="eastAsia"/>
        </w:rPr>
      </w:pPr>
    </w:p>
    <w:p>
      <w:pPr>
        <w:pStyle w:val="Normal0"/>
        <w:spacing w:line="360" w:lineRule="auto"/>
        <w:ind w:left="420" w:firstLine="420" w:leftChars="200" w:firstLineChars="200"/>
        <w:rPr>
          <w:rFonts w:ascii="楷体_GB2312" w:eastAsia="楷体_GB2312" w:hAnsi="宋体" w:hint="eastAsia"/>
        </w:rPr>
      </w:pPr>
    </w:p>
    <w:p>
      <w:pPr>
        <w:pStyle w:val="Normal0"/>
        <w:spacing w:line="360" w:lineRule="auto"/>
        <w:ind w:left="420" w:firstLine="420" w:leftChars="200" w:firstLineChars="200"/>
        <w:rPr>
          <w:rFonts w:ascii="楷体_GB2312" w:eastAsia="楷体_GB2312" w:hAnsi="宋体" w:hint="eastAsia"/>
        </w:rPr>
      </w:pPr>
    </w:p>
    <w:p>
      <w:pPr>
        <w:pStyle w:val="Normal0"/>
        <w:spacing w:line="360" w:lineRule="auto"/>
        <w:ind w:left="420" w:firstLine="420" w:leftChars="200" w:firstLineChars="200"/>
        <w:rPr>
          <w:rFonts w:ascii="楷体_GB2312" w:eastAsia="楷体_GB2312" w:hAnsi="宋体" w:hint="eastAsia"/>
        </w:rPr>
      </w:pPr>
    </w:p>
    <w:p>
      <w:pPr>
        <w:pStyle w:val="Normal0"/>
        <w:spacing w:line="480" w:lineRule="exact"/>
        <w:ind w:firstLine="840" w:firstLineChars="300"/>
        <w:outlineLvl w:val="0"/>
        <w:rPr>
          <w:rFonts w:ascii="仿宋_GB2312" w:eastAsia="仿宋_GB2312" w:hAnsi="华文中宋" w:hint="eastAsia"/>
          <w:sz w:val="28"/>
        </w:rPr>
        <w:sectPr>
          <w:headerReference w:type="default" r:id="rId45"/>
          <w:footerReference w:type="default" r:id="rId46"/>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0"/>
          <w:cols w:num="1" w:space="425"/>
          <w:titlePg w:val="0"/>
          <w:docGrid w:type="lines" w:linePitch="312" w:charSpace="0"/>
        </w:sectPr>
      </w:pPr>
      <w:r>
        <w:rPr>
          <w:rFonts w:ascii="仿宋_GB2312" w:eastAsia="仿宋_GB2312" w:hAnsi="华文中宋" w:hint="eastAsia"/>
          <w:sz w:val="28"/>
        </w:rPr>
        <w:t>③</w:t>
      </w:r>
      <w:r>
        <w:rPr>
          <w:rFonts w:ascii="仿宋_GB2312" w:eastAsia="仿宋_GB2312" w:hAnsi="华文中宋" w:hint="eastAsia"/>
          <w:sz w:val="28"/>
          <w:lang w:eastAsia="zh-CN"/>
        </w:rPr>
        <w:t>相关项目</w:t>
      </w:r>
      <w:r>
        <w:rPr>
          <w:rFonts w:ascii="仿宋_GB2312" w:eastAsia="仿宋_GB2312" w:hAnsi="华文中宋"/>
          <w:sz w:val="28"/>
        </w:rPr>
        <w:t>S.W.O.T</w:t>
      </w:r>
      <w:r>
        <w:rPr>
          <w:rFonts w:ascii="仿宋_GB2312" w:eastAsia="仿宋_GB2312" w:hAnsi="华文中宋" w:hint="eastAsia"/>
          <w:sz w:val="28"/>
        </w:rPr>
        <w:t>分析</w:t>
      </w:r>
    </w:p>
    <w:tbl>
      <w:tblPr>
        <w:tblStyle w:val="TableNormal"/>
        <w:tblW w:w="8386" w:type="dxa"/>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Grid>
        <w:gridCol w:w="4193"/>
        <w:gridCol w:w="4193"/>
      </w:tblGrid>
      <w:tr>
        <w:tblPrEx>
          <w:tblW w:w="8386" w:type="dxa"/>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Ex>
        <w:trPr>
          <w:trHeight w:val="5584"/>
        </w:trPr>
        <w:tc>
          <w:tcPr>
            <w:tcW w:w="4193" w:type="dxa"/>
            <w:tcBorders>
              <w:top w:val="double" w:sz="4" w:space="0" w:color="auto"/>
              <w:bottom w:val="single" w:sz="4" w:space="0" w:color="auto"/>
            </w:tcBorders>
            <w:shd w:val="clear" w:color="auto" w:fill="FF9900"/>
          </w:tcPr>
          <w:p>
            <w:pPr>
              <w:pStyle w:val="Normal0"/>
              <w:spacing w:line="360" w:lineRule="auto"/>
              <w:rPr>
                <w:rFonts w:ascii="楷体_GB2312" w:eastAsia="楷体_GB2312" w:hAnsi="华文中宋" w:hint="eastAsia"/>
                <w:b/>
                <w:bCs/>
                <w:sz w:val="28"/>
              </w:rPr>
            </w:pPr>
            <w:r>
              <w:rPr>
                <w:rFonts w:ascii="楷体_GB2312" w:eastAsia="楷体_GB2312" w:hAnsi="华文中宋" w:hint="eastAsia"/>
                <w:b/>
                <w:bCs/>
                <w:sz w:val="28"/>
              </w:rPr>
              <w:t>优势分析（</w:t>
            </w:r>
            <w:r>
              <w:rPr>
                <w:rFonts w:ascii="楷体_GB2312" w:eastAsia="楷体_GB2312" w:hAnsi="华文中宋"/>
                <w:b/>
                <w:bCs/>
                <w:sz w:val="28"/>
              </w:rPr>
              <w:t>strengthens</w:t>
            </w:r>
            <w:r>
              <w:rPr>
                <w:rFonts w:ascii="楷体_GB2312" w:eastAsia="楷体_GB2312" w:hAnsi="华文中宋" w:hint="eastAsia"/>
                <w:b/>
                <w:bCs/>
                <w:sz w:val="28"/>
              </w:rPr>
              <w:t>）</w:t>
            </w:r>
          </w:p>
          <w:p>
            <w:pPr>
              <w:pStyle w:val="Normal0"/>
              <w:tabs>
                <w:tab w:val="left" w:pos="360"/>
              </w:tabs>
              <w:spacing w:line="360" w:lineRule="auto"/>
              <w:rPr>
                <w:rFonts w:ascii="华文中宋" w:eastAsia="华文中宋" w:hAnsi="华文中宋" w:hint="eastAsia"/>
                <w:b/>
                <w:bCs/>
              </w:rPr>
            </w:pPr>
            <w:r>
              <w:rPr>
                <w:rFonts w:ascii="华文中宋" w:eastAsia="华文中宋" w:hAnsi="华文中宋" w:hint="eastAsia"/>
                <w:b/>
                <w:bCs/>
              </w:rPr>
              <w:t>本案所处的地理位置为城市规划发展的重点区域。</w:t>
            </w:r>
          </w:p>
          <w:p>
            <w:pPr>
              <w:pStyle w:val="Normal0"/>
              <w:tabs>
                <w:tab w:val="left" w:pos="360"/>
              </w:tabs>
              <w:spacing w:line="360" w:lineRule="auto"/>
              <w:rPr>
                <w:rFonts w:ascii="华文中宋" w:eastAsia="华文中宋" w:hAnsi="华文中宋" w:hint="eastAsia"/>
                <w:b/>
                <w:bCs/>
              </w:rPr>
            </w:pPr>
            <w:r>
              <w:rPr>
                <w:rFonts w:ascii="华文中宋" w:eastAsia="华文中宋" w:hAnsi="华文中宋" w:hint="eastAsia"/>
                <w:b/>
                <w:bCs/>
              </w:rPr>
              <w:t>周边各项配套设施齐全，各项服务功能比较成熟，已形成一定的居住氛围。</w:t>
            </w:r>
          </w:p>
          <w:p>
            <w:pPr>
              <w:pStyle w:val="Normal0"/>
              <w:tabs>
                <w:tab w:val="left" w:pos="360"/>
              </w:tabs>
              <w:spacing w:line="360" w:lineRule="auto"/>
              <w:rPr>
                <w:rFonts w:ascii="华文中宋" w:eastAsia="华文中宋" w:hAnsi="华文中宋" w:hint="eastAsia"/>
                <w:b/>
                <w:bCs/>
              </w:rPr>
            </w:pPr>
            <w:r>
              <w:rPr>
                <w:rFonts w:ascii="华文中宋" w:eastAsia="华文中宋" w:hAnsi="华文中宋" w:hint="eastAsia"/>
                <w:b/>
                <w:bCs/>
              </w:rPr>
              <w:t>根据市场调研发现，当地居民对</w:t>
            </w:r>
            <w:r>
              <w:rPr>
                <w:rFonts w:ascii="华文中宋" w:eastAsia="华文中宋" w:hAnsi="华文中宋" w:hint="eastAsia"/>
                <w:b/>
                <w:bCs/>
                <w:lang w:eastAsia="zh-CN"/>
              </w:rPr>
              <w:t>相关项目</w:t>
            </w:r>
            <w:r>
              <w:rPr>
                <w:rFonts w:ascii="华文中宋" w:eastAsia="华文中宋" w:hAnsi="华文中宋" w:hint="eastAsia"/>
                <w:b/>
                <w:bCs/>
              </w:rPr>
              <w:t>所在区域的发展前景比较乐观。</w:t>
            </w:r>
          </w:p>
          <w:p>
            <w:pPr>
              <w:pStyle w:val="Normal0"/>
              <w:tabs>
                <w:tab w:val="left" w:pos="360"/>
              </w:tabs>
              <w:spacing w:line="360" w:lineRule="auto"/>
              <w:rPr>
                <w:rFonts w:ascii="华文中宋" w:eastAsia="华文中宋" w:hAnsi="华文中宋" w:hint="eastAsia"/>
                <w:b/>
                <w:bCs/>
              </w:rPr>
            </w:pPr>
            <w:r>
              <w:rPr>
                <w:rFonts w:ascii="宋体" w:hAnsi="宋体" w:hint="eastAsia"/>
                <w:b/>
                <w:bCs/>
                <w:color w:val="000000"/>
              </w:rPr>
              <w:t>交通便利，给客户带来直接的便利</w:t>
            </w:r>
          </w:p>
          <w:p>
            <w:pPr>
              <w:pStyle w:val="Normal0"/>
              <w:tabs>
                <w:tab w:val="left" w:pos="360"/>
              </w:tabs>
              <w:spacing w:line="360" w:lineRule="auto"/>
              <w:rPr>
                <w:rFonts w:ascii="华文中宋" w:eastAsia="华文中宋" w:hAnsi="华文中宋" w:hint="eastAsia"/>
                <w:b/>
                <w:bCs/>
              </w:rPr>
            </w:pPr>
            <w:r>
              <w:rPr>
                <w:rFonts w:ascii="宋体" w:hAnsi="宋体" w:hint="eastAsia"/>
                <w:b/>
                <w:bCs/>
                <w:color w:val="000000"/>
              </w:rPr>
              <w:t>与学校，医院形成一个相对独立的居住中心，不受其他</w:t>
            </w:r>
            <w:r>
              <w:rPr>
                <w:rFonts w:ascii="宋体" w:hAnsi="宋体" w:hint="eastAsia"/>
                <w:b/>
                <w:bCs/>
                <w:color w:val="000000"/>
                <w:lang w:eastAsia="zh-CN"/>
              </w:rPr>
              <w:t>相关项目</w:t>
            </w:r>
            <w:r>
              <w:rPr>
                <w:rFonts w:ascii="宋体" w:hAnsi="宋体" w:hint="eastAsia"/>
                <w:b/>
                <w:bCs/>
                <w:color w:val="000000"/>
              </w:rPr>
              <w:t>的影响。</w:t>
            </w:r>
          </w:p>
        </w:tc>
        <w:tc>
          <w:tcPr>
            <w:tcW w:w="4193" w:type="dxa"/>
            <w:tcBorders>
              <w:top w:val="double" w:sz="4" w:space="0" w:color="auto"/>
              <w:bottom w:val="single" w:sz="4" w:space="0" w:color="auto"/>
            </w:tcBorders>
            <w:shd w:val="clear" w:color="auto" w:fill="99CC00"/>
          </w:tcPr>
          <w:p>
            <w:pPr>
              <w:pStyle w:val="Normal0"/>
              <w:spacing w:line="360" w:lineRule="auto"/>
              <w:rPr>
                <w:rFonts w:ascii="楷体_GB2312" w:eastAsia="楷体_GB2312" w:hAnsi="华文中宋" w:hint="eastAsia"/>
                <w:b/>
                <w:bCs/>
                <w:sz w:val="28"/>
              </w:rPr>
            </w:pPr>
            <w:r>
              <w:rPr>
                <w:rFonts w:ascii="楷体_GB2312" w:eastAsia="楷体_GB2312" w:hAnsi="华文中宋" w:hint="eastAsia"/>
                <w:b/>
                <w:bCs/>
                <w:sz w:val="28"/>
              </w:rPr>
              <w:t>劣势分析（</w:t>
            </w:r>
            <w:r>
              <w:rPr>
                <w:rFonts w:ascii="楷体_GB2312" w:eastAsia="楷体_GB2312" w:hAnsi="华文中宋"/>
                <w:b/>
                <w:bCs/>
                <w:sz w:val="28"/>
              </w:rPr>
              <w:t>weaknesses</w:t>
            </w:r>
            <w:r>
              <w:rPr>
                <w:rFonts w:ascii="楷体_GB2312" w:eastAsia="楷体_GB2312" w:hAnsi="华文中宋" w:hint="eastAsia"/>
                <w:b/>
                <w:bCs/>
                <w:sz w:val="28"/>
              </w:rPr>
              <w:t>）</w:t>
            </w:r>
          </w:p>
          <w:p>
            <w:pPr>
              <w:pStyle w:val="Normal0"/>
              <w:tabs>
                <w:tab w:val="left" w:pos="360"/>
              </w:tabs>
              <w:spacing w:line="360" w:lineRule="auto"/>
              <w:rPr>
                <w:rFonts w:ascii="华文中宋" w:eastAsia="华文中宋" w:hAnsi="华文中宋" w:hint="eastAsia"/>
                <w:b/>
                <w:bCs/>
              </w:rPr>
            </w:pPr>
            <w:r>
              <w:rPr>
                <w:rFonts w:ascii="华文中宋" w:eastAsia="华文中宋" w:hAnsi="华文中宋" w:hint="eastAsia"/>
                <w:b/>
                <w:bCs/>
              </w:rPr>
              <w:t>连续加息等宏观调控措施对房地产业的影响日益体现，消费者观望态度日趋明显。</w:t>
            </w:r>
          </w:p>
          <w:p>
            <w:pPr>
              <w:pStyle w:val="Normal0"/>
              <w:tabs>
                <w:tab w:val="left" w:pos="360"/>
              </w:tabs>
              <w:spacing w:line="360" w:lineRule="auto"/>
              <w:rPr>
                <w:rFonts w:ascii="华文中宋" w:eastAsia="华文中宋" w:hAnsi="华文中宋" w:hint="eastAsia"/>
                <w:b/>
                <w:bCs/>
              </w:rPr>
            </w:pPr>
            <w:r>
              <w:rPr>
                <w:rFonts w:ascii="华文中宋" w:eastAsia="华文中宋" w:hAnsi="华文中宋" w:hint="eastAsia"/>
                <w:b/>
                <w:bCs/>
              </w:rPr>
              <w:t>由于本案</w:t>
            </w:r>
            <w:r>
              <w:rPr>
                <w:rFonts w:ascii="华文中宋" w:eastAsia="华文中宋" w:hAnsi="华文中宋" w:hint="eastAsia"/>
                <w:b/>
                <w:bCs/>
                <w:lang w:eastAsia="zh-CN"/>
              </w:rPr>
              <w:t>相关项目</w:t>
            </w:r>
            <w:r>
              <w:rPr>
                <w:rFonts w:ascii="华文中宋" w:eastAsia="华文中宋" w:hAnsi="华文中宋" w:hint="eastAsia"/>
                <w:b/>
                <w:bCs/>
              </w:rPr>
              <w:t>较小，很难形成良好的居住氛围。</w:t>
            </w:r>
          </w:p>
          <w:p>
            <w:pPr>
              <w:pStyle w:val="Normal0"/>
              <w:tabs>
                <w:tab w:val="left" w:pos="360"/>
              </w:tabs>
              <w:spacing w:line="360" w:lineRule="auto"/>
              <w:rPr>
                <w:rFonts w:ascii="华文中宋" w:eastAsia="华文中宋" w:hAnsi="华文中宋" w:hint="eastAsia"/>
                <w:b/>
                <w:bCs/>
              </w:rPr>
            </w:pPr>
            <w:r>
              <w:rPr>
                <w:rFonts w:ascii="宋体" w:hAnsi="宋体" w:hint="eastAsia"/>
                <w:b/>
                <w:bCs/>
                <w:color w:val="000000"/>
              </w:rPr>
              <w:t>开发商在房地产方面没有品牌。</w:t>
            </w:r>
          </w:p>
          <w:p>
            <w:pPr>
              <w:pStyle w:val="Normal0"/>
              <w:tabs>
                <w:tab w:val="left" w:pos="360"/>
              </w:tabs>
              <w:spacing w:line="360" w:lineRule="auto"/>
              <w:rPr>
                <w:rFonts w:ascii="华文中宋" w:eastAsia="华文中宋" w:hAnsi="华文中宋" w:hint="eastAsia"/>
                <w:b/>
                <w:bCs/>
              </w:rPr>
            </w:pPr>
            <w:r>
              <w:rPr>
                <w:rFonts w:ascii="宋体" w:hAnsi="宋体" w:hint="eastAsia"/>
                <w:b/>
                <w:bCs/>
                <w:color w:val="000000"/>
              </w:rPr>
              <w:t>副中心区还没有完全形成，保守的客户会缺乏信心。</w:t>
            </w:r>
          </w:p>
        </w:tc>
      </w:tr>
      <w:tr>
        <w:tblPrEx>
          <w:tblW w:w="8386" w:type="dxa"/>
          <w:tblInd w:w="0" w:type="dxa"/>
          <w:tblCellMar>
            <w:top w:w="0" w:type="dxa"/>
            <w:left w:w="108" w:type="dxa"/>
            <w:bottom w:w="0" w:type="dxa"/>
            <w:right w:w="108" w:type="dxa"/>
          </w:tblCellMar>
        </w:tblPrEx>
        <w:trPr>
          <w:trHeight w:val="4952"/>
        </w:trPr>
        <w:tc>
          <w:tcPr>
            <w:tcW w:w="4193" w:type="dxa"/>
            <w:tcBorders>
              <w:top w:val="single" w:sz="4" w:space="0" w:color="auto"/>
              <w:bottom w:val="double" w:sz="4" w:space="0" w:color="auto"/>
            </w:tcBorders>
            <w:shd w:val="clear" w:color="auto" w:fill="FFFF00"/>
          </w:tcPr>
          <w:p>
            <w:pPr>
              <w:pStyle w:val="Normal0"/>
              <w:spacing w:line="360" w:lineRule="auto"/>
              <w:rPr>
                <w:rFonts w:ascii="楷体_GB2312" w:eastAsia="楷体_GB2312" w:hAnsi="华文中宋" w:hint="eastAsia"/>
                <w:b/>
                <w:bCs/>
                <w:sz w:val="28"/>
              </w:rPr>
            </w:pPr>
            <w:r>
              <w:rPr>
                <w:rFonts w:ascii="楷体_GB2312" w:eastAsia="楷体_GB2312" w:hAnsi="华文中宋" w:hint="eastAsia"/>
                <w:b/>
                <w:bCs/>
                <w:sz w:val="28"/>
              </w:rPr>
              <w:t>机会</w:t>
            </w:r>
            <w:r>
              <w:rPr>
                <w:rFonts w:ascii="楷体_GB2312" w:eastAsia="楷体_GB2312" w:hAnsi="华文中宋"/>
                <w:b/>
                <w:bCs/>
                <w:sz w:val="28"/>
              </w:rPr>
              <w:t>(opportunities)</w:t>
            </w:r>
          </w:p>
          <w:p>
            <w:pPr>
              <w:pStyle w:val="Normal0"/>
              <w:tabs>
                <w:tab w:val="left" w:pos="360"/>
              </w:tabs>
              <w:spacing w:line="360" w:lineRule="auto"/>
              <w:rPr>
                <w:rFonts w:ascii="华文中宋" w:eastAsia="华文中宋" w:hAnsi="华文中宋" w:hint="eastAsia"/>
                <w:b/>
                <w:bCs/>
              </w:rPr>
            </w:pPr>
            <w:r>
              <w:rPr>
                <w:rFonts w:ascii="华文中宋" w:eastAsia="华文中宋" w:hAnsi="华文中宋" w:hint="eastAsia"/>
                <w:b/>
                <w:bCs/>
              </w:rPr>
              <w:t>盐马路南段市政拓宽工程将于今年完工，便捷交通环境将是本案一大机会。</w:t>
            </w:r>
          </w:p>
          <w:p>
            <w:pPr>
              <w:pStyle w:val="Normal0"/>
              <w:tabs>
                <w:tab w:val="left" w:pos="360"/>
              </w:tabs>
              <w:spacing w:line="360" w:lineRule="auto"/>
              <w:rPr>
                <w:rFonts w:ascii="华文中宋" w:eastAsia="华文中宋" w:hAnsi="华文中宋" w:hint="eastAsia"/>
                <w:b/>
                <w:bCs/>
              </w:rPr>
            </w:pPr>
            <w:r>
              <w:rPr>
                <w:rFonts w:ascii="华文中宋" w:eastAsia="华文中宋" w:hAnsi="华文中宋" w:hint="eastAsia"/>
                <w:b/>
                <w:bCs/>
                <w:lang w:eastAsia="zh-CN"/>
              </w:rPr>
              <w:t>相关项目</w:t>
            </w:r>
            <w:r>
              <w:rPr>
                <w:rFonts w:ascii="华文中宋" w:eastAsia="华文中宋" w:hAnsi="华文中宋" w:hint="eastAsia"/>
                <w:b/>
                <w:bCs/>
              </w:rPr>
              <w:t>南面的盐都汽车站即将通车，该地区的人流量和车流量会进一步加大。</w:t>
            </w:r>
          </w:p>
          <w:p>
            <w:pPr>
              <w:pStyle w:val="Normal0"/>
              <w:tabs>
                <w:tab w:val="left" w:pos="360"/>
              </w:tabs>
              <w:spacing w:line="360" w:lineRule="auto"/>
              <w:rPr>
                <w:rFonts w:ascii="华文中宋" w:eastAsia="华文中宋" w:hAnsi="华文中宋" w:hint="eastAsia"/>
                <w:b/>
                <w:bCs/>
              </w:rPr>
            </w:pPr>
            <w:r>
              <w:rPr>
                <w:rFonts w:ascii="华文中宋" w:eastAsia="华文中宋" w:hAnsi="华文中宋" w:hint="eastAsia"/>
                <w:b/>
                <w:bCs/>
              </w:rPr>
              <w:t>城市南片为政府规划重点发展片区，区域发展前景乐观。</w:t>
            </w:r>
          </w:p>
        </w:tc>
        <w:tc>
          <w:tcPr>
            <w:tcW w:w="4193" w:type="dxa"/>
            <w:tcBorders>
              <w:top w:val="single" w:sz="4" w:space="0" w:color="auto"/>
              <w:bottom w:val="double" w:sz="4" w:space="0" w:color="auto"/>
            </w:tcBorders>
            <w:shd w:val="clear" w:color="auto" w:fill="FF00FF"/>
          </w:tcPr>
          <w:p>
            <w:pPr>
              <w:pStyle w:val="Normal0"/>
              <w:spacing w:line="360" w:lineRule="auto"/>
              <w:rPr>
                <w:rFonts w:ascii="楷体_GB2312" w:eastAsia="楷体_GB2312" w:hAnsi="华文中宋" w:hint="eastAsia"/>
                <w:b/>
                <w:bCs/>
                <w:sz w:val="28"/>
              </w:rPr>
            </w:pPr>
            <w:r>
              <w:rPr>
                <w:rFonts w:ascii="楷体_GB2312" w:eastAsia="楷体_GB2312" w:hAnsi="华文中宋" w:hint="eastAsia"/>
                <w:b/>
                <w:bCs/>
                <w:sz w:val="28"/>
              </w:rPr>
              <w:t>威胁</w:t>
            </w:r>
            <w:r>
              <w:rPr>
                <w:rFonts w:ascii="楷体_GB2312" w:eastAsia="楷体_GB2312" w:hAnsi="华文中宋"/>
                <w:b/>
                <w:bCs/>
                <w:sz w:val="28"/>
              </w:rPr>
              <w:t>(threatens)</w:t>
            </w:r>
          </w:p>
          <w:p>
            <w:pPr>
              <w:pStyle w:val="Normal0"/>
              <w:tabs>
                <w:tab w:val="left" w:pos="360"/>
              </w:tabs>
              <w:spacing w:line="360" w:lineRule="auto"/>
              <w:rPr>
                <w:rFonts w:ascii="华文中宋" w:eastAsia="华文中宋" w:hAnsi="华文中宋" w:hint="eastAsia"/>
                <w:b/>
                <w:bCs/>
              </w:rPr>
            </w:pPr>
            <w:r>
              <w:rPr>
                <w:rFonts w:ascii="华文中宋" w:eastAsia="华文中宋" w:hAnsi="华文中宋" w:hint="eastAsia"/>
                <w:b/>
                <w:bCs/>
              </w:rPr>
              <w:t>本案附近其它的房地产开发</w:t>
            </w:r>
            <w:r>
              <w:rPr>
                <w:rFonts w:ascii="华文中宋" w:eastAsia="华文中宋" w:hAnsi="华文中宋" w:hint="eastAsia"/>
                <w:b/>
                <w:bCs/>
                <w:lang w:eastAsia="zh-CN"/>
              </w:rPr>
              <w:t>相关项目</w:t>
            </w:r>
            <w:r>
              <w:rPr>
                <w:rFonts w:ascii="华文中宋" w:eastAsia="华文中宋" w:hAnsi="华文中宋" w:hint="eastAsia"/>
                <w:b/>
                <w:bCs/>
              </w:rPr>
              <w:t>密集，如何在激烈的市场竞争中脱影而出将成为</w:t>
            </w:r>
            <w:r>
              <w:rPr>
                <w:rFonts w:ascii="华文中宋" w:eastAsia="华文中宋" w:hAnsi="华文中宋" w:hint="eastAsia"/>
                <w:b/>
                <w:bCs/>
                <w:lang w:eastAsia="zh-CN"/>
              </w:rPr>
              <w:t>相关项目</w:t>
            </w:r>
            <w:r>
              <w:rPr>
                <w:rFonts w:ascii="华文中宋" w:eastAsia="华文中宋" w:hAnsi="华文中宋" w:hint="eastAsia"/>
                <w:b/>
                <w:bCs/>
              </w:rPr>
              <w:t>开发首要解决的问题。</w:t>
            </w:r>
          </w:p>
          <w:p>
            <w:pPr>
              <w:pStyle w:val="Normal0"/>
              <w:tabs>
                <w:tab w:val="left" w:pos="360"/>
              </w:tabs>
              <w:spacing w:line="360" w:lineRule="auto"/>
              <w:rPr>
                <w:rFonts w:ascii="华文中宋" w:eastAsia="华文中宋" w:hAnsi="华文中宋" w:hint="eastAsia"/>
                <w:b/>
                <w:bCs/>
              </w:rPr>
            </w:pPr>
            <w:r>
              <w:rPr>
                <w:rFonts w:ascii="宋体" w:hAnsi="宋体"/>
                <w:b/>
                <w:bCs/>
                <w:color w:val="000000"/>
                <w:szCs w:val="18"/>
              </w:rPr>
              <w:t>鸿基 奥园</w:t>
            </w:r>
            <w:r>
              <w:rPr>
                <w:rFonts w:ascii="宋体" w:hAnsi="宋体" w:hint="eastAsia"/>
                <w:b/>
                <w:bCs/>
                <w:color w:val="000000"/>
                <w:szCs w:val="18"/>
              </w:rPr>
              <w:t>等物业类型相似的</w:t>
            </w:r>
            <w:r>
              <w:rPr>
                <w:rFonts w:ascii="宋体" w:hAnsi="宋体" w:hint="eastAsia"/>
                <w:b/>
                <w:bCs/>
                <w:color w:val="000000"/>
                <w:szCs w:val="18"/>
                <w:lang w:eastAsia="zh-CN"/>
              </w:rPr>
              <w:t>相关项目</w:t>
            </w:r>
            <w:r>
              <w:rPr>
                <w:rFonts w:ascii="宋体" w:hAnsi="宋体" w:hint="eastAsia"/>
                <w:b/>
                <w:bCs/>
                <w:color w:val="000000"/>
                <w:szCs w:val="18"/>
              </w:rPr>
              <w:t>就在附近，产品同质化为销售增加难度。</w:t>
            </w:r>
          </w:p>
        </w:tc>
      </w:tr>
    </w:tbl>
    <w:p>
      <w:pPr>
        <w:pStyle w:val="Normal0"/>
        <w:spacing w:line="480" w:lineRule="exact"/>
        <w:rPr>
          <w:rFonts w:ascii="华文中宋" w:eastAsia="华文中宋" w:hAnsi="华文中宋"/>
          <w:sz w:val="24"/>
        </w:rPr>
      </w:pPr>
    </w:p>
    <w:p>
      <w:pPr>
        <w:pStyle w:val="Normal0"/>
        <w:spacing w:line="360" w:lineRule="auto"/>
        <w:rPr>
          <w:rStyle w:val="font11"/>
          <w:rFonts w:ascii="方正姚体简体" w:eastAsia="方正姚体简体" w:hint="eastAsia"/>
          <w:shadow/>
          <w:w w:val="200"/>
        </w:rPr>
      </w:pPr>
    </w:p>
    <w:p>
      <w:pPr>
        <w:pStyle w:val="Normal0"/>
        <w:spacing w:line="360" w:lineRule="auto"/>
        <w:jc w:val="center"/>
        <w:rPr>
          <w:rStyle w:val="font11"/>
          <w:rFonts w:ascii="方正姚体简体" w:eastAsia="方正姚体简体" w:hint="eastAsia"/>
          <w:shadow/>
          <w:w w:val="200"/>
        </w:rPr>
      </w:pPr>
    </w:p>
    <w:p>
      <w:pPr>
        <w:pStyle w:val="Normal0"/>
        <w:spacing w:line="360" w:lineRule="auto"/>
        <w:jc w:val="center"/>
        <w:rPr>
          <w:rStyle w:val="font11"/>
          <w:rFonts w:ascii="方正姚体简体" w:eastAsia="方正姚体简体" w:hint="eastAsia"/>
          <w:shadow/>
          <w:w w:val="200"/>
        </w:rPr>
      </w:pPr>
    </w:p>
    <w:p>
      <w:pPr>
        <w:pStyle w:val="Normal0"/>
        <w:spacing w:line="360" w:lineRule="auto"/>
        <w:jc w:val="center"/>
        <w:rPr>
          <w:rStyle w:val="font11"/>
          <w:rFonts w:ascii="方正姚体简体" w:eastAsia="方正姚体简体" w:hint="eastAsia"/>
          <w:shadow/>
          <w:w w:val="200"/>
        </w:rPr>
        <w:sectPr>
          <w:headerReference w:type="default" r:id="rId47"/>
          <w:footerReference w:type="default" r:id="rId48"/>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1"/>
          <w:cols w:num="1" w:space="425"/>
          <w:titlePg w:val="0"/>
          <w:docGrid w:type="lines" w:linePitch="312" w:charSpace="0"/>
        </w:sectPr>
      </w:pPr>
    </w:p>
    <w:p>
      <w:pPr>
        <w:pStyle w:val="Normal0"/>
        <w:spacing w:line="360" w:lineRule="auto"/>
        <w:jc w:val="center"/>
        <w:rPr>
          <w:rStyle w:val="font11"/>
          <w:rFonts w:ascii="方正姚体简体" w:eastAsia="方正姚体简体" w:hint="eastAsia"/>
          <w:shadow/>
          <w:w w:val="200"/>
        </w:rPr>
      </w:pPr>
    </w:p>
    <w:p>
      <w:pPr>
        <w:pStyle w:val="Normal0"/>
        <w:spacing w:line="360" w:lineRule="auto"/>
        <w:jc w:val="center"/>
        <w:rPr>
          <w:rStyle w:val="font11"/>
          <w:rFonts w:ascii="方正姚体简体" w:eastAsia="方正姚体简体" w:hint="eastAsia"/>
          <w:shadow/>
          <w:w w:val="200"/>
        </w:rPr>
      </w:pPr>
    </w:p>
    <w:p>
      <w:pPr>
        <w:pStyle w:val="Normal0"/>
        <w:spacing w:line="360" w:lineRule="auto"/>
        <w:jc w:val="center"/>
        <w:rPr>
          <w:rStyle w:val="font11"/>
          <w:rFonts w:ascii="方正姚体简体" w:eastAsia="方正姚体简体" w:hint="eastAsia"/>
          <w:shadow/>
          <w:w w:val="200"/>
        </w:rPr>
      </w:pP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叁</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经</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济</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分</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析</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篇</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（略）</w:t>
      </w:r>
    </w:p>
    <w:p>
      <w:pPr>
        <w:pStyle w:val="Normal0"/>
        <w:spacing w:line="360" w:lineRule="auto"/>
        <w:jc w:val="center"/>
        <w:rPr>
          <w:rStyle w:val="font11"/>
          <w:rFonts w:ascii="方正姚体简体" w:eastAsia="方正姚体简体" w:hint="eastAsia"/>
          <w:b/>
          <w:bCs/>
          <w:shadow/>
          <w:w w:val="200"/>
        </w:rPr>
      </w:pPr>
    </w:p>
    <w:p>
      <w:pPr>
        <w:pStyle w:val="Normal0"/>
        <w:spacing w:line="360" w:lineRule="auto"/>
        <w:jc w:val="center"/>
        <w:rPr>
          <w:rStyle w:val="font11"/>
          <w:rFonts w:ascii="方正姚体简体" w:eastAsia="方正姚体简体" w:hint="eastAsia"/>
          <w:b/>
          <w:bCs/>
          <w:shadow/>
          <w:w w:val="200"/>
        </w:rPr>
      </w:pPr>
    </w:p>
    <w:p>
      <w:pPr>
        <w:pStyle w:val="Normal0"/>
        <w:spacing w:line="360" w:lineRule="auto"/>
        <w:jc w:val="center"/>
        <w:rPr>
          <w:rStyle w:val="font11"/>
          <w:rFonts w:ascii="方正姚体简体" w:eastAsia="方正姚体简体" w:hint="eastAsia"/>
          <w:b/>
          <w:bCs/>
          <w:shadow/>
          <w:w w:val="200"/>
        </w:rPr>
        <w:sectPr>
          <w:headerReference w:type="default" r:id="rId49"/>
          <w:footerReference w:type="default" r:id="rId50"/>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2"/>
          <w:cols w:num="1" w:space="425"/>
          <w:titlePg w:val="0"/>
          <w:docGrid w:type="lines" w:linePitch="312" w:charSpace="0"/>
        </w:sectPr>
      </w:pPr>
    </w:p>
    <w:p>
      <w:pPr>
        <w:pStyle w:val="Normal0"/>
        <w:spacing w:line="360" w:lineRule="auto"/>
        <w:jc w:val="center"/>
        <w:rPr>
          <w:rStyle w:val="font11"/>
          <w:rFonts w:ascii="方正姚体简体" w:eastAsia="方正姚体简体" w:hint="eastAsia"/>
          <w:b/>
          <w:bCs/>
          <w:shadow/>
          <w:w w:val="200"/>
          <w:sz w:val="84"/>
        </w:rPr>
      </w:pPr>
    </w:p>
    <w:p>
      <w:pPr>
        <w:pStyle w:val="Normal0"/>
        <w:spacing w:line="360" w:lineRule="auto"/>
        <w:jc w:val="center"/>
        <w:rPr>
          <w:rStyle w:val="font11"/>
          <w:rFonts w:ascii="方正姚体简体" w:eastAsia="方正姚体简体" w:hint="eastAsia"/>
          <w:shadow/>
          <w:w w:val="200"/>
        </w:rPr>
      </w:pPr>
    </w:p>
    <w:p>
      <w:pPr>
        <w:pStyle w:val="Normal0"/>
        <w:spacing w:line="360" w:lineRule="auto"/>
        <w:jc w:val="center"/>
        <w:rPr>
          <w:rStyle w:val="font11"/>
          <w:rFonts w:ascii="方正姚体简体" w:eastAsia="方正姚体简体" w:hint="eastAsia"/>
          <w:shadow/>
          <w:w w:val="200"/>
        </w:rPr>
      </w:pP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肆</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项</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目</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定</w:t>
      </w:r>
    </w:p>
    <w:p>
      <w:pPr>
        <w:pStyle w:val="Normal0"/>
        <w:spacing w:line="360" w:lineRule="auto"/>
        <w:jc w:val="center"/>
        <w:rPr>
          <w:rStyle w:val="font11"/>
          <w:rFonts w:ascii="方正姚体简体" w:eastAsia="方正姚体简体" w:hint="eastAsia"/>
          <w:b/>
          <w:bCs/>
          <w:shadow/>
          <w:w w:val="200"/>
          <w:sz w:val="84"/>
        </w:rPr>
      </w:pPr>
      <w:r>
        <w:rPr>
          <w:rStyle w:val="font11"/>
          <w:rFonts w:ascii="方正姚体简体" w:eastAsia="方正姚体简体" w:hint="eastAsia"/>
          <w:b/>
          <w:bCs/>
          <w:shadow/>
          <w:w w:val="200"/>
          <w:sz w:val="84"/>
        </w:rPr>
        <w:t>位</w:t>
      </w:r>
    </w:p>
    <w:p>
      <w:pPr>
        <w:pStyle w:val="Normal0"/>
        <w:spacing w:line="360" w:lineRule="auto"/>
        <w:jc w:val="center"/>
        <w:rPr>
          <w:rFonts w:ascii="方正姚体简体" w:eastAsia="方正姚体简体" w:hint="eastAsia"/>
          <w:shadow/>
          <w:w w:val="200"/>
          <w:sz w:val="84"/>
        </w:rPr>
      </w:pPr>
      <w:r>
        <w:rPr>
          <w:rStyle w:val="font11"/>
          <w:rFonts w:ascii="方正姚体简体" w:eastAsia="方正姚体简体" w:hint="eastAsia"/>
          <w:b/>
          <w:bCs/>
          <w:shadow/>
          <w:w w:val="200"/>
          <w:sz w:val="84"/>
        </w:rPr>
        <w:t>篇</w:t>
      </w:r>
    </w:p>
    <w:p>
      <w:pPr>
        <w:pStyle w:val="Normal0"/>
        <w:spacing w:line="360" w:lineRule="auto"/>
        <w:rPr>
          <w:rFonts w:ascii="仿宋_GB2312" w:eastAsia="仿宋_GB2312" w:hint="eastAsia"/>
          <w:sz w:val="28"/>
        </w:rPr>
      </w:pPr>
    </w:p>
    <w:p>
      <w:pPr>
        <w:pStyle w:val="Normal0"/>
        <w:spacing w:line="360" w:lineRule="auto"/>
        <w:rPr>
          <w:rFonts w:ascii="仿宋_GB2312" w:eastAsia="仿宋_GB2312" w:hint="eastAsia"/>
          <w:sz w:val="28"/>
        </w:rPr>
      </w:pPr>
    </w:p>
    <w:p>
      <w:pPr>
        <w:pStyle w:val="Normal0"/>
        <w:spacing w:line="360" w:lineRule="auto"/>
        <w:rPr>
          <w:rFonts w:ascii="仿宋_GB2312" w:eastAsia="仿宋_GB2312" w:hint="eastAsia"/>
          <w:sz w:val="28"/>
        </w:rPr>
        <w:sectPr>
          <w:headerReference w:type="default" r:id="rId51"/>
          <w:footerReference w:type="default" r:id="rId52"/>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3"/>
          <w:cols w:num="1" w:space="425"/>
          <w:titlePg w:val="0"/>
          <w:docGrid w:type="lines" w:linePitch="312" w:charSpace="0"/>
        </w:sectPr>
      </w:pPr>
    </w:p>
    <w:p>
      <w:pPr>
        <w:pStyle w:val="Normal0"/>
        <w:spacing w:line="360" w:lineRule="auto"/>
        <w:rPr>
          <w:rFonts w:ascii="仿宋_GB2312" w:eastAsia="仿宋_GB2312" w:hint="eastAsia"/>
          <w:sz w:val="28"/>
        </w:rPr>
      </w:pPr>
      <w:r>
        <w:rPr>
          <w:rFonts w:ascii="仿宋_GB2312" w:eastAsia="仿宋_GB2312" w:hint="eastAsia"/>
          <w:sz w:val="28"/>
        </w:rPr>
        <w:t>一、</w:t>
      </w:r>
      <w:r>
        <w:rPr>
          <w:rFonts w:ascii="仿宋_GB2312" w:eastAsia="仿宋_GB2312" w:hint="eastAsia"/>
          <w:sz w:val="28"/>
          <w:lang w:eastAsia="zh-CN"/>
        </w:rPr>
        <w:t>相关项目</w:t>
      </w:r>
      <w:r>
        <w:rPr>
          <w:rFonts w:ascii="仿宋_GB2312" w:eastAsia="仿宋_GB2312" w:hint="eastAsia"/>
          <w:sz w:val="28"/>
        </w:rPr>
        <w:t>的市场定位</w:t>
      </w:r>
    </w:p>
    <w:p>
      <w:pPr>
        <w:pStyle w:val="Normal0"/>
        <w:spacing w:line="360" w:lineRule="auto"/>
        <w:ind w:left="980"/>
        <w:rPr>
          <w:rFonts w:ascii="仿宋_GB2312" w:eastAsia="仿宋_GB2312" w:hint="eastAsia"/>
          <w:sz w:val="28"/>
        </w:rPr>
      </w:pPr>
      <w:r>
        <w:rPr>
          <w:rFonts w:ascii="宋体" w:hint="eastAsia"/>
        </w:rPr>
        <w:t>形象定位</w:t>
      </w:r>
    </w:p>
    <w:p>
      <w:pPr>
        <w:pStyle w:val="Normal0"/>
        <w:spacing w:line="360" w:lineRule="auto"/>
        <w:ind w:left="980"/>
        <w:rPr>
          <w:rFonts w:ascii="宋体" w:hint="eastAsia"/>
          <w:color w:val="FF0000"/>
        </w:rPr>
      </w:pPr>
      <w:r>
        <w:rPr>
          <w:rFonts w:ascii="宋体" w:hAnsi="宋体" w:hint="eastAsia"/>
          <w:color w:val="FF0000"/>
        </w:rPr>
        <w:t>交通便利、品位高雅、环境优美、配套完善、三代受益</w:t>
      </w:r>
    </w:p>
    <w:p>
      <w:pPr>
        <w:pStyle w:val="Normal0"/>
        <w:spacing w:line="360" w:lineRule="auto"/>
        <w:ind w:left="980"/>
        <w:rPr>
          <w:rFonts w:ascii="宋体" w:hint="eastAsia"/>
        </w:rPr>
      </w:pPr>
      <w:r>
        <w:rPr>
          <w:rFonts w:ascii="宋体" w:hint="eastAsia"/>
        </w:rPr>
        <w:t>定位基础及定位理由</w:t>
      </w:r>
    </w:p>
    <w:p>
      <w:pPr>
        <w:pStyle w:val="Normal0"/>
        <w:numPr>
          <w:ilvl w:val="2"/>
          <w:numId w:val="0"/>
        </w:numPr>
        <w:tabs>
          <w:tab w:val="left" w:pos="360"/>
          <w:tab w:val="left" w:pos="1260"/>
        </w:tabs>
        <w:spacing w:line="360" w:lineRule="auto"/>
        <w:ind w:left="1080" w:hanging="360"/>
        <w:rPr>
          <w:rFonts w:ascii="宋体" w:hint="eastAsia"/>
        </w:rPr>
      </w:pPr>
      <w:r>
        <w:rPr>
          <w:rFonts w:ascii="宋体" w:hint="eastAsia"/>
        </w:rPr>
        <w:t>作为</w:t>
      </w:r>
      <w:r>
        <w:rPr>
          <w:rFonts w:ascii="宋体" w:hint="eastAsia"/>
          <w:lang w:eastAsia="zh-CN"/>
        </w:rPr>
        <w:t>相关项目</w:t>
      </w:r>
      <w:r>
        <w:rPr>
          <w:rFonts w:ascii="宋体" w:hint="eastAsia"/>
        </w:rPr>
        <w:t>策划的重要组成部分，</w:t>
      </w:r>
      <w:r>
        <w:rPr>
          <w:rFonts w:ascii="宋体" w:hint="eastAsia"/>
          <w:lang w:eastAsia="zh-CN"/>
        </w:rPr>
        <w:t>相关项目</w:t>
      </w:r>
      <w:r>
        <w:rPr>
          <w:rFonts w:ascii="宋体" w:hint="eastAsia"/>
        </w:rPr>
        <w:t>的形象定位的重要性是不言而语的。</w:t>
      </w:r>
      <w:r>
        <w:rPr>
          <w:rFonts w:ascii="宋体" w:hint="eastAsia"/>
          <w:lang w:eastAsia="zh-CN"/>
        </w:rPr>
        <w:t>相关项目</w:t>
      </w:r>
      <w:r>
        <w:rPr>
          <w:rFonts w:ascii="宋体" w:hint="eastAsia"/>
        </w:rPr>
        <w:t>的形象定位相当与人穿什么样的衣服，虽然衣服无法改变人的外部相貌，但绝对能改变人的精神面貌。同样，好的形象定位能给消费者带来“市场区分”——“亲和度”的基础，树立</w:t>
      </w:r>
      <w:r>
        <w:rPr>
          <w:rFonts w:ascii="宋体" w:hint="eastAsia"/>
          <w:lang w:eastAsia="zh-CN"/>
        </w:rPr>
        <w:t>相关项目</w:t>
      </w:r>
      <w:r>
        <w:rPr>
          <w:rFonts w:ascii="宋体" w:hint="eastAsia"/>
        </w:rPr>
        <w:t>的“唯一性”。</w:t>
      </w:r>
    </w:p>
    <w:p>
      <w:pPr>
        <w:pStyle w:val="Normal0"/>
        <w:numPr>
          <w:ilvl w:val="2"/>
          <w:numId w:val="0"/>
        </w:numPr>
        <w:tabs>
          <w:tab w:val="left" w:pos="360"/>
          <w:tab w:val="left" w:pos="1080"/>
        </w:tabs>
        <w:spacing w:line="360" w:lineRule="auto"/>
        <w:ind w:left="1080" w:hanging="360"/>
        <w:rPr>
          <w:rFonts w:ascii="宋体" w:hint="eastAsia"/>
        </w:rPr>
      </w:pPr>
      <w:r>
        <w:rPr>
          <w:rFonts w:ascii="宋体" w:hint="eastAsia"/>
        </w:rPr>
        <w:t xml:space="preserve"> 周边竞争楼盘相对较多，区别与竞争楼盘的市场形象定位也是为了保证将来的销售不至于混乱。</w:t>
      </w:r>
    </w:p>
    <w:p>
      <w:pPr>
        <w:pStyle w:val="Normal0"/>
        <w:numPr>
          <w:ilvl w:val="2"/>
          <w:numId w:val="0"/>
        </w:numPr>
        <w:tabs>
          <w:tab w:val="left" w:pos="360"/>
          <w:tab w:val="left" w:pos="1080"/>
        </w:tabs>
        <w:spacing w:line="360" w:lineRule="auto"/>
        <w:ind w:left="1080" w:hanging="360"/>
        <w:rPr>
          <w:rFonts w:ascii="宋体" w:hint="eastAsia"/>
        </w:rPr>
      </w:pPr>
      <w:r>
        <w:rPr>
          <w:rFonts w:ascii="宋体" w:hint="eastAsia"/>
        </w:rPr>
        <w:t xml:space="preserve"> 提升宗地</w:t>
      </w:r>
      <w:r>
        <w:rPr>
          <w:rFonts w:ascii="宋体" w:hint="eastAsia"/>
          <w:lang w:eastAsia="zh-CN"/>
        </w:rPr>
        <w:t>相关项目</w:t>
      </w:r>
      <w:r>
        <w:rPr>
          <w:rFonts w:ascii="宋体" w:hint="eastAsia"/>
        </w:rPr>
        <w:t>物业的综合档次，有利与将来的价格提升。</w:t>
      </w:r>
    </w:p>
    <w:p>
      <w:pPr>
        <w:pStyle w:val="Normal0"/>
        <w:numPr>
          <w:ilvl w:val="2"/>
          <w:numId w:val="0"/>
        </w:numPr>
        <w:tabs>
          <w:tab w:val="left" w:pos="360"/>
          <w:tab w:val="left" w:pos="1080"/>
        </w:tabs>
        <w:spacing w:line="360" w:lineRule="auto"/>
        <w:ind w:left="1080" w:hanging="360"/>
        <w:rPr>
          <w:rFonts w:ascii="宋体" w:hint="eastAsia"/>
        </w:rPr>
      </w:pPr>
      <w:r>
        <w:rPr>
          <w:rFonts w:ascii="宋体" w:hint="eastAsia"/>
        </w:rPr>
        <w:t xml:space="preserve"> 规划中的</w:t>
      </w:r>
      <w:r>
        <w:rPr>
          <w:rFonts w:ascii="宋体" w:hint="eastAsia"/>
          <w:lang w:eastAsia="zh-CN"/>
        </w:rPr>
        <w:t>相关项目</w:t>
      </w:r>
      <w:r>
        <w:rPr>
          <w:rFonts w:ascii="宋体" w:hint="eastAsia"/>
        </w:rPr>
        <w:t>主楼高度是目前宗地当地最高楼体。本身具有唯一性。</w:t>
      </w:r>
    </w:p>
    <w:p>
      <w:pPr>
        <w:pStyle w:val="Normal0"/>
        <w:spacing w:line="360" w:lineRule="auto"/>
        <w:ind w:firstLine="420" w:firstLineChars="200"/>
        <w:rPr>
          <w:rFonts w:ascii="宋体" w:hint="eastAsia"/>
        </w:rPr>
      </w:pPr>
      <w:r>
        <w:rPr>
          <w:rFonts w:ascii="宋体" w:hint="eastAsia"/>
        </w:rPr>
        <w:t>小结：政府动用行政干预的方式，对“城市副中心”进行开发，从各开发商的心理来说是很不“舒服”的，那么势必会想尽一切办法尽快收回投资成本和投资利润，如果本案的竞争对手没有或一定范围（宗地1000米）内较少，可采用“大而全”的形象定位，但目前宗地的情况却是恰恰相反。</w:t>
      </w:r>
    </w:p>
    <w:p>
      <w:pPr>
        <w:pStyle w:val="Normal0"/>
        <w:spacing w:line="360" w:lineRule="auto"/>
        <w:ind w:firstLine="420" w:firstLineChars="200"/>
        <w:rPr>
          <w:rFonts w:ascii="宋体" w:hint="eastAsia"/>
        </w:rPr>
      </w:pPr>
      <w:r>
        <w:rPr>
          <w:rFonts w:ascii="宋体" w:hint="eastAsia"/>
        </w:rPr>
        <w:t>另一方面：不管政府与开发商有任何的这样那样的事情，购房者是不知道也不想知道，对与他们来说；只要该物业——是否能满足我的生活、工作要求？工程质量？收费？等等这是他们最关心的。《孙子兵法》中有云：“不战而屈人之兵”，用于商业策划中既是“区别”，本案的形象定位的区分即是“区别”之一；《孙子兵法》《始计篇》中还有云：“</w:t>
      </w:r>
      <w:r>
        <w:rPr>
          <w:rFonts w:ascii="宋体" w:hint="eastAsia"/>
          <w:b/>
          <w:bCs/>
        </w:rPr>
        <w:t>利而诱之，乱而取之，实而备之，强而避之，</w:t>
      </w:r>
      <w:r>
        <w:rPr>
          <w:rFonts w:ascii="宋体" w:hint="eastAsia"/>
        </w:rPr>
        <w:t>怒而挠之，卑而骄之，</w:t>
      </w:r>
      <w:r>
        <w:rPr>
          <w:rFonts w:ascii="宋体" w:hint="eastAsia"/>
          <w:b/>
          <w:bCs/>
        </w:rPr>
        <w:t>佚而劳之，</w:t>
      </w:r>
      <w:r>
        <w:rPr>
          <w:rFonts w:ascii="宋体"/>
          <w:b/>
          <w:bCs/>
        </w:rPr>
        <w:t>…</w:t>
      </w:r>
      <w:r>
        <w:rPr>
          <w:rFonts w:ascii="宋体" w:hint="eastAsia"/>
          <w:b/>
          <w:bCs/>
        </w:rPr>
        <w:t>攻其不备</w:t>
      </w:r>
      <w:r>
        <w:rPr>
          <w:rFonts w:ascii="宋体" w:hint="eastAsia"/>
        </w:rPr>
        <w:t>”。</w:t>
      </w:r>
    </w:p>
    <w:p>
      <w:pPr>
        <w:pStyle w:val="Normal0"/>
        <w:spacing w:line="360" w:lineRule="auto"/>
        <w:ind w:firstLine="420" w:firstLineChars="200"/>
        <w:rPr>
          <w:rFonts w:ascii="宋体" w:hint="eastAsia"/>
        </w:rPr>
      </w:pPr>
    </w:p>
    <w:p>
      <w:pPr>
        <w:pStyle w:val="Normal0"/>
        <w:spacing w:line="360" w:lineRule="auto"/>
        <w:rPr>
          <w:rFonts w:ascii="仿宋_GB2312" w:eastAsia="仿宋_GB2312" w:hint="eastAsia"/>
          <w:sz w:val="28"/>
        </w:rPr>
      </w:pPr>
      <w:r>
        <w:rPr>
          <w:rFonts w:ascii="仿宋_GB2312" w:eastAsia="仿宋_GB2312" w:hint="eastAsia"/>
          <w:sz w:val="28"/>
        </w:rPr>
        <w:t>二、目标客户定位</w:t>
      </w:r>
    </w:p>
    <w:p>
      <w:pPr>
        <w:pStyle w:val="Normal0"/>
        <w:spacing w:line="360" w:lineRule="auto"/>
        <w:ind w:firstLine="840" w:firstLineChars="300"/>
        <w:rPr>
          <w:rFonts w:ascii="仿宋_GB2312" w:eastAsia="仿宋_GB2312" w:hint="eastAsia"/>
          <w:sz w:val="28"/>
        </w:rPr>
      </w:pPr>
      <w:r>
        <w:rPr>
          <w:rFonts w:ascii="仿宋_GB2312" w:eastAsia="仿宋_GB2312" w:hint="eastAsia"/>
          <w:sz w:val="28"/>
        </w:rPr>
        <w:t>购买住宅的目标群分析</w:t>
      </w:r>
    </w:p>
    <w:p>
      <w:pPr>
        <w:pStyle w:val="Normal0"/>
        <w:spacing w:line="360" w:lineRule="auto"/>
        <w:ind w:left="359" w:firstLine="420" w:leftChars="171" w:firstLineChars="200"/>
        <w:rPr>
          <w:rFonts w:ascii="宋体" w:hAnsi="宋体" w:hint="eastAsia"/>
        </w:rPr>
        <w:sectPr>
          <w:headerReference w:type="default" r:id="rId53"/>
          <w:footerReference w:type="default" r:id="rId54"/>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4"/>
          <w:cols w:num="1" w:space="425"/>
          <w:titlePg w:val="0"/>
          <w:docGrid w:type="lines" w:linePitch="312" w:charSpace="0"/>
        </w:sectPr>
      </w:pPr>
      <w:r>
        <w:rPr>
          <w:rFonts w:ascii="宋体" w:hAnsi="宋体" w:hint="eastAsia"/>
        </w:rPr>
        <w:t>目前宗地当地是政府大力推广建设的盐城城市副中心，从</w:t>
      </w:r>
      <w:r>
        <w:rPr>
          <w:rFonts w:ascii="宋体" w:hAnsi="宋体" w:hint="eastAsia"/>
          <w:lang w:eastAsia="zh-CN"/>
        </w:rPr>
        <w:t>相关项目</w:t>
      </w:r>
      <w:r>
        <w:rPr>
          <w:rFonts w:ascii="宋体" w:hAnsi="宋体" w:hint="eastAsia"/>
        </w:rPr>
        <w:t>本身的升值潜力上来说是很大的，并且目前做为“城市副中心”的整体状况还不成熟，但单位面积售价相对城市中心而言低许多，能够吸引一部份人来买房。这类人群包括：</w:t>
      </w:r>
    </w:p>
    <w:p>
      <w:pPr>
        <w:pStyle w:val="Normal0"/>
        <w:spacing w:line="360" w:lineRule="auto"/>
        <w:ind w:left="840" w:leftChars="400"/>
        <w:rPr>
          <w:rFonts w:ascii="宋体" w:hAnsi="宋体" w:hint="eastAsia"/>
        </w:rPr>
      </w:pPr>
      <w:r>
        <w:rPr>
          <w:rFonts w:ascii="宋体" w:hAnsi="宋体" w:hint="eastAsia"/>
        </w:rPr>
        <w:t>1）25岁-35岁之间急需解决结婚住房的人，这类购房者因为工作时间不长没有太多积蓄，但经过几年的积累（夫妻两人）和双方家庭的支助达到了购买条件。</w:t>
      </w:r>
    </w:p>
    <w:p>
      <w:pPr>
        <w:pStyle w:val="Normal0"/>
        <w:numPr>
          <w:ilvl w:val="1"/>
          <w:numId w:val="0"/>
        </w:numPr>
        <w:tabs>
          <w:tab w:val="left" w:pos="360"/>
          <w:tab w:val="left" w:pos="720"/>
        </w:tabs>
        <w:spacing w:line="360" w:lineRule="auto"/>
        <w:ind w:left="720"/>
        <w:rPr>
          <w:rFonts w:ascii="宋体" w:hAnsi="宋体" w:hint="eastAsia"/>
        </w:rPr>
      </w:pPr>
      <w:r>
        <w:rPr>
          <w:rFonts w:ascii="宋体" w:hAnsi="宋体" w:hint="eastAsia"/>
        </w:rPr>
        <w:t>投资客，盐城市民对政府开发“城市副中心”的决定能吸引一部分手中有闲置暂时不用的人群。</w:t>
      </w:r>
    </w:p>
    <w:p>
      <w:pPr>
        <w:pStyle w:val="Normal0"/>
        <w:numPr>
          <w:ilvl w:val="1"/>
          <w:numId w:val="0"/>
        </w:numPr>
        <w:tabs>
          <w:tab w:val="left" w:pos="360"/>
        </w:tabs>
        <w:spacing w:line="360" w:lineRule="auto"/>
        <w:ind w:hanging="60"/>
        <w:rPr>
          <w:rFonts w:ascii="宋体" w:hAnsi="宋体" w:hint="eastAsia"/>
        </w:rPr>
      </w:pPr>
      <w:r>
        <w:rPr>
          <w:rFonts w:ascii="宋体" w:hAnsi="宋体" w:hint="eastAsia"/>
        </w:rPr>
        <w:t>改善居住条件者，目前在政府的规划中，政府对“城市副中心”的景观、道路、配套等基础设施的投入会逐年增加，宗地将来的居住条件将一定会比“城市中心”好许多，并且开发商对盐城政府提出的规划总结定位是“城市副中心”——中产阶级的生活区。加之借助政府的宣传和自身推广这类人群将占到较重的比例。</w:t>
      </w:r>
    </w:p>
    <w:p>
      <w:pPr>
        <w:pStyle w:val="Normal0"/>
        <w:spacing w:line="360" w:lineRule="auto"/>
        <w:ind w:left="1820"/>
        <w:rPr>
          <w:rFonts w:ascii="宋体" w:hAnsi="宋体" w:hint="eastAsia"/>
        </w:rPr>
      </w:pPr>
    </w:p>
    <w:p>
      <w:pPr>
        <w:pStyle w:val="Normal0"/>
        <w:spacing w:line="360" w:lineRule="auto"/>
        <w:ind w:firstLine="840" w:firstLineChars="300"/>
        <w:rPr>
          <w:rFonts w:ascii="仿宋_GB2312" w:eastAsia="仿宋_GB2312" w:hint="eastAsia"/>
          <w:sz w:val="28"/>
        </w:rPr>
      </w:pPr>
      <w:r>
        <w:rPr>
          <w:rFonts w:ascii="仿宋_GB2312" w:eastAsia="仿宋_GB2312" w:hint="eastAsia"/>
          <w:sz w:val="28"/>
        </w:rPr>
        <w:t>购买商铺的目标群分析</w:t>
      </w:r>
    </w:p>
    <w:p>
      <w:pPr>
        <w:pStyle w:val="Normal0"/>
        <w:spacing w:line="360" w:lineRule="auto"/>
        <w:ind w:firstLine="630" w:firstLineChars="300"/>
        <w:rPr>
          <w:rFonts w:ascii="宋体" w:hint="eastAsia"/>
        </w:rPr>
      </w:pPr>
      <w:r>
        <w:rPr>
          <w:rFonts w:ascii="宋体" w:hint="eastAsia"/>
        </w:rPr>
        <w:t>①少部分用与自买自用（开店）</w:t>
      </w:r>
    </w:p>
    <w:p>
      <w:pPr>
        <w:pStyle w:val="Normal0"/>
        <w:spacing w:line="360" w:lineRule="auto"/>
        <w:ind w:firstLine="630" w:firstLineChars="300"/>
        <w:rPr>
          <w:rFonts w:ascii="宋体" w:hint="eastAsia"/>
        </w:rPr>
      </w:pPr>
      <w:r>
        <w:rPr>
          <w:rFonts w:ascii="宋体" w:hint="eastAsia"/>
        </w:rPr>
        <w:t>②绝大多数将会用于投资</w:t>
      </w:r>
    </w:p>
    <w:p>
      <w:pPr>
        <w:pStyle w:val="Normal0"/>
        <w:spacing w:line="360" w:lineRule="auto"/>
        <w:ind w:firstLine="420" w:firstLineChars="200"/>
        <w:rPr>
          <w:rFonts w:ascii="宋体" w:hint="eastAsia"/>
        </w:rPr>
      </w:pPr>
      <w:r>
        <w:rPr>
          <w:rFonts w:ascii="宋体" w:hint="eastAsia"/>
        </w:rPr>
        <w:t>在对这类购买商铺的消费者的心理分析上表明，要成功的销售该商铺必须要借助政府对“城市副中心”的开发力度宣传和政府对“城市副中心”的工作、生活等规模宣传，加大购买者和投资者的消费信心。</w:t>
      </w:r>
    </w:p>
    <w:p>
      <w:pPr>
        <w:pStyle w:val="Normal0"/>
        <w:spacing w:line="360" w:lineRule="auto"/>
        <w:ind w:firstLine="420" w:firstLineChars="200"/>
        <w:rPr>
          <w:rFonts w:ascii="宋体" w:hint="eastAsia"/>
        </w:rPr>
      </w:pPr>
    </w:p>
    <w:p>
      <w:pPr>
        <w:pStyle w:val="Normal0"/>
        <w:spacing w:line="360" w:lineRule="auto"/>
        <w:rPr>
          <w:rFonts w:ascii="仿宋_GB2312" w:eastAsia="仿宋_GB2312" w:hint="eastAsia"/>
          <w:sz w:val="28"/>
        </w:rPr>
      </w:pPr>
      <w:r>
        <w:rPr>
          <w:rFonts w:ascii="仿宋_GB2312" w:eastAsia="仿宋_GB2312" w:hint="eastAsia"/>
          <w:sz w:val="28"/>
        </w:rPr>
        <w:t>三、商铺的目标消费群定位及分析</w:t>
      </w:r>
    </w:p>
    <w:p>
      <w:pPr>
        <w:pStyle w:val="Normal0"/>
        <w:spacing w:line="360" w:lineRule="auto"/>
        <w:ind w:firstLine="420" w:firstLineChars="200"/>
        <w:rPr>
          <w:rFonts w:ascii="宋体" w:hAnsi="宋体" w:hint="eastAsia"/>
        </w:rPr>
      </w:pPr>
      <w:r>
        <w:rPr>
          <w:rFonts w:ascii="宋体" w:hAnsi="宋体" w:hint="eastAsia"/>
        </w:rPr>
        <w:t>作为确定商铺购买对象前，先要确定商铺的目标消费群定位，如果购买商铺用于只是针对本社区居住人群消费面就太狭窄，也不能形成“气候”，本案商铺将来的消费目标不仅仅针对本社区居民还要扩大到周边社区的居住人群，这不仅仅只是为了销售目标，同时对本案的知名度更是利好，同样可一举两得，为什么我们不做呢？</w:t>
      </w: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ind w:firstLine="420" w:firstLineChars="200"/>
        <w:rPr>
          <w:rFonts w:ascii="宋体" w:hAnsi="宋体" w:hint="eastAsia"/>
        </w:rPr>
      </w:pPr>
    </w:p>
    <w:p>
      <w:pPr>
        <w:pStyle w:val="Normal0"/>
        <w:spacing w:line="360" w:lineRule="auto"/>
        <w:rPr>
          <w:rFonts w:ascii="仿宋_GB2312" w:eastAsia="仿宋_GB2312" w:hint="eastAsia"/>
          <w:sz w:val="28"/>
        </w:rPr>
      </w:pPr>
      <w:r>
        <w:rPr>
          <w:rFonts w:ascii="仿宋_GB2312" w:eastAsia="仿宋_GB2312" w:hint="eastAsia"/>
          <w:sz w:val="28"/>
        </w:rPr>
        <w:t>四、商铺的经营</w:t>
      </w:r>
      <w:r>
        <w:rPr>
          <w:rFonts w:ascii="仿宋_GB2312" w:eastAsia="仿宋_GB2312" w:hint="eastAsia"/>
          <w:sz w:val="28"/>
          <w:lang w:eastAsia="zh-CN"/>
        </w:rPr>
        <w:t>相关项目</w:t>
      </w:r>
      <w:r>
        <w:rPr>
          <w:rFonts w:ascii="仿宋_GB2312" w:eastAsia="仿宋_GB2312" w:hint="eastAsia"/>
          <w:sz w:val="28"/>
        </w:rPr>
        <w:t>定位及功能定位</w:t>
      </w:r>
    </w:p>
    <w:p>
      <w:pPr>
        <w:pStyle w:val="Normal0"/>
        <w:spacing w:line="360" w:lineRule="auto"/>
        <w:ind w:firstLine="420" w:firstLineChars="200"/>
        <w:rPr>
          <w:rFonts w:ascii="宋体" w:hAnsi="宋体" w:hint="eastAsia"/>
        </w:rPr>
        <w:sectPr>
          <w:headerReference w:type="default" r:id="rId55"/>
          <w:footerReference w:type="default" r:id="rId56"/>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5"/>
          <w:cols w:num="1" w:space="425"/>
          <w:titlePg w:val="0"/>
          <w:docGrid w:type="lines" w:linePitch="312" w:charSpace="0"/>
        </w:sectPr>
      </w:pPr>
    </w:p>
    <w:p>
      <w:pPr>
        <w:pStyle w:val="Normal0"/>
        <w:spacing w:line="360" w:lineRule="auto"/>
        <w:ind w:firstLine="420" w:firstLineChars="200"/>
        <w:rPr>
          <w:rFonts w:ascii="宋体" w:hAnsi="宋体" w:hint="eastAsia"/>
        </w:rPr>
      </w:pPr>
      <w:r>
        <w:rPr>
          <w:rFonts w:ascii="宋体" w:hAnsi="宋体" w:hint="eastAsia"/>
        </w:rPr>
        <w:t>如果建设上档次和品质较高的商铺（同时这类商铺能使总体价格具有提升空间，争取到更大的利益价值），在进入商铺的商品品牌要增加相应的“门槛”。具体表现如下：</w:t>
      </w:r>
    </w:p>
    <w:p>
      <w:pPr>
        <w:pStyle w:val="Heading1"/>
        <w:ind w:firstLine="562"/>
        <w:rPr>
          <w:rFonts w:hint="eastAsia"/>
          <w:b/>
          <w:bCs/>
        </w:rPr>
      </w:pPr>
      <w:r>
        <w:rPr>
          <w:rFonts w:hint="eastAsia"/>
          <w:b/>
          <w:bCs/>
        </w:rPr>
        <w:t>1F</w:t>
      </w:r>
    </w:p>
    <w:p>
      <w:pPr>
        <w:pStyle w:val="Normal0"/>
        <w:tabs>
          <w:tab w:val="left" w:pos="360"/>
        </w:tabs>
        <w:spacing w:line="360" w:lineRule="auto"/>
        <w:rPr>
          <w:rFonts w:hint="eastAsia"/>
        </w:rPr>
      </w:pPr>
      <w:r>
        <w:rPr>
          <w:rFonts w:hint="eastAsia"/>
        </w:rPr>
        <w:t>精品区：</w:t>
      </w:r>
    </w:p>
    <w:p>
      <w:pPr>
        <w:pStyle w:val="Normal0"/>
        <w:spacing w:line="360" w:lineRule="auto"/>
        <w:ind w:firstLine="420" w:firstLineChars="200"/>
        <w:rPr>
          <w:rFonts w:hint="eastAsia"/>
        </w:rPr>
      </w:pPr>
      <w:r>
        <w:rPr>
          <w:rFonts w:hint="eastAsia"/>
        </w:rPr>
        <w:t>Zegna、MAXMARA、KENZO、TOMMY HILFIGER、CANALI、BALLY、LV、TRUSSARDI、AIGNER、CERRUTI　1881、BURBERRY、HUGO BOSS、MONT BLANC、LANCEL、M.G.G、Ralph Lauren Polo、VERSACE、Royal Selangor、Giorgio Armani、DUNHILL、Cartier、Aquascutum、K&amp;C、PAUL SHARK、PAL ZILERI、AutaSon</w:t>
      </w:r>
    </w:p>
    <w:p>
      <w:pPr>
        <w:pStyle w:val="Normal0"/>
        <w:tabs>
          <w:tab w:val="left" w:pos="360"/>
        </w:tabs>
        <w:spacing w:line="360" w:lineRule="auto"/>
        <w:rPr>
          <w:rFonts w:hint="eastAsia"/>
        </w:rPr>
      </w:pPr>
      <w:r>
        <w:rPr>
          <w:rFonts w:hint="eastAsia"/>
        </w:rPr>
        <w:t>化妆区：</w:t>
      </w:r>
    </w:p>
    <w:p>
      <w:pPr>
        <w:pStyle w:val="Normal0"/>
        <w:spacing w:line="360" w:lineRule="auto"/>
        <w:ind w:firstLine="420" w:firstLineChars="200"/>
        <w:rPr>
          <w:rFonts w:hint="eastAsia"/>
        </w:rPr>
      </w:pPr>
      <w:r>
        <w:rPr>
          <w:rFonts w:hint="eastAsia"/>
        </w:rPr>
        <w:t>CHANEL、CLINIQUE、CD、SHISEIDO、Estee Lauder、SKII、LANCOME、CLARINS、HR赫莲娜、Elizabeth Arden</w:t>
      </w:r>
    </w:p>
    <w:p>
      <w:pPr>
        <w:pStyle w:val="Normal0"/>
        <w:spacing w:line="360" w:lineRule="auto"/>
        <w:ind w:firstLine="420" w:firstLineChars="200"/>
        <w:rPr>
          <w:rFonts w:hint="eastAsia"/>
        </w:rPr>
      </w:pPr>
      <w:r>
        <w:rPr>
          <w:rFonts w:hint="eastAsia"/>
        </w:rPr>
        <w:t>H2O、BIOTHERM、Kanebo、BORGHESE、AUPRES、KOSE、OLAY、羽西、美伊娜多、安尚秀、艾文莉、AVON、VICHY、丸美、LOREAL</w:t>
      </w:r>
    </w:p>
    <w:p>
      <w:pPr>
        <w:pStyle w:val="Normal0"/>
        <w:tabs>
          <w:tab w:val="left" w:pos="360"/>
        </w:tabs>
        <w:spacing w:line="360" w:lineRule="auto"/>
        <w:rPr>
          <w:rFonts w:hint="eastAsia"/>
        </w:rPr>
      </w:pPr>
      <w:r>
        <w:rPr>
          <w:rFonts w:hint="eastAsia"/>
        </w:rPr>
        <w:t>香水轩：</w:t>
      </w:r>
    </w:p>
    <w:p>
      <w:pPr>
        <w:pStyle w:val="Normal0"/>
        <w:spacing w:line="360" w:lineRule="auto"/>
        <w:ind w:firstLine="420" w:firstLineChars="200"/>
        <w:rPr>
          <w:rFonts w:hint="eastAsia"/>
        </w:rPr>
      </w:pPr>
      <w:r>
        <w:rPr>
          <w:rFonts w:hint="eastAsia"/>
        </w:rPr>
        <w:t>HUGO BOSS、CD、GUCCI、BURBERRY、KENZO</w:t>
      </w:r>
    </w:p>
    <w:p>
      <w:pPr>
        <w:pStyle w:val="Normal0"/>
        <w:tabs>
          <w:tab w:val="left" w:pos="360"/>
        </w:tabs>
        <w:spacing w:line="360" w:lineRule="auto"/>
        <w:rPr>
          <w:rFonts w:hint="eastAsia"/>
        </w:rPr>
      </w:pPr>
      <w:r>
        <w:rPr>
          <w:rFonts w:hint="eastAsia"/>
        </w:rPr>
        <w:t>鞋区：</w:t>
      </w:r>
    </w:p>
    <w:p>
      <w:pPr>
        <w:pStyle w:val="Normal0"/>
        <w:spacing w:line="360" w:lineRule="auto"/>
        <w:ind w:firstLine="420" w:firstLineChars="200"/>
        <w:rPr>
          <w:rFonts w:hint="eastAsia"/>
        </w:rPr>
      </w:pPr>
      <w:r>
        <w:rPr>
          <w:rFonts w:hint="eastAsia"/>
        </w:rPr>
        <w:t>NINEWEST、TOPGLORI、SENSE 1991、AEE、BELLE、JB MARTIN、STACCATO、JOY &amp; PEACE、TEENMIX、BATA、LESAUNDA、FORNARINA、FED、RIZ、KUUKI、HARSON、EVERY ONE、芭迪、安玛莉、康丽、百斯图、他她、伊伴、梵诗蒂娜、千百度、宝曼尼、星期六、美丽宝、Walker Shop、ECCO、其乐、暇步士、马飞仕图、圣枷步、龙浩、木林森、策乐、雅乐士、森达、华伦天奴·露迪、金利来、花花公子、香港鳄鱼、柯尔士、袋鼠、富瑞斯、啄木鸟、老爷车、老人头</w:t>
      </w:r>
    </w:p>
    <w:p>
      <w:pPr>
        <w:pStyle w:val="Normal0"/>
        <w:tabs>
          <w:tab w:val="left" w:pos="360"/>
        </w:tabs>
        <w:spacing w:line="360" w:lineRule="auto"/>
        <w:rPr>
          <w:rFonts w:hint="eastAsia"/>
        </w:rPr>
      </w:pPr>
      <w:r>
        <w:rPr>
          <w:rFonts w:hint="eastAsia"/>
        </w:rPr>
        <w:t>珠宝区：</w:t>
      </w:r>
    </w:p>
    <w:p>
      <w:pPr>
        <w:pStyle w:val="Normal0"/>
        <w:spacing w:line="360" w:lineRule="auto"/>
        <w:ind w:firstLine="420" w:firstLineChars="200"/>
        <w:rPr>
          <w:rFonts w:hint="eastAsia"/>
        </w:rPr>
      </w:pPr>
      <w:r>
        <w:rPr>
          <w:rFonts w:hint="eastAsia"/>
        </w:rPr>
        <w:t>周大福、谢瑞麟、周生生、六福、罗飞诺、金至尊、泰立、周大生、艺辉、戴梦得</w:t>
      </w:r>
    </w:p>
    <w:p>
      <w:pPr>
        <w:pStyle w:val="Normal0"/>
        <w:tabs>
          <w:tab w:val="left" w:pos="360"/>
        </w:tabs>
        <w:spacing w:line="360" w:lineRule="auto"/>
        <w:rPr>
          <w:rFonts w:hint="eastAsia"/>
        </w:rPr>
      </w:pPr>
      <w:r>
        <w:rPr>
          <w:rFonts w:hint="eastAsia"/>
        </w:rPr>
        <w:t>国际名表区：</w:t>
      </w:r>
    </w:p>
    <w:p>
      <w:pPr>
        <w:pStyle w:val="Normal0"/>
        <w:spacing w:line="360" w:lineRule="auto"/>
        <w:ind w:firstLine="420" w:firstLineChars="200"/>
        <w:rPr>
          <w:rFonts w:hint="eastAsia"/>
        </w:rPr>
      </w:pPr>
      <w:r>
        <w:rPr>
          <w:rFonts w:hint="eastAsia"/>
        </w:rPr>
        <w:t>ROLEX、TUDOR、OMIGA、PIAGET、浪琴、天梭、梅花、雷达、西铁城</w:t>
      </w:r>
    </w:p>
    <w:p>
      <w:pPr>
        <w:pStyle w:val="Normal0"/>
        <w:tabs>
          <w:tab w:val="left" w:pos="360"/>
        </w:tabs>
        <w:spacing w:line="360" w:lineRule="auto"/>
        <w:rPr>
          <w:rFonts w:hint="eastAsia"/>
        </w:rPr>
      </w:pPr>
      <w:r>
        <w:rPr>
          <w:rFonts w:hint="eastAsia"/>
        </w:rPr>
        <w:t>时尚表：</w:t>
      </w:r>
    </w:p>
    <w:p>
      <w:pPr>
        <w:pStyle w:val="Normal0"/>
        <w:spacing w:line="360" w:lineRule="auto"/>
        <w:ind w:firstLine="420" w:firstLineChars="200"/>
        <w:rPr>
          <w:rFonts w:hint="eastAsia"/>
        </w:rPr>
      </w:pPr>
      <w:r>
        <w:rPr>
          <w:rFonts w:hint="eastAsia"/>
        </w:rPr>
        <w:t>CK、GUCCI、GUESS、ESPRIT、ELLE、SWATCH、CASIO、</w:t>
      </w:r>
    </w:p>
    <w:p>
      <w:pPr>
        <w:pStyle w:val="Normal0"/>
        <w:tabs>
          <w:tab w:val="left" w:pos="360"/>
        </w:tabs>
        <w:spacing w:line="360" w:lineRule="auto"/>
        <w:rPr>
          <w:rFonts w:hint="eastAsia"/>
        </w:rPr>
        <w:sectPr>
          <w:headerReference w:type="default" r:id="rId57"/>
          <w:footerReference w:type="default" r:id="rId58"/>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6"/>
          <w:cols w:num="1" w:space="425"/>
          <w:titlePg w:val="0"/>
          <w:docGrid w:type="lines" w:linePitch="312" w:charSpace="0"/>
        </w:sectPr>
      </w:pPr>
      <w:r>
        <w:rPr>
          <w:rFonts w:hint="eastAsia"/>
        </w:rPr>
        <w:t>皮具箱包：</w:t>
      </w:r>
    </w:p>
    <w:p>
      <w:pPr>
        <w:pStyle w:val="Normal0"/>
        <w:spacing w:line="360" w:lineRule="auto"/>
        <w:ind w:firstLine="420" w:firstLineChars="200"/>
        <w:rPr>
          <w:rFonts w:hint="eastAsia"/>
        </w:rPr>
      </w:pPr>
      <w:r>
        <w:rPr>
          <w:rFonts w:hint="eastAsia"/>
        </w:rPr>
        <w:t>MIKEMIKE、COMICO、 FION、COBO、WHY、DISONA、GV、歌菲乔、沙驰、希泊莱、GALADAY、嘉云慕达、金利来、花花公子、鳄鱼、西村名物、皮尔卡丹、岱比华利、华伦天奴·古柏、SIMBOLO、新秀丽、皇冠、森泰斯、</w:t>
      </w:r>
    </w:p>
    <w:p>
      <w:pPr>
        <w:pStyle w:val="Normal0"/>
        <w:spacing w:line="360" w:lineRule="auto"/>
        <w:ind w:firstLine="420" w:firstLineChars="200"/>
        <w:rPr>
          <w:rFonts w:hint="eastAsia"/>
        </w:rPr>
      </w:pPr>
    </w:p>
    <w:p>
      <w:pPr>
        <w:pStyle w:val="Heading2"/>
        <w:rPr>
          <w:rFonts w:hint="eastAsia"/>
        </w:rPr>
      </w:pPr>
      <w:r>
        <w:rPr>
          <w:rFonts w:hint="eastAsia"/>
        </w:rPr>
        <w:t>2F</w:t>
      </w:r>
    </w:p>
    <w:p>
      <w:pPr>
        <w:pStyle w:val="Normal0"/>
        <w:tabs>
          <w:tab w:val="left" w:pos="360"/>
        </w:tabs>
        <w:spacing w:line="360" w:lineRule="auto"/>
        <w:rPr>
          <w:rFonts w:hint="eastAsia"/>
        </w:rPr>
      </w:pPr>
      <w:r>
        <w:rPr>
          <w:rFonts w:hint="eastAsia"/>
        </w:rPr>
        <w:t>精品女装区：</w:t>
      </w:r>
    </w:p>
    <w:p>
      <w:pPr>
        <w:pStyle w:val="Normal0"/>
        <w:spacing w:line="360" w:lineRule="auto"/>
        <w:ind w:firstLine="420" w:firstLineChars="200"/>
        <w:rPr>
          <w:rFonts w:hint="eastAsia"/>
        </w:rPr>
      </w:pPr>
      <w:r>
        <w:rPr>
          <w:rFonts w:hint="eastAsia"/>
        </w:rPr>
        <w:t>KLOVA、柯利亚诺、白领、ICB、bestibelli、子苞米、ON&amp;ON、23区、U'db、 EQ：IQ、JORYA、LMLULU、BCBG、ARTIS（高档）</w:t>
      </w:r>
    </w:p>
    <w:p>
      <w:pPr>
        <w:pStyle w:val="Normal0"/>
        <w:spacing w:line="360" w:lineRule="auto"/>
        <w:ind w:firstLine="420" w:firstLineChars="200"/>
        <w:rPr>
          <w:rFonts w:hint="eastAsia"/>
        </w:rPr>
      </w:pPr>
      <w:r>
        <w:rPr>
          <w:rFonts w:hint="eastAsia"/>
        </w:rPr>
        <w:t>ALLURE、慕诗、BIANCO、FINITY、ANNAPUCCI、哥弟、EPISODE、玛丝菲尔、PORTS、CORDIER、CADIDL、Belle Fare、MORGAN、JESSICA、HAILIVES、MAXDUDIO、LUXMAN、miamia、EACHWAY、AXARA（中档）</w:t>
      </w:r>
    </w:p>
    <w:p>
      <w:pPr>
        <w:pStyle w:val="Normal0"/>
        <w:tabs>
          <w:tab w:val="left" w:pos="360"/>
        </w:tabs>
        <w:spacing w:line="360" w:lineRule="auto"/>
        <w:rPr>
          <w:rFonts w:hint="eastAsia"/>
        </w:rPr>
      </w:pPr>
      <w:r>
        <w:rPr>
          <w:rFonts w:hint="eastAsia"/>
        </w:rPr>
        <w:t>淑女装：</w:t>
      </w:r>
    </w:p>
    <w:p>
      <w:pPr>
        <w:pStyle w:val="Normal0"/>
        <w:spacing w:line="360" w:lineRule="auto"/>
        <w:ind w:firstLine="420" w:firstLineChars="200"/>
        <w:rPr>
          <w:rFonts w:hint="eastAsia"/>
        </w:rPr>
      </w:pPr>
      <w:r>
        <w:rPr>
          <w:rFonts w:hint="eastAsia"/>
        </w:rPr>
        <w:t>GE、E+、IVVKY、OIKOS、COCOON、SEN.9、ODBO、LESS、FEIZI、SCOFIELD、X/M、卡斯比亚、OTT、DECOSTER、USPOLO、逸飞、钡萱、Theme、EMMA、AIKERL、兰丝绘、ZUCZUG、CHARFEN、WANKO、MOX、雅莹、VOCOCA、EIN、欷、菲依尼尼、</w:t>
      </w:r>
    </w:p>
    <w:p>
      <w:pPr>
        <w:pStyle w:val="Normal0"/>
        <w:tabs>
          <w:tab w:val="left" w:pos="360"/>
        </w:tabs>
        <w:spacing w:line="360" w:lineRule="auto"/>
        <w:rPr>
          <w:rFonts w:hint="eastAsia"/>
        </w:rPr>
      </w:pPr>
      <w:r>
        <w:rPr>
          <w:rFonts w:hint="eastAsia"/>
        </w:rPr>
        <w:t>少女装：</w:t>
      </w:r>
    </w:p>
    <w:p>
      <w:pPr>
        <w:pStyle w:val="Normal0"/>
        <w:spacing w:line="360" w:lineRule="auto"/>
        <w:ind w:firstLine="420" w:firstLineChars="200"/>
        <w:rPr>
          <w:rFonts w:hint="eastAsia"/>
        </w:rPr>
      </w:pPr>
      <w:r>
        <w:rPr>
          <w:rFonts w:hint="eastAsia"/>
        </w:rPr>
        <w:t>ESPRIT、MK+、AVV、iiMK、ELLE、ONLY、VEROMODA、巧帛、E-LAND、TB2、JOJO、六七八月、COZZI、淑女屋、自然元素、B2、艾格、艾格周末、艾格运动、WEEKEND WORKSHOP、花木马、MISS-K、VEEKO、纳帕佳、JPR、佛罗伦、马天奴ADA、宝贝双星、FRIZZ、OASIS、CIRCLE、mac&amp;jac、gitti、中中、0141、A&amp;D、</w:t>
      </w:r>
    </w:p>
    <w:p>
      <w:pPr>
        <w:pStyle w:val="Normal0"/>
        <w:tabs>
          <w:tab w:val="left" w:pos="360"/>
        </w:tabs>
        <w:spacing w:line="360" w:lineRule="auto"/>
        <w:rPr>
          <w:rFonts w:hint="eastAsia"/>
        </w:rPr>
      </w:pPr>
      <w:r>
        <w:rPr>
          <w:rFonts w:hint="eastAsia"/>
        </w:rPr>
        <w:t>女子饰品：</w:t>
      </w:r>
    </w:p>
    <w:p>
      <w:pPr>
        <w:pStyle w:val="Normal0"/>
        <w:spacing w:line="360" w:lineRule="auto"/>
        <w:ind w:firstLine="420" w:firstLineChars="200"/>
        <w:rPr>
          <w:rFonts w:hint="eastAsia"/>
        </w:rPr>
      </w:pPr>
      <w:r>
        <w:rPr>
          <w:rFonts w:hint="eastAsia"/>
        </w:rPr>
        <w:t xml:space="preserve">VVA、love&amp;love、7度、she's、AURORA、folifoli、yes or no、海盗船、美伊、艾尚、ITAL、梦特丽、EVITA、雅天妮、巴斯望、曼陀尼、Aqua City、KIWA AWIK、太阳城 </w:t>
      </w:r>
    </w:p>
    <w:p>
      <w:pPr>
        <w:pStyle w:val="Normal0"/>
        <w:tabs>
          <w:tab w:val="left" w:pos="360"/>
        </w:tabs>
        <w:spacing w:line="360" w:lineRule="auto"/>
        <w:rPr>
          <w:rFonts w:hint="eastAsia"/>
        </w:rPr>
      </w:pPr>
      <w:r>
        <w:rPr>
          <w:rFonts w:hint="eastAsia"/>
        </w:rPr>
        <w:t>彩妆区：</w:t>
      </w:r>
    </w:p>
    <w:p>
      <w:pPr>
        <w:pStyle w:val="Normal0"/>
        <w:spacing w:line="360" w:lineRule="auto"/>
        <w:ind w:firstLine="420" w:firstLineChars="200"/>
        <w:rPr>
          <w:rFonts w:hint="eastAsia"/>
        </w:rPr>
      </w:pPr>
      <w:r>
        <w:rPr>
          <w:rFonts w:hint="eastAsia"/>
        </w:rPr>
        <w:t>蝶妆、Maybelline、Revlon、ZA、红地球、COCOOL、娥佩兰、UP2U</w:t>
      </w:r>
    </w:p>
    <w:p>
      <w:pPr>
        <w:pStyle w:val="Normal0"/>
        <w:tabs>
          <w:tab w:val="left" w:pos="360"/>
        </w:tabs>
        <w:spacing w:line="360" w:lineRule="auto"/>
        <w:rPr>
          <w:rFonts w:hint="eastAsia"/>
        </w:rPr>
      </w:pPr>
      <w:r>
        <w:rPr>
          <w:rFonts w:hint="eastAsia"/>
        </w:rPr>
        <w:t>内衣：</w:t>
      </w:r>
    </w:p>
    <w:p>
      <w:pPr>
        <w:pStyle w:val="Normal0"/>
        <w:spacing w:line="360" w:lineRule="auto"/>
        <w:ind w:firstLine="420" w:firstLineChars="200"/>
        <w:rPr>
          <w:rFonts w:hint="eastAsia"/>
        </w:rPr>
      </w:pPr>
      <w:r>
        <w:rPr>
          <w:rFonts w:hint="eastAsia"/>
        </w:rPr>
        <w:t>Wacoal、Triumph、安利芳、欧迪芬、曼尼芬、爱慕、BAILIAN、古今、桑扶兰</w:t>
      </w:r>
    </w:p>
    <w:p>
      <w:pPr>
        <w:pStyle w:val="Normal0"/>
        <w:spacing w:line="360" w:lineRule="auto"/>
        <w:ind w:firstLine="420" w:firstLineChars="200"/>
        <w:rPr>
          <w:rFonts w:hint="eastAsia"/>
        </w:rPr>
        <w:sectPr>
          <w:headerReference w:type="default" r:id="rId59"/>
          <w:footerReference w:type="default" r:id="rId60"/>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7"/>
          <w:cols w:num="1" w:space="425"/>
          <w:titlePg w:val="0"/>
          <w:docGrid w:type="lines" w:linePitch="312" w:charSpace="0"/>
        </w:sectPr>
      </w:pPr>
      <w:r>
        <w:rPr>
          <w:rFonts w:hint="eastAsia"/>
        </w:rPr>
        <w:t>百富、COTTON</w:t>
      </w:r>
      <w:r>
        <w:rPr>
          <w:rFonts w:hint="eastAsia"/>
        </w:rPr>
        <w:t xml:space="preserve"> SHOP、UNDER</w:t>
      </w:r>
      <w:r>
        <w:rPr>
          <w:rFonts w:hint="eastAsia"/>
        </w:rPr>
        <w:t xml:space="preserve"> SHOP、UNDER</w:t>
      </w:r>
    </w:p>
    <w:p>
      <w:pPr>
        <w:pStyle w:val="Normal0"/>
        <w:spacing w:line="360" w:lineRule="auto"/>
        <w:ind w:firstLine="420" w:firstLineChars="200"/>
        <w:rPr>
          <w:rFonts w:hint="eastAsia"/>
        </w:rPr>
      </w:pPr>
      <w:r>
        <w:rPr>
          <w:rFonts w:hint="eastAsia"/>
        </w:rPr>
        <w:t xml:space="preserve"> WEAR、猫人、沙美娜、丽乃馨、爱帝、南极人、俞兆林、婷美</w:t>
      </w:r>
    </w:p>
    <w:p>
      <w:pPr>
        <w:pStyle w:val="Normal0"/>
        <w:spacing w:line="360" w:lineRule="auto"/>
        <w:ind w:firstLine="420" w:firstLineChars="200"/>
        <w:rPr>
          <w:rFonts w:ascii="宋体" w:hAnsi="宋体" w:hint="eastAsia"/>
        </w:rPr>
      </w:pPr>
      <w:r>
        <w:rPr>
          <w:rFonts w:ascii="宋体" w:hAnsi="宋体" w:hint="eastAsia"/>
        </w:rPr>
        <w:t>3F</w:t>
      </w:r>
    </w:p>
    <w:p>
      <w:pPr>
        <w:pStyle w:val="Normal0"/>
        <w:tabs>
          <w:tab w:val="left" w:pos="360"/>
        </w:tabs>
        <w:spacing w:line="360" w:lineRule="auto"/>
        <w:rPr>
          <w:rFonts w:hint="eastAsia"/>
        </w:rPr>
      </w:pPr>
      <w:r>
        <w:rPr>
          <w:rFonts w:hint="eastAsia"/>
        </w:rPr>
        <w:t>男装</w:t>
      </w:r>
    </w:p>
    <w:p>
      <w:pPr>
        <w:pStyle w:val="Normal0"/>
        <w:spacing w:line="360" w:lineRule="auto"/>
        <w:ind w:firstLine="420" w:firstLineChars="200"/>
        <w:rPr>
          <w:rFonts w:hint="eastAsia"/>
        </w:rPr>
      </w:pPr>
      <w:r>
        <w:rPr>
          <w:rFonts w:hint="eastAsia"/>
        </w:rPr>
        <w:t>宝姿、思卡图、VICUTU、都本、基尔、古杰师、GIBO、LEO、DOCKERS、路易诗兰、绅浪、汤尼威尔、SK、ARROW、SEE、BONI、GJ、朗维高、凯普迪诺、香港鳄鱼、卡帝乐鳄鱼、USPOLO、杉杉、九牧王、罗蒙、胜龙、杜安</w:t>
      </w:r>
    </w:p>
    <w:p>
      <w:pPr>
        <w:pStyle w:val="Normal0"/>
        <w:tabs>
          <w:tab w:val="left" w:pos="360"/>
        </w:tabs>
        <w:spacing w:line="360" w:lineRule="auto"/>
        <w:rPr>
          <w:rFonts w:hint="eastAsia"/>
        </w:rPr>
      </w:pPr>
      <w:r>
        <w:rPr>
          <w:rFonts w:hint="eastAsia"/>
        </w:rPr>
        <w:t>户外休闲</w:t>
      </w:r>
    </w:p>
    <w:p>
      <w:pPr>
        <w:pStyle w:val="Normal0"/>
        <w:spacing w:line="360" w:lineRule="auto"/>
        <w:ind w:firstLine="420" w:firstLineChars="200"/>
        <w:rPr>
          <w:rFonts w:hint="eastAsia"/>
        </w:rPr>
      </w:pPr>
      <w:r>
        <w:rPr>
          <w:rFonts w:hint="eastAsia"/>
        </w:rPr>
        <w:t>CAMEL ACTIVE、万宝路、JEEP、TREK&amp;TRAVEL、JACKJONES、马克华菲JEANS、、TONY JEANS、高尔夫、LACOSTE、万星威、金狐狸、黄金熊、NAUTICA</w:t>
      </w:r>
    </w:p>
    <w:p>
      <w:pPr>
        <w:pStyle w:val="Normal0"/>
        <w:tabs>
          <w:tab w:val="left" w:pos="360"/>
        </w:tabs>
        <w:spacing w:line="360" w:lineRule="auto"/>
        <w:rPr>
          <w:rFonts w:hint="eastAsia"/>
        </w:rPr>
      </w:pPr>
      <w:r>
        <w:rPr>
          <w:rFonts w:hint="eastAsia"/>
        </w:rPr>
        <w:t>男士饰品</w:t>
      </w:r>
    </w:p>
    <w:p>
      <w:pPr>
        <w:pStyle w:val="Normal0"/>
        <w:spacing w:line="360" w:lineRule="auto"/>
        <w:ind w:firstLine="420" w:firstLineChars="200"/>
        <w:rPr>
          <w:rFonts w:hint="eastAsia"/>
        </w:rPr>
      </w:pPr>
      <w:r>
        <w:rPr>
          <w:rFonts w:hint="eastAsia"/>
        </w:rPr>
        <w:t>ZIPPO、瑞士军刀、军表、烟斗</w:t>
      </w:r>
    </w:p>
    <w:p>
      <w:pPr>
        <w:pStyle w:val="Normal0"/>
        <w:spacing w:line="360" w:lineRule="auto"/>
        <w:ind w:firstLine="420" w:firstLineChars="200"/>
        <w:rPr>
          <w:rFonts w:ascii="宋体" w:hAnsi="宋体" w:hint="eastAsia"/>
        </w:rPr>
      </w:pPr>
      <w:r>
        <w:rPr>
          <w:rFonts w:ascii="宋体" w:hAnsi="宋体" w:hint="eastAsia"/>
        </w:rPr>
        <w:t>注一：以上的各项作为本案的</w:t>
      </w:r>
      <w:r>
        <w:rPr>
          <w:rFonts w:ascii="宋体" w:hAnsi="宋体" w:hint="eastAsia"/>
          <w:lang w:eastAsia="zh-CN"/>
        </w:rPr>
        <w:t>相关项目</w:t>
      </w:r>
      <w:r>
        <w:rPr>
          <w:rFonts w:ascii="宋体" w:hAnsi="宋体" w:hint="eastAsia"/>
        </w:rPr>
        <w:t>定位来说，竞争楼盘太多，从高、中、低的三个水平以及开发的原由等综合情况来分析，一般的开发商会选择中或低，但同样有这样想法的楼盘不会少，从辨证的思维角度分析这样的定位就很难尽快的销售，所以我们的定位是中高档次的商铺定位，以上是可供参考（较大可能购买）的商业，但也不一定要绝对选择这些品牌，可相类。</w:t>
      </w:r>
    </w:p>
    <w:p>
      <w:pPr>
        <w:pStyle w:val="Normal0"/>
        <w:spacing w:line="360" w:lineRule="auto"/>
        <w:ind w:firstLine="420" w:firstLineChars="200"/>
        <w:rPr>
          <w:rFonts w:hint="eastAsia"/>
        </w:rPr>
      </w:pPr>
      <w:r>
        <w:rPr>
          <w:rFonts w:ascii="宋体" w:hAnsi="宋体" w:hint="eastAsia"/>
        </w:rPr>
        <w:t>另二：在商铺组织时要加入：</w:t>
      </w:r>
      <w:r>
        <w:rPr>
          <w:rFonts w:hint="eastAsia"/>
        </w:rPr>
        <w:t>家电、休闲、运动、床品、儿童、大众餐饮区、电玩</w:t>
      </w:r>
    </w:p>
    <w:p>
      <w:pPr>
        <w:pStyle w:val="Normal0"/>
        <w:spacing w:line="360" w:lineRule="auto"/>
        <w:ind w:firstLine="560" w:firstLineChars="200"/>
        <w:rPr>
          <w:rFonts w:ascii="仿宋_GB2312" w:eastAsia="仿宋_GB2312" w:hint="eastAsia"/>
          <w:sz w:val="28"/>
        </w:rPr>
      </w:pPr>
    </w:p>
    <w:p>
      <w:pPr>
        <w:pStyle w:val="Normal0"/>
        <w:spacing w:line="360" w:lineRule="auto"/>
        <w:ind w:firstLine="560" w:firstLineChars="200"/>
        <w:rPr>
          <w:rFonts w:ascii="仿宋_GB2312" w:eastAsia="仿宋_GB2312" w:hint="eastAsia"/>
          <w:sz w:val="28"/>
        </w:rPr>
      </w:pPr>
    </w:p>
    <w:p>
      <w:pPr>
        <w:pStyle w:val="Normal0"/>
        <w:spacing w:line="360" w:lineRule="auto"/>
        <w:ind w:firstLine="560" w:firstLineChars="200"/>
        <w:rPr>
          <w:rFonts w:ascii="仿宋_GB2312" w:eastAsia="仿宋_GB2312" w:hint="eastAsia"/>
          <w:sz w:val="28"/>
        </w:rPr>
      </w:pPr>
    </w:p>
    <w:p>
      <w:pPr>
        <w:pStyle w:val="Normal0"/>
        <w:spacing w:line="360" w:lineRule="auto"/>
        <w:rPr>
          <w:rFonts w:ascii="仿宋_GB2312" w:eastAsia="仿宋_GB2312" w:hint="eastAsia"/>
          <w:sz w:val="28"/>
        </w:rPr>
      </w:pPr>
      <w:r>
        <w:rPr>
          <w:rFonts w:ascii="仿宋_GB2312" w:eastAsia="仿宋_GB2312" w:hint="eastAsia"/>
          <w:sz w:val="28"/>
        </w:rPr>
        <w:t>五、商铺特色定位</w:t>
      </w:r>
    </w:p>
    <w:p>
      <w:pPr>
        <w:pStyle w:val="Normal0"/>
        <w:spacing w:line="360" w:lineRule="auto"/>
        <w:ind w:firstLine="420" w:firstLineChars="200"/>
        <w:rPr>
          <w:rFonts w:ascii="仿宋_GB2312" w:eastAsia="仿宋_GB2312" w:hint="eastAsia"/>
          <w:sz w:val="28"/>
        </w:rPr>
      </w:pPr>
      <w:r>
        <w:rPr>
          <w:rFonts w:ascii="宋体" w:hAnsi="宋体" w:hint="eastAsia"/>
        </w:rPr>
        <w:t>前面已经对商铺的</w:t>
      </w:r>
      <w:r>
        <w:rPr>
          <w:rFonts w:ascii="仿宋_GB2312" w:hint="eastAsia"/>
        </w:rPr>
        <w:t>目标消费群定位和</w:t>
      </w:r>
      <w:r>
        <w:rPr>
          <w:rFonts w:ascii="宋体" w:hAnsi="宋体" w:hint="eastAsia"/>
        </w:rPr>
        <w:t>消费</w:t>
      </w:r>
      <w:r>
        <w:rPr>
          <w:rFonts w:ascii="仿宋_GB2312" w:hint="eastAsia"/>
        </w:rPr>
        <w:t>经营</w:t>
      </w:r>
      <w:r>
        <w:rPr>
          <w:rFonts w:ascii="仿宋_GB2312" w:hint="eastAsia"/>
          <w:lang w:eastAsia="zh-CN"/>
        </w:rPr>
        <w:t>相关项目</w:t>
      </w:r>
      <w:r>
        <w:rPr>
          <w:rFonts w:ascii="仿宋_GB2312" w:hint="eastAsia"/>
        </w:rPr>
        <w:t>定位及功能定位进行了确定，综合以上情况商铺特色就一目了然了：集中高档次的购物、休闲、娱乐、餐饮与一体的综合性商铺，这样定位的好处还有：降低各类消费经营</w:t>
      </w:r>
      <w:r>
        <w:rPr>
          <w:rFonts w:ascii="仿宋_GB2312" w:hint="eastAsia"/>
          <w:lang w:eastAsia="zh-CN"/>
        </w:rPr>
        <w:t>相关项目</w:t>
      </w:r>
      <w:r>
        <w:rPr>
          <w:rFonts w:ascii="仿宋_GB2312" w:hint="eastAsia"/>
        </w:rPr>
        <w:t>的数量，提升整体价值水平，造成市场供不应求的局面。</w:t>
      </w:r>
    </w:p>
    <w:p>
      <w:pPr>
        <w:pStyle w:val="Normal0"/>
        <w:spacing w:line="360" w:lineRule="auto"/>
        <w:jc w:val="center"/>
        <w:rPr>
          <w:rFonts w:ascii="仿宋_GB2312" w:eastAsia="仿宋_GB2312" w:hint="eastAsia"/>
          <w:b/>
          <w:bCs/>
          <w:sz w:val="32"/>
        </w:rPr>
        <w:sectPr>
          <w:headerReference w:type="default" r:id="rId61"/>
          <w:footerReference w:type="default" r:id="rId62"/>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8"/>
          <w:cols w:num="1" w:space="425"/>
          <w:titlePg w:val="0"/>
          <w:docGrid w:type="lines" w:linePitch="312" w:charSpace="0"/>
        </w:sectPr>
      </w:pPr>
    </w:p>
    <w:p>
      <w:pPr>
        <w:pStyle w:val="Normal0"/>
        <w:spacing w:line="360" w:lineRule="auto"/>
        <w:jc w:val="center"/>
        <w:rPr>
          <w:rFonts w:ascii="仿宋_GB2312" w:eastAsia="仿宋_GB2312" w:hint="eastAsia"/>
          <w:b/>
          <w:bCs/>
          <w:sz w:val="32"/>
        </w:rPr>
      </w:pPr>
    </w:p>
    <w:p>
      <w:pPr>
        <w:pStyle w:val="Normal0"/>
        <w:spacing w:line="360" w:lineRule="auto"/>
        <w:jc w:val="center"/>
        <w:rPr>
          <w:rFonts w:ascii="仿宋_GB2312" w:eastAsia="仿宋_GB2312" w:hint="eastAsia"/>
          <w:b/>
          <w:bCs/>
          <w:sz w:val="32"/>
        </w:rPr>
      </w:pPr>
    </w:p>
    <w:p>
      <w:pPr>
        <w:pStyle w:val="Normal0"/>
        <w:spacing w:line="360" w:lineRule="auto"/>
        <w:jc w:val="center"/>
        <w:rPr>
          <w:rFonts w:ascii="仿宋_GB2312" w:eastAsia="仿宋_GB2312" w:hint="eastAsia"/>
          <w:b/>
          <w:bCs/>
        </w:rPr>
      </w:pPr>
    </w:p>
    <w:p>
      <w:pPr>
        <w:pStyle w:val="Normal0"/>
        <w:spacing w:line="360" w:lineRule="auto"/>
        <w:jc w:val="center"/>
        <w:rPr>
          <w:rFonts w:ascii="方正姚体简体" w:eastAsia="方正姚体简体" w:hint="eastAsia"/>
          <w:b/>
          <w:bCs/>
          <w:shadow/>
          <w:w w:val="200"/>
          <w:sz w:val="84"/>
        </w:rPr>
      </w:pPr>
      <w:r>
        <w:rPr>
          <w:rFonts w:ascii="方正姚体简体" w:eastAsia="方正姚体简体" w:hint="eastAsia"/>
          <w:b/>
          <w:bCs/>
          <w:shadow/>
          <w:w w:val="200"/>
          <w:sz w:val="84"/>
        </w:rPr>
        <w:t>伍</w:t>
      </w:r>
    </w:p>
    <w:p>
      <w:pPr>
        <w:pStyle w:val="Normal0"/>
        <w:spacing w:line="360" w:lineRule="auto"/>
        <w:jc w:val="center"/>
        <w:rPr>
          <w:rFonts w:ascii="方正姚体简体" w:eastAsia="方正姚体简体" w:hint="eastAsia"/>
          <w:b/>
          <w:bCs/>
          <w:shadow/>
          <w:w w:val="200"/>
          <w:sz w:val="84"/>
        </w:rPr>
      </w:pPr>
      <w:r>
        <w:rPr>
          <w:rFonts w:ascii="方正姚体简体" w:eastAsia="方正姚体简体"/>
          <w:b/>
          <w:bCs/>
          <w:shadow/>
          <w:w w:val="200"/>
          <w:sz w:val="84"/>
        </w:rPr>
        <w:t>·</w:t>
      </w:r>
    </w:p>
    <w:p>
      <w:pPr>
        <w:pStyle w:val="Normal0"/>
        <w:spacing w:line="360" w:lineRule="auto"/>
        <w:jc w:val="center"/>
        <w:rPr>
          <w:rFonts w:ascii="方正姚体简体" w:eastAsia="方正姚体简体" w:hint="eastAsia"/>
          <w:b/>
          <w:bCs/>
          <w:shadow/>
          <w:w w:val="200"/>
          <w:sz w:val="84"/>
        </w:rPr>
      </w:pPr>
      <w:r>
        <w:rPr>
          <w:rFonts w:ascii="方正姚体简体" w:eastAsia="方正姚体简体" w:hint="eastAsia"/>
          <w:b/>
          <w:bCs/>
          <w:shadow/>
          <w:w w:val="200"/>
          <w:sz w:val="84"/>
        </w:rPr>
        <w:t>项</w:t>
      </w:r>
    </w:p>
    <w:p>
      <w:pPr>
        <w:pStyle w:val="Normal0"/>
        <w:spacing w:line="360" w:lineRule="auto"/>
        <w:jc w:val="center"/>
        <w:rPr>
          <w:rFonts w:ascii="方正姚体简体" w:eastAsia="方正姚体简体" w:hint="eastAsia"/>
          <w:b/>
          <w:bCs/>
          <w:shadow/>
          <w:w w:val="200"/>
          <w:sz w:val="84"/>
        </w:rPr>
      </w:pPr>
      <w:r>
        <w:rPr>
          <w:rFonts w:ascii="方正姚体简体" w:eastAsia="方正姚体简体" w:hint="eastAsia"/>
          <w:b/>
          <w:bCs/>
          <w:shadow/>
          <w:w w:val="200"/>
          <w:sz w:val="84"/>
        </w:rPr>
        <w:t>目</w:t>
      </w:r>
    </w:p>
    <w:p>
      <w:pPr>
        <w:pStyle w:val="Normal0"/>
        <w:spacing w:line="360" w:lineRule="auto"/>
        <w:jc w:val="center"/>
        <w:rPr>
          <w:rFonts w:ascii="方正姚体简体" w:eastAsia="方正姚体简体" w:hint="eastAsia"/>
          <w:b/>
          <w:bCs/>
          <w:shadow/>
          <w:w w:val="200"/>
          <w:sz w:val="84"/>
        </w:rPr>
      </w:pPr>
      <w:r>
        <w:rPr>
          <w:rFonts w:ascii="方正姚体简体" w:eastAsia="方正姚体简体" w:hint="eastAsia"/>
          <w:b/>
          <w:bCs/>
          <w:shadow/>
          <w:w w:val="200"/>
          <w:sz w:val="84"/>
        </w:rPr>
        <w:t>建</w:t>
      </w:r>
    </w:p>
    <w:p>
      <w:pPr>
        <w:pStyle w:val="Normal0"/>
        <w:spacing w:line="360" w:lineRule="auto"/>
        <w:jc w:val="center"/>
        <w:rPr>
          <w:rFonts w:ascii="方正姚体简体" w:eastAsia="方正姚体简体" w:hint="eastAsia"/>
          <w:b/>
          <w:bCs/>
          <w:shadow/>
          <w:w w:val="200"/>
          <w:sz w:val="84"/>
        </w:rPr>
      </w:pPr>
      <w:r>
        <w:rPr>
          <w:rFonts w:ascii="方正姚体简体" w:eastAsia="方正姚体简体" w:hint="eastAsia"/>
          <w:b/>
          <w:bCs/>
          <w:shadow/>
          <w:w w:val="200"/>
          <w:sz w:val="84"/>
        </w:rPr>
        <w:t>议</w:t>
      </w:r>
    </w:p>
    <w:p>
      <w:pPr>
        <w:pStyle w:val="Normal0"/>
        <w:spacing w:line="360" w:lineRule="auto"/>
        <w:jc w:val="center"/>
        <w:rPr>
          <w:rFonts w:ascii="方正姚体简体" w:eastAsia="方正姚体简体" w:hint="eastAsia"/>
          <w:b/>
          <w:bCs/>
          <w:shadow/>
          <w:w w:val="200"/>
          <w:sz w:val="84"/>
        </w:rPr>
      </w:pPr>
      <w:r>
        <w:rPr>
          <w:rFonts w:ascii="方正姚体简体" w:eastAsia="方正姚体简体" w:hint="eastAsia"/>
          <w:b/>
          <w:bCs/>
          <w:shadow/>
          <w:w w:val="200"/>
          <w:sz w:val="84"/>
        </w:rPr>
        <w:t>篇</w:t>
      </w:r>
    </w:p>
    <w:p>
      <w:pPr>
        <w:pStyle w:val="Normal0"/>
        <w:spacing w:line="360" w:lineRule="auto"/>
        <w:rPr>
          <w:rFonts w:ascii="仿宋_GB2312" w:eastAsia="仿宋_GB2312" w:hAnsi="宋体" w:hint="eastAsia"/>
          <w:sz w:val="28"/>
        </w:rPr>
      </w:pPr>
    </w:p>
    <w:p>
      <w:pPr>
        <w:pStyle w:val="Normal0"/>
        <w:spacing w:line="360" w:lineRule="auto"/>
        <w:rPr>
          <w:rFonts w:ascii="仿宋_GB2312" w:eastAsia="仿宋_GB2312" w:hAnsi="宋体" w:hint="eastAsia"/>
          <w:sz w:val="28"/>
        </w:rPr>
      </w:pPr>
    </w:p>
    <w:p>
      <w:pPr>
        <w:pStyle w:val="Normal0"/>
        <w:spacing w:line="360" w:lineRule="auto"/>
        <w:rPr>
          <w:rFonts w:ascii="仿宋_GB2312" w:eastAsia="仿宋_GB2312" w:hAnsi="宋体" w:hint="eastAsia"/>
          <w:sz w:val="28"/>
        </w:rPr>
      </w:pPr>
    </w:p>
    <w:p>
      <w:pPr>
        <w:pStyle w:val="Normal0"/>
        <w:spacing w:line="360" w:lineRule="auto"/>
        <w:rPr>
          <w:rFonts w:ascii="仿宋_GB2312" w:eastAsia="仿宋_GB2312" w:hAnsi="宋体" w:hint="eastAsia"/>
          <w:sz w:val="28"/>
        </w:rPr>
        <w:sectPr>
          <w:headerReference w:type="default" r:id="rId63"/>
          <w:footerReference w:type="default" r:id="rId64"/>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29"/>
          <w:cols w:num="1" w:space="425"/>
          <w:titlePg w:val="0"/>
          <w:docGrid w:type="lines" w:linePitch="312" w:charSpace="0"/>
        </w:sectPr>
      </w:pPr>
    </w:p>
    <w:p>
      <w:pPr>
        <w:pStyle w:val="Normal0"/>
        <w:spacing w:line="360" w:lineRule="auto"/>
        <w:rPr>
          <w:rFonts w:ascii="仿宋_GB2312" w:eastAsia="仿宋_GB2312" w:hAnsi="宋体" w:hint="eastAsia"/>
          <w:sz w:val="28"/>
        </w:rPr>
      </w:pPr>
      <w:r>
        <w:rPr>
          <w:rFonts w:ascii="仿宋_GB2312" w:eastAsia="仿宋_GB2312" w:hAnsi="宋体" w:hint="eastAsia"/>
          <w:sz w:val="28"/>
        </w:rPr>
        <w:t>一、整体规划设计</w:t>
      </w:r>
      <w:r>
        <w:rPr>
          <w:rFonts w:ascii="仿宋_GB2312" w:eastAsia="仿宋_GB2312" w:hAnsi="宋体" w:hint="eastAsia"/>
          <w:sz w:val="28"/>
          <w:lang w:eastAsia="zh-CN"/>
        </w:rPr>
        <w:t>合适的方案</w:t>
      </w:r>
      <w:r>
        <w:rPr>
          <w:rFonts w:ascii="仿宋_GB2312" w:eastAsia="仿宋_GB2312" w:hAnsi="宋体" w:hint="eastAsia"/>
          <w:sz w:val="28"/>
        </w:rPr>
        <w:t>描述（局部概念建议）</w:t>
      </w:r>
    </w:p>
    <w:p>
      <w:pPr>
        <w:pStyle w:val="Normal0"/>
        <w:spacing w:line="360" w:lineRule="auto"/>
        <w:ind w:firstLine="420" w:firstLineChars="200"/>
        <w:rPr>
          <w:rFonts w:ascii="宋体" w:hAnsi="宋体" w:cs="New Gulim" w:hint="eastAsia"/>
        </w:rPr>
      </w:pPr>
      <w:r>
        <w:rPr>
          <w:rFonts w:ascii="宋体" w:hAnsi="宋体" w:cs="New Gulim" w:hint="eastAsia"/>
        </w:rPr>
        <w:t>整体的设计布局：采用围合式、双围合式布局、排列式，将整个小区规划为三个功能区块——居住、购物、休闲，每个区既相互独立又相互联系。</w:t>
      </w:r>
    </w:p>
    <w:p>
      <w:pPr>
        <w:pStyle w:val="Normal0"/>
        <w:spacing w:line="360" w:lineRule="auto"/>
        <w:ind w:firstLine="420" w:firstLineChars="200"/>
        <w:rPr>
          <w:rFonts w:ascii="宋体" w:hAnsi="宋体" w:cs="New Gulim" w:hint="eastAsia"/>
        </w:rPr>
      </w:pPr>
      <w:r>
        <w:rPr>
          <w:rFonts w:ascii="宋体" w:hAnsi="宋体" w:cs="New Gulim" w:hint="eastAsia"/>
        </w:rPr>
        <w:t>功能分区：高档公寓生活区、丰富人生购物区和享受人生休闲区。</w:t>
      </w:r>
    </w:p>
    <w:p>
      <w:pPr>
        <w:pStyle w:val="Normal0"/>
        <w:spacing w:line="360" w:lineRule="auto"/>
        <w:ind w:firstLine="420" w:firstLineChars="200"/>
        <w:rPr>
          <w:rFonts w:ascii="宋体" w:hAnsi="宋体" w:cs="New Gulim" w:hint="eastAsia"/>
        </w:rPr>
      </w:pPr>
      <w:r>
        <w:rPr>
          <w:rFonts w:ascii="宋体" w:hAnsi="宋体" w:cs="New Gulim" w:hint="eastAsia"/>
        </w:rPr>
        <w:t>建筑布局采用区围合设计。围合式布局是充分实现小区私密性和人性化空间的最有效方式之一。分区布局一方面是为了适应本小区分期开发的实际要求，另一方面可以在一期就充分兑现小区的规划和环艺设计，有利于</w:t>
      </w:r>
      <w:r>
        <w:rPr>
          <w:rFonts w:ascii="宋体" w:hAnsi="宋体" w:cs="New Gulim" w:hint="eastAsia"/>
          <w:lang w:eastAsia="zh-CN"/>
        </w:rPr>
        <w:t>相关项目</w:t>
      </w:r>
      <w:r>
        <w:rPr>
          <w:rFonts w:ascii="宋体" w:hAnsi="宋体" w:cs="New Gulim" w:hint="eastAsia"/>
        </w:rPr>
        <w:t>形象展示和销售。</w:t>
      </w:r>
    </w:p>
    <w:p>
      <w:pPr>
        <w:pStyle w:val="Normal0"/>
        <w:spacing w:line="360" w:lineRule="auto"/>
        <w:ind w:firstLine="420" w:firstLineChars="200"/>
        <w:rPr>
          <w:rFonts w:ascii="宋体" w:hAnsi="宋体" w:hint="eastAsia"/>
        </w:rPr>
      </w:pPr>
    </w:p>
    <w:p>
      <w:pPr>
        <w:pStyle w:val="Normal0"/>
        <w:spacing w:line="360" w:lineRule="auto"/>
        <w:rPr>
          <w:rFonts w:ascii="仿宋_GB2312" w:eastAsia="仿宋_GB2312" w:hint="eastAsia"/>
          <w:sz w:val="28"/>
        </w:rPr>
      </w:pPr>
      <w:r>
        <w:rPr>
          <w:rFonts w:ascii="仿宋_GB2312" w:eastAsia="仿宋_GB2312" w:hint="eastAsia"/>
          <w:sz w:val="28"/>
        </w:rPr>
        <w:t>二、外立面效果设计</w:t>
      </w:r>
      <w:r>
        <w:rPr>
          <w:rFonts w:ascii="仿宋_GB2312" w:eastAsia="仿宋_GB2312" w:hint="eastAsia"/>
          <w:sz w:val="28"/>
          <w:lang w:eastAsia="zh-CN"/>
        </w:rPr>
        <w:t>合适的方案</w:t>
      </w:r>
      <w:r>
        <w:rPr>
          <w:rFonts w:ascii="仿宋_GB2312" w:eastAsia="仿宋_GB2312" w:hint="eastAsia"/>
          <w:sz w:val="28"/>
        </w:rPr>
        <w:t>建议</w:t>
      </w:r>
    </w:p>
    <w:p>
      <w:pPr>
        <w:pStyle w:val="BodyTextIndent"/>
        <w:spacing w:line="360" w:lineRule="auto"/>
        <w:rPr>
          <w:rFonts w:ascii="宋体" w:hAnsi="宋体" w:cs="New Gulim" w:hint="eastAsia"/>
        </w:rPr>
      </w:pPr>
      <w:r>
        <w:rPr>
          <w:rFonts w:ascii="宋体" w:hAnsi="宋体" w:cs="New Gulim" w:hint="eastAsia"/>
        </w:rPr>
        <w:t>住宅、商铺等建筑的立面造型与装饰，虽然没有什么特殊的讲究，但也不是毫无技巧可言，其形体与尺度的优美协调与否，个性的强烈平淡，色彩的浓郁淡雅，线条装饰乃至门窗造型风格，均能体现住宅投资者和设计师的审美意识与水平高低。荣盛公寓的规划因已定稿，因而在建筑风格的选定上无法对其进行有利的规划建议，但也不是绝无挑剔可言。公寓主调采用地中海北岸摩纳哥海滨公寓这种细腻、明朗的风格感觉（树、阳光、空气、绿色、和谐、自然）。</w:t>
      </w:r>
    </w:p>
    <w:p>
      <w:pPr>
        <w:pStyle w:val="Normal0"/>
        <w:spacing w:line="360" w:lineRule="auto"/>
        <w:ind w:firstLine="420" w:firstLineChars="200"/>
        <w:rPr>
          <w:rFonts w:ascii="宋体" w:hAnsi="宋体" w:cs="New Gulim" w:hint="eastAsia"/>
        </w:rPr>
      </w:pPr>
      <w:r>
        <w:rPr>
          <w:rFonts w:ascii="宋体" w:hAnsi="宋体" w:cs="New Gulim" w:hint="eastAsia"/>
        </w:rPr>
        <w:t>色彩简洁，鲜明而持久，应是小区住宅外立面装饰追求的最佳目标。住宅的色彩不能太复杂，不论采用协调色还是对比色，颜色均不宜超过三种。我们在几经思考后建议：墙身为浅黄色，采用绛红色坡屋顶（充分体现顶层的空中花园——次买点），咖啡色的门窗，经过建筑色彩的处理，使得整个小区色彩柔和、亲切、明快。</w:t>
      </w:r>
    </w:p>
    <w:p>
      <w:pPr>
        <w:pStyle w:val="Normal0"/>
        <w:spacing w:line="360" w:lineRule="auto"/>
        <w:ind w:firstLine="420" w:firstLineChars="200"/>
        <w:rPr>
          <w:rFonts w:ascii="宋体" w:hint="eastAsia"/>
        </w:rPr>
      </w:pPr>
    </w:p>
    <w:p>
      <w:pPr>
        <w:pStyle w:val="Normal0"/>
        <w:spacing w:line="360" w:lineRule="auto"/>
        <w:rPr>
          <w:rFonts w:ascii="仿宋_GB2312" w:eastAsia="仿宋_GB2312" w:hint="eastAsia"/>
          <w:sz w:val="28"/>
        </w:rPr>
      </w:pPr>
      <w:r>
        <w:rPr>
          <w:rFonts w:ascii="仿宋_GB2312" w:eastAsia="仿宋_GB2312" w:hint="eastAsia"/>
          <w:sz w:val="28"/>
        </w:rPr>
        <w:t>三、商铺结构与内部分割</w:t>
      </w:r>
      <w:r>
        <w:rPr>
          <w:rFonts w:ascii="仿宋_GB2312" w:eastAsia="仿宋_GB2312" w:hint="eastAsia"/>
          <w:sz w:val="28"/>
          <w:lang w:eastAsia="zh-CN"/>
        </w:rPr>
        <w:t>合适的方案</w:t>
      </w:r>
      <w:r>
        <w:rPr>
          <w:rFonts w:ascii="仿宋_GB2312" w:eastAsia="仿宋_GB2312" w:hint="eastAsia"/>
          <w:sz w:val="28"/>
        </w:rPr>
        <w:t>建议（已定：略）</w:t>
      </w:r>
    </w:p>
    <w:p>
      <w:pPr>
        <w:pStyle w:val="Normal0"/>
        <w:spacing w:line="360" w:lineRule="auto"/>
        <w:rPr>
          <w:rFonts w:ascii="仿宋_GB2312" w:eastAsia="仿宋_GB2312" w:hint="eastAsia"/>
        </w:rPr>
      </w:pPr>
    </w:p>
    <w:p>
      <w:pPr>
        <w:pStyle w:val="Normal0"/>
        <w:spacing w:line="360" w:lineRule="auto"/>
        <w:rPr>
          <w:rFonts w:ascii="仿宋_GB2312" w:eastAsia="仿宋_GB2312" w:hint="eastAsia"/>
          <w:sz w:val="28"/>
        </w:rPr>
      </w:pPr>
      <w:r>
        <w:rPr>
          <w:rFonts w:ascii="仿宋_GB2312" w:eastAsia="仿宋_GB2312" w:hint="eastAsia"/>
          <w:sz w:val="28"/>
        </w:rPr>
        <w:t>四、</w:t>
      </w:r>
      <w:r>
        <w:rPr>
          <w:rFonts w:ascii="仿宋_GB2312" w:eastAsia="仿宋_GB2312" w:hint="eastAsia"/>
          <w:sz w:val="28"/>
          <w:lang w:eastAsia="zh-CN"/>
        </w:rPr>
        <w:t>相关项目</w:t>
      </w:r>
      <w:r>
        <w:rPr>
          <w:rFonts w:ascii="仿宋_GB2312" w:eastAsia="仿宋_GB2312" w:hint="eastAsia"/>
          <w:sz w:val="28"/>
        </w:rPr>
        <w:t>景观设计</w:t>
      </w:r>
      <w:r>
        <w:rPr>
          <w:rFonts w:ascii="仿宋_GB2312" w:eastAsia="仿宋_GB2312" w:hint="eastAsia"/>
          <w:sz w:val="28"/>
          <w:lang w:eastAsia="zh-CN"/>
        </w:rPr>
        <w:t>合适的方案</w:t>
      </w:r>
      <w:r>
        <w:rPr>
          <w:rFonts w:ascii="仿宋_GB2312" w:eastAsia="仿宋_GB2312" w:hint="eastAsia"/>
          <w:sz w:val="28"/>
        </w:rPr>
        <w:t>建议</w:t>
      </w:r>
    </w:p>
    <w:p>
      <w:pPr>
        <w:pStyle w:val="BodyTextIndent"/>
        <w:spacing w:line="360" w:lineRule="auto"/>
        <w:rPr>
          <w:rFonts w:ascii="宋体" w:hAnsi="宋体" w:cs="New Gulim" w:hint="eastAsia"/>
        </w:rPr>
      </w:pPr>
      <w:r>
        <w:rPr>
          <w:rFonts w:ascii="宋体" w:hAnsi="宋体" w:cs="New Gulim" w:hint="eastAsia"/>
        </w:rPr>
        <w:t>荣盛公寓景观环境设计，主要是围绕住户的生活生理需求，保障居住环境的清洁卫生，促进住户身心舒畅、健康的生活生态环境，主要表现在以下几个方面：</w:t>
      </w:r>
    </w:p>
    <w:p>
      <w:pPr>
        <w:pStyle w:val="Normal0"/>
        <w:tabs>
          <w:tab w:val="left" w:pos="360"/>
        </w:tabs>
        <w:spacing w:line="360" w:lineRule="auto"/>
        <w:rPr>
          <w:rFonts w:ascii="宋体" w:hAnsi="宋体" w:cs="New Gulim" w:hint="eastAsia"/>
          <w:szCs w:val="28"/>
        </w:rPr>
      </w:pPr>
      <w:r>
        <w:rPr>
          <w:rFonts w:ascii="宋体" w:hAnsi="宋体" w:cs="New Gulim" w:hint="eastAsia"/>
          <w:szCs w:val="28"/>
        </w:rPr>
        <w:t>合理的平面规划和空间布局为环境设计创造了良好的先天条件。</w:t>
      </w:r>
    </w:p>
    <w:p>
      <w:pPr>
        <w:pStyle w:val="Normal0"/>
        <w:spacing w:line="360" w:lineRule="auto"/>
        <w:ind w:firstLine="420" w:firstLineChars="200"/>
        <w:rPr>
          <w:rFonts w:ascii="宋体" w:hAnsi="宋体" w:cs="New Gulim" w:hint="eastAsia"/>
        </w:rPr>
        <w:sectPr>
          <w:headerReference w:type="default" r:id="rId65"/>
          <w:footerReference w:type="default" r:id="rId66"/>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30"/>
          <w:cols w:num="1" w:space="425"/>
          <w:titlePg w:val="0"/>
          <w:docGrid w:type="lines" w:linePitch="312" w:charSpace="0"/>
        </w:sectPr>
      </w:pPr>
    </w:p>
    <w:p>
      <w:pPr>
        <w:pStyle w:val="Normal0"/>
        <w:spacing w:line="360" w:lineRule="auto"/>
        <w:ind w:firstLine="420" w:firstLineChars="200"/>
        <w:rPr>
          <w:rFonts w:ascii="宋体" w:hAnsi="宋体" w:cs="New Gulim" w:hint="eastAsia"/>
        </w:rPr>
      </w:pPr>
      <w:r>
        <w:rPr>
          <w:rFonts w:ascii="宋体" w:hAnsi="宋体" w:cs="New Gulim" w:hint="eastAsia"/>
        </w:rPr>
        <w:t>首先，荣盛公寓合理利用土地资源，围合式的建筑设计为景观环境的设计提供了相对分区的空间，同时也可相对独立对其进行规划设计。</w:t>
      </w:r>
    </w:p>
    <w:p>
      <w:pPr>
        <w:pStyle w:val="Normal0"/>
        <w:tabs>
          <w:tab w:val="left" w:pos="360"/>
        </w:tabs>
        <w:spacing w:line="360" w:lineRule="auto"/>
        <w:rPr>
          <w:rFonts w:ascii="宋体" w:hAnsi="宋体" w:cs="New Gulim" w:hint="eastAsia"/>
          <w:szCs w:val="28"/>
        </w:rPr>
      </w:pPr>
      <w:r>
        <w:rPr>
          <w:rFonts w:ascii="宋体" w:hAnsi="宋体" w:cs="New Gulim" w:hint="eastAsia"/>
        </w:rPr>
        <w:t>荣盛公寓</w:t>
      </w:r>
      <w:r>
        <w:rPr>
          <w:rFonts w:ascii="宋体" w:hAnsi="宋体" w:cs="New Gulim" w:hint="eastAsia"/>
          <w:szCs w:val="28"/>
        </w:rPr>
        <w:t>完善的设计和超前的功能配置</w:t>
      </w:r>
    </w:p>
    <w:p>
      <w:pPr>
        <w:pStyle w:val="Normal0"/>
        <w:spacing w:line="360" w:lineRule="auto"/>
        <w:ind w:firstLine="420" w:firstLineChars="200"/>
        <w:rPr>
          <w:rFonts w:ascii="宋体" w:hAnsi="宋体" w:cs="New Gulim" w:hint="eastAsia"/>
        </w:rPr>
      </w:pPr>
      <w:r>
        <w:rPr>
          <w:rFonts w:ascii="宋体" w:hAnsi="宋体" w:cs="New Gulim" w:hint="eastAsia"/>
        </w:rPr>
        <w:t>为方便居民生活，荣盛公寓的景观环境设计应该相应增加公建配套设施，这对提高小区环境的质量起着至关重要的作用。在功能配置时，应该相应增加能体现一定的超前性，设计全面的小区生活智能化系统和残疾人的无障碍设施。</w:t>
      </w:r>
    </w:p>
    <w:p>
      <w:pPr>
        <w:pStyle w:val="Normal0"/>
        <w:spacing w:line="360" w:lineRule="auto"/>
        <w:ind w:firstLine="420" w:firstLineChars="200"/>
        <w:rPr>
          <w:rFonts w:ascii="宋体" w:hAnsi="宋体" w:cs="New Gulim" w:hint="eastAsia"/>
          <w:szCs w:val="28"/>
        </w:rPr>
      </w:pPr>
      <w:r>
        <w:rPr>
          <w:rFonts w:ascii="宋体" w:hAnsi="宋体" w:cs="New Gulim" w:hint="eastAsia"/>
          <w:szCs w:val="28"/>
        </w:rPr>
        <w:t>③营造自然的生态环境</w:t>
      </w:r>
    </w:p>
    <w:p>
      <w:pPr>
        <w:pStyle w:val="Normal0"/>
        <w:spacing w:line="360" w:lineRule="auto"/>
        <w:ind w:firstLine="420" w:firstLineChars="200"/>
        <w:rPr>
          <w:rFonts w:ascii="宋体" w:hAnsi="宋体" w:cs="New Gulim" w:hint="eastAsia"/>
        </w:rPr>
      </w:pPr>
      <w:r>
        <w:rPr>
          <w:rFonts w:ascii="宋体" w:hAnsi="宋体" w:cs="New Gulim" w:hint="eastAsia"/>
        </w:rPr>
        <w:t>荣盛公寓从用地面积和规划情况来看，虽然是小高层，但对营造生物环境和非生物环境的营造上也不可忽视。在总体景观环境设计中，建议按欧式园林的标准进行规划；在“享受生活休闲区”绿化面积上（单指该区）要超过国家对小区绿化所规定的33%，植物品种的选择反映了绿化的特色，真正做到了“夏有凉，冬有绿，四季有花”，除道路以外，看不到暴露的泥土。并积极推广垂直和立体绿化（节约用地面积充分利用空间）。在非生物环境的营造方面，空气阳光关系到人的生活质量，荣盛公寓要充分考虑（景观环境设计中）朝向和光照，设计能够最大限度的增大采光面积和透气量。</w:t>
      </w:r>
    </w:p>
    <w:p>
      <w:pPr>
        <w:pStyle w:val="Normal0"/>
        <w:spacing w:line="360" w:lineRule="auto"/>
        <w:ind w:firstLine="420" w:firstLineChars="200"/>
        <w:rPr>
          <w:rFonts w:ascii="宋体" w:hAnsi="宋体" w:cs="New Gulim" w:hint="eastAsia"/>
        </w:rPr>
      </w:pPr>
      <w:r>
        <w:rPr>
          <w:rFonts w:ascii="宋体" w:hAnsi="宋体" w:cs="New Gulim" w:hint="eastAsia"/>
        </w:rPr>
        <w:t>④有效地控制环境污染</w:t>
      </w:r>
    </w:p>
    <w:p>
      <w:pPr>
        <w:pStyle w:val="Normal0"/>
        <w:spacing w:line="360" w:lineRule="auto"/>
        <w:ind w:firstLine="420" w:firstLineChars="200"/>
        <w:rPr>
          <w:rFonts w:ascii="宋体" w:hAnsi="宋体" w:cs="New Gulim" w:hint="eastAsia"/>
        </w:rPr>
      </w:pPr>
      <w:r>
        <w:rPr>
          <w:rFonts w:ascii="宋体" w:hAnsi="宋体" w:cs="New Gulim" w:hint="eastAsia"/>
        </w:rPr>
        <w:t>荣盛公寓在充分控制污染方面要考虑以下三方面的问题：</w:t>
      </w:r>
    </w:p>
    <w:p>
      <w:pPr>
        <w:pStyle w:val="Normal0"/>
        <w:tabs>
          <w:tab w:val="left" w:pos="360"/>
        </w:tabs>
        <w:spacing w:line="360" w:lineRule="auto"/>
        <w:rPr>
          <w:rFonts w:ascii="宋体" w:hAnsi="宋体" w:cs="New Gulim" w:hint="eastAsia"/>
        </w:rPr>
      </w:pPr>
      <w:r>
        <w:rPr>
          <w:rFonts w:ascii="宋体" w:hAnsi="宋体" w:cs="New Gulim" w:hint="eastAsia"/>
        </w:rPr>
        <w:t>垃圾处理：建议小区内设立“可回收”与“不可回收”的双选择垃圾回收器。</w:t>
      </w:r>
    </w:p>
    <w:p>
      <w:pPr>
        <w:pStyle w:val="Normal0"/>
        <w:tabs>
          <w:tab w:val="left" w:pos="360"/>
        </w:tabs>
        <w:spacing w:line="360" w:lineRule="auto"/>
        <w:rPr>
          <w:rFonts w:ascii="宋体" w:hint="eastAsia"/>
        </w:rPr>
      </w:pPr>
      <w:r>
        <w:rPr>
          <w:rFonts w:ascii="宋体" w:hAnsi="宋体" w:cs="New Gulim" w:hint="eastAsia"/>
        </w:rPr>
        <w:t>污水排放：通过管道和泵站排入污水处理站，集中进行无害化处理后排放。</w:t>
      </w:r>
    </w:p>
    <w:p>
      <w:pPr>
        <w:pStyle w:val="Normal0"/>
        <w:tabs>
          <w:tab w:val="left" w:pos="360"/>
        </w:tabs>
        <w:spacing w:line="360" w:lineRule="auto"/>
        <w:rPr>
          <w:rFonts w:ascii="仿宋_GB2312" w:eastAsia="仿宋_GB2312" w:hint="eastAsia"/>
          <w:sz w:val="28"/>
        </w:rPr>
      </w:pPr>
      <w:r>
        <w:rPr>
          <w:rFonts w:ascii="宋体" w:hAnsi="宋体" w:cs="New Gulim" w:hint="eastAsia"/>
        </w:rPr>
        <w:t>车辆污染控制：主要包括尾气、噪音和安全问题，整个小区建议设立合理的人车分流系统。</w:t>
      </w:r>
    </w:p>
    <w:p>
      <w:pPr>
        <w:pStyle w:val="Normal0"/>
        <w:spacing w:line="360" w:lineRule="auto"/>
        <w:jc w:val="center"/>
        <w:rPr>
          <w:rFonts w:ascii="仿宋_GB2312" w:eastAsia="仿宋_GB2312" w:hint="eastAsia"/>
          <w:b/>
          <w:bCs/>
          <w:sz w:val="32"/>
        </w:rPr>
      </w:pPr>
    </w:p>
    <w:p>
      <w:pPr>
        <w:pStyle w:val="Normal0"/>
        <w:spacing w:line="360" w:lineRule="auto"/>
        <w:jc w:val="center"/>
        <w:rPr>
          <w:rFonts w:ascii="仿宋_GB2312" w:eastAsia="仿宋_GB2312" w:hint="eastAsia"/>
          <w:b/>
          <w:bCs/>
          <w:sz w:val="32"/>
        </w:rPr>
      </w:pPr>
    </w:p>
    <w:p>
      <w:pPr>
        <w:pStyle w:val="Normal0"/>
        <w:spacing w:line="360" w:lineRule="auto"/>
        <w:jc w:val="center"/>
        <w:rPr>
          <w:rFonts w:ascii="仿宋_GB2312" w:eastAsia="仿宋_GB2312" w:hint="eastAsia"/>
          <w:b/>
          <w:bCs/>
          <w:sz w:val="32"/>
        </w:rPr>
      </w:pPr>
    </w:p>
    <w:p>
      <w:pPr>
        <w:pStyle w:val="Normal0"/>
        <w:spacing w:line="360" w:lineRule="auto"/>
        <w:jc w:val="center"/>
        <w:rPr>
          <w:rFonts w:ascii="仿宋_GB2312" w:eastAsia="仿宋_GB2312" w:hint="eastAsia"/>
          <w:b/>
          <w:bCs/>
          <w:sz w:val="32"/>
        </w:rPr>
      </w:pPr>
    </w:p>
    <w:p>
      <w:pPr>
        <w:pStyle w:val="Normal0"/>
        <w:spacing w:line="360" w:lineRule="auto"/>
        <w:jc w:val="center"/>
        <w:rPr>
          <w:rFonts w:ascii="仿宋_GB2312" w:eastAsia="仿宋_GB2312" w:hint="eastAsia"/>
          <w:b/>
          <w:bCs/>
          <w:sz w:val="32"/>
        </w:rPr>
      </w:pPr>
    </w:p>
    <w:p>
      <w:pPr>
        <w:pStyle w:val="Normal0"/>
        <w:spacing w:line="360" w:lineRule="auto"/>
        <w:jc w:val="center"/>
        <w:rPr>
          <w:rFonts w:ascii="仿宋_GB2312" w:eastAsia="仿宋_GB2312" w:hint="eastAsia"/>
          <w:b/>
          <w:bCs/>
          <w:sz w:val="32"/>
        </w:rPr>
      </w:pPr>
    </w:p>
    <w:p>
      <w:pPr>
        <w:pStyle w:val="Normal0"/>
        <w:spacing w:line="360" w:lineRule="auto"/>
        <w:jc w:val="center"/>
        <w:rPr>
          <w:rFonts w:ascii="仿宋_GB2312" w:eastAsia="仿宋_GB2312" w:hint="eastAsia"/>
          <w:b/>
          <w:bCs/>
          <w:sz w:val="32"/>
        </w:rPr>
      </w:pPr>
      <w:r>
        <w:rPr>
          <w:rFonts w:ascii="仿宋_GB2312" w:eastAsia="仿宋_GB2312" w:hint="eastAsia"/>
          <w:b/>
          <w:bCs/>
          <w:sz w:val="32"/>
        </w:rPr>
        <w:br/>
      </w:r>
      <w:r>
        <w:rPr>
          <w:rFonts w:ascii="仿宋_GB2312" w:eastAsia="仿宋_GB2312" w:hint="eastAsia"/>
          <w:b/>
          <w:bCs/>
          <w:sz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https://d.book118.com/616020015154010101</w:t>
        </w:r>
      </w:hyperlink>
    </w:p>
    <w:p>
      <w:pPr>
        <w:pStyle w:val="Normal0"/>
        <w:spacing w:line="360" w:lineRule="auto"/>
        <w:jc w:val="center"/>
        <w:rPr>
          <w:rFonts w:ascii="仿宋_GB2312" w:eastAsia="仿宋_GB2312" w:hint="eastAsia"/>
          <w:b/>
          <w:bCs/>
          <w:sz w:val="32"/>
        </w:rPr>
      </w:pPr>
    </w:p>
    <w:sectPr>
      <w:headerReference w:type="default" r:id="rId68"/>
      <w:footerReference w:type="default" r:id="rId69"/>
      <w:type w:val="nextPage"/>
      <w:pgSz w:w="11906" w:h="16838"/>
      <w:pgMar w:top="2025" w:right="1800" w:bottom="1558" w:left="1800" w:header="851" w:footer="992" w:gutter="0"/>
      <w:pgBorders w:offsetFrom="page">
        <w:top w:val="thinThickSmallGap" w:sz="12" w:space="24" w:color="auto"/>
        <w:left w:val="thinThickSmallGap" w:sz="12" w:space="24" w:color="auto"/>
        <w:bottom w:val="thickThinSmallGap" w:sz="12" w:space="24" w:color="auto"/>
        <w:right w:val="thickThinSmallGap" w:sz="12" w:space="24" w:color="auto"/>
      </w:pgBorders>
      <w:pgNumType w:fmt="chineseLegalSimplified"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姚体简体">
    <w:altName w:val="宋体"/>
    <w:panose1 w:val="02010601030101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New Gulim">
    <w:altName w:val="Malgun Gothic"/>
    <w:panose1 w:val="02030600000101010101"/>
    <w:charset w:val="81"/>
    <w:family w:val="roman"/>
    <w:pitch w:val="default"/>
    <w:sig w:usb0="00000000" w:usb1="00000000" w:usb2="00000030" w:usb3="00000000" w:csb0="0008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叁</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肆</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伍</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陆</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柒</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捌</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玖</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壹拾</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壹拾贰</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壹拾贰</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壹拾叁</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壹拾肆</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壹拾伍</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壹拾陆</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壹拾柒</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壹拾玖</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贰拾壹</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贰拾贰</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贰拾叁</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贰拾肆</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贰拾伍</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0" type="#_x0000_t202" style="width:2in;height:2in;margin-top:0;margin-left:0;mso-height-relative:page;mso-position-horizontal:right;mso-position-horizontal-relative:margin;mso-width-relative:page;mso-wrap-style:none;position:absolute;z-index:2516838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贰拾柒</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2" type="#_x0000_t202" style="width:2in;height:2in;margin-top:0;margin-left:0;mso-height-relative:page;mso-position-horizontal:right;mso-position-horizontal-relative:margin;mso-width-relative:page;mso-wrap-style:none;position:absolute;z-index:2516848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贰拾柒</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4" type="#_x0000_t202" style="width:2in;height:2in;margin-top:0;margin-left:0;mso-height-relative:page;mso-position-horizontal:right;mso-position-horizontal-relative:margin;mso-width-relative:page;mso-wrap-style:none;position:absolute;z-index:2516858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贰拾捌</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6" type="#_x0000_t202" style="width:2in;height:2in;margin-top:0;margin-left:0;mso-height-relative:page;mso-position-horizontal:right;mso-position-horizontal-relative:margin;mso-width-relative:page;mso-wrap-style:none;position:absolute;z-index:2516869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贰拾玖</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8" type="#_x0000_t202" style="width:2in;height:2in;margin-top:0;margin-left:0;mso-height-relative:page;mso-position-horizontal:right;mso-position-horizontal-relative:margin;mso-width-relative:page;mso-wrap-style:none;position:absolute;z-index:2516879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叁拾</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0" type="#_x0000_t202" style="width:2in;height:2in;margin-top:0;margin-left:0;mso-height-relative:page;mso-position-horizontal:right;mso-position-horizontal-relative:margin;mso-width-relative:page;mso-wrap-style:none;position:absolute;z-index:2516889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叁拾壹</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叁</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肆</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伍</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陆</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柒</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捌</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玖</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壹拾</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壹拾贰</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壹拾贰</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壹拾叁</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壹拾肆</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壹拾伍</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壹拾陆</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壹拾柒</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壹拾玖</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贰拾壹</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贰拾贰</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贰拾叁</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贰拾肆</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贰拾伍</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贰拾柒</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26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贰拾柒</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16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贰拾捌</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05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贰拾玖</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95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叁拾</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85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叁拾壹</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75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96D647F"/>
    <w:multiLevelType w:val="multilevel"/>
    <w:tmpl w:val="596D647F"/>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7D1BB9"/>
    <w:rsid w:val="00C1729B"/>
    <w:rsid w:val="00C3480A"/>
    <w:rsid w:val="00D16826"/>
    <w:rsid w:val="00E73211"/>
    <w:rsid w:val="00EF34AA"/>
    <w:rsid w:val="00FC25C7"/>
    <w:rsid w:val="047E6A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uiPriority w:val="9"/>
    <w:qFormat/>
    <w:pPr>
      <w:keepNext/>
      <w:spacing w:line="360" w:lineRule="auto"/>
      <w:ind w:firstLine="560" w:firstLineChars="200"/>
      <w:outlineLvl w:val="0"/>
    </w:pPr>
    <w:rPr>
      <w:rFonts w:ascii="宋体" w:hAnsi="宋体"/>
      <w:sz w:val="28"/>
      <w:szCs w:val="24"/>
    </w:rPr>
  </w:style>
  <w:style w:type="paragraph" w:styleId="Heading2">
    <w:name w:val="heading 2"/>
    <w:basedOn w:val="Normal"/>
    <w:next w:val="Normal0"/>
    <w:autoRedefine/>
    <w:uiPriority w:val="9"/>
    <w:qFormat/>
    <w:pPr>
      <w:keepNext/>
      <w:spacing w:line="360" w:lineRule="auto"/>
      <w:ind w:firstLine="562" w:firstLineChars="200"/>
      <w:outlineLvl w:val="1"/>
    </w:pPr>
    <w:rPr>
      <w:rFonts w:ascii="Times New Roman" w:hAnsi="Times New Roman"/>
      <w:b/>
      <w:bCs/>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styleId="BodyTextIndent">
    <w:name w:val="Body Text Indent"/>
    <w:basedOn w:val="Normal"/>
    <w:pPr>
      <w:ind w:firstLine="420" w:firstLineChars="200"/>
    </w:pPr>
    <w:rPr>
      <w:rFonts w:ascii="Times New Roman" w:hAnsi="Times New Roman"/>
      <w:szCs w:val="24"/>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Strong">
    <w:name w:val="Strong"/>
    <w:basedOn w:val="DefaultParagraphFont"/>
    <w:uiPriority w:val="22"/>
    <w:qFormat/>
    <w:rPr>
      <w:b/>
      <w:bCs/>
    </w:rPr>
  </w:style>
  <w:style w:type="character" w:styleId="PageNumber">
    <w:name w:val="page number"/>
    <w:basedOn w:val="DefaultParagraphFont"/>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Footer0">
    <w:name w:val="Footer_0"/>
    <w:basedOn w:val="Normal0"/>
    <w:pPr>
      <w:tabs>
        <w:tab w:val="center" w:pos="4153"/>
        <w:tab w:val="right" w:pos="8306"/>
      </w:tabs>
      <w:snapToGrid w:val="0"/>
      <w:jc w:val="left"/>
    </w:pPr>
    <w:rPr>
      <w:sz w:val="18"/>
      <w:szCs w:val="18"/>
    </w:rPr>
  </w:style>
  <w:style w:type="character" w:customStyle="1" w:styleId="font11">
    <w:name w:val="font11"/>
    <w:basedOn w:val="DefaultParagraphFon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image" Target="media/image1.wmf" /><Relationship Id="rId26" Type="http://schemas.openxmlformats.org/officeDocument/2006/relationships/oleObject" Target="embeddings/oleObject1.bin"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header" Target="header1.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footer" Target="footer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yperlink" Target="https://d.book118.com/616020015154010101" TargetMode="External" /><Relationship Id="rId68" Type="http://schemas.openxmlformats.org/officeDocument/2006/relationships/header" Target="header31.xml" /><Relationship Id="rId69" Type="http://schemas.openxmlformats.org/officeDocument/2006/relationships/footer" Target="footer31.xml" /><Relationship Id="rId7" Type="http://schemas.openxmlformats.org/officeDocument/2006/relationships/header" Target="header2.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5"/>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35</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2024-02-28T16:33:31Z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B8B96F10B4D240E5ADF0FC2AFD38427E_12</vt:lpwstr>
  </property>
  <property fmtid="{D5CDD505-2E9C-101B-9397-08002B2CF9AE}" pid="3" name="KSOProductBuildVer">
    <vt:lpwstr>2052-12.1.0.16388</vt:lpwstr>
  </property>
</Properties>
</file>