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2018-2023年长江职业学院高职单招（数学／语文／英语）历年常考试题库含答案解析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1.</w:t>
      </w:r>
      <w:r>
        <w:rPr>
          <w:rFonts w:ascii="黑体" w:eastAsia="黑体" w:hAnsi="黑体" w:cs="Times New Roman"/>
          <w:sz w:val="24"/>
          <w:lang w:val="en-US" w:eastAsia="ja-JP" w:bidi="ar-SA"/>
        </w:rPr>
        <w:t>以1870年“普法战争”为背景的小说是（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A.《断魂枪》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B.《米龙老爹》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C.《麦琪的礼物》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D.《苦恼》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0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《蜀相》是一首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A.山水诗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B.田园诗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C.边塞诗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D.怀古诗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“其身正，不令而行；其身不正，虽令不从”这句话出自于（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D.《韩非子》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下列四句中，宾语前置的一句是（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A.姜氏何厌之有?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B.公语之故，且告之悔。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C.姜氏欲之，焉辟害?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D.此四君者，皆以客之功。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杜甫《蜀相》“长使英雄泪满襟”的前一句是（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A.三十从军今白发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B.三顾频烦天下计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C.拔剑四顾心茫然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D.出师未捷身先死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“五十步笑百步”这一典故出自（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屠格涅夫的成名作是（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A.《罗亭》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B.《猎人笔记》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C.《木木》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D.《阿霞》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孟子《寡人之于国也》所言“王道”的意思是（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A.称王天下的方法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B.用仁政治理天下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C.夺取王位的方法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D.用武力统一天下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下列作品属于郭沫若所创作的一组是（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A.《北方》《红烛》《屈原》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B.《女神》《死水》《屈原》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C.《女神》《云游集》《猛虎集》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D.《屈原》《王昭君》《蔡文姬》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北宋第一个专事写词的词人是（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B.秦观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鲁迅所处的时代是（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A.中国力争个性解放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B.中国进入现代化时期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C.中国复兴传统文化时期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D.中国正受外敌入侵、挨打的时期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王安石《答司马谏议书》所采取的主要驳论角度是（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A.驳斥论点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B.驳斥论据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C.驳斥论证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D.驳斥态度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李密的《陈情表》是一篇（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A.书信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C.辞赋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D.奏疏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《报刘一丈书》是一篇（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A.书信体记叙文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B.书信体议论文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C.书信体抒情文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https://d.book118.com/616041211233010052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616041211233010052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