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高端小型车项目可行性分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477622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一、高端小型车项目建设背景及必要性分析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、高端小型车项目总平面设计要求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、高端小型车项目选址说明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一)、高端小型车项目选址原则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高端小型车项目选址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、高端小型车项目可行性研究报告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)、社会责任高端小型车项目与计划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、高端小型车项目进度安排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521431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二)、高端小型车项目实施保障措施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838546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、高端小型车项目实施保障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、高端小型车项目管理与团队协作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)、高端小型车项目管理方法论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)、高端小型车项目计划与进度管理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)、高端小型车项目风险管理与应对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旨在规范和指导高端小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型车项目的实施过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程。本方案的开展将包括高端小型车项目的目的和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一、高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端小型车项目建设背景及必要性分析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端</w:t>
      </w:r>
      <w:r>
        <w:rPr>
          <w:rFonts w:ascii="FangSong" w:eastAsia="FangSong" w:hAnsi="FangSong" w:cs="FangSong"/>
          <w:spacing w:val="-8"/>
          <w:sz w:val="28"/>
          <w:szCs w:val="28"/>
        </w:rPr>
        <w:t>小型车项目的建筑工程设计过程中，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原则，以确保高端小型车项目的可持续发展和建筑结构的安全性：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、高端小型车项目总平面设计要求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端小型车项目总平面设计将充分考虑以下要求，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定，适应高端小</w:t>
      </w:r>
      <w:r>
        <w:rPr>
          <w:rFonts w:ascii="FangSong" w:eastAsia="FangSong" w:hAnsi="FangSong" w:cs="FangSong"/>
          <w:spacing w:val="-2"/>
          <w:sz w:val="28"/>
          <w:szCs w:val="28"/>
        </w:rPr>
        <w:t>型车项目的实际使用需要。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端小型车项目所处地区的地质条件和地震风险，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结合高端小型车项目的实际需求和环境条件，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的设计总体要求是确保高端小型车项目实现预期功能、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0" w:right="49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建筑的功能布局满足高端小型车项目需求，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高端小型车项目的长期发展需求。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高端小型车项目规划的总建筑面积为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高端小</w:t>
      </w:r>
      <w:r>
        <w:rPr>
          <w:rFonts w:ascii="FangSong" w:eastAsia="FangSong" w:hAnsi="FangSong" w:cs="FangSong"/>
          <w:spacing w:val="-7"/>
          <w:sz w:val="28"/>
          <w:szCs w:val="28"/>
        </w:rPr>
        <w:t>型</w:t>
      </w:r>
      <w:r>
        <w:rPr>
          <w:rFonts w:ascii="FangSong" w:eastAsia="FangSong" w:hAnsi="FangSong" w:cs="FangSong"/>
          <w:spacing w:val="-6"/>
          <w:sz w:val="28"/>
          <w:szCs w:val="28"/>
        </w:rPr>
        <w:t>车项目的功能布局和需求，确保各功能区域得到合理的利用。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高端小型车项目总投资比例：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端小型车项目总投资的比例为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足未来高端小型车项目运营的需求，同时避免了过度浪费。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高端小型车项目整体布局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3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使高端小型车项目更好地适应当地的自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三、高端小型车项目选址说明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)、高端小型车项目选址原则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6" w:lineRule="auto"/>
        <w:ind w:left="34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端小型车项目选址必须与城乡建设总体规划保持一致，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端小型车项目的发展与当地城市规划和政府规划相契合。通过与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7" w:right="5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高端小型车项目有望更好地融入城市发展大局，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越的交通条件是高端小型车项目成功的关键因素之一。选址地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虑到高端小型车项目建设阶段，选址地的施工条件至关重要。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高端小型车项目建设的顺利进行。这有助于提高工程效率，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高端</w:t>
      </w:r>
      <w:r>
        <w:rPr>
          <w:rFonts w:ascii="FangSong" w:eastAsia="FangSong" w:hAnsi="FangSong" w:cs="FangSong"/>
          <w:spacing w:val="-6"/>
          <w:sz w:val="28"/>
          <w:szCs w:val="28"/>
        </w:rPr>
        <w:t>小</w:t>
      </w:r>
      <w:r>
        <w:rPr>
          <w:rFonts w:ascii="FangSong" w:eastAsia="FangSong" w:hAnsi="FangSong" w:cs="FangSong"/>
          <w:spacing w:val="-4"/>
          <w:sz w:val="28"/>
          <w:szCs w:val="28"/>
        </w:rPr>
        <w:t>型车项目选址应与当地大气污染防治、水资源利用以及自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然生态环境保护政策相一致。我们将致力于在高端小型车项目建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确保高端小型车项目的可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6" w:line="415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型车项目的需求与用地法规的要求，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</w:t>
      </w:r>
      <w:r>
        <w:rPr>
          <w:rFonts w:ascii="FangSong" w:eastAsia="FangSong" w:hAnsi="FangSong" w:cs="FangSong"/>
          <w:spacing w:val="-2"/>
          <w:sz w:val="28"/>
          <w:szCs w:val="28"/>
        </w:rPr>
        <w:t>端小型车项目的实施过程中获得更多的理解和支持。</w:t>
      </w:r>
    </w:p>
    <w:p>
      <w:pPr>
        <w:spacing w:before="1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保高端小型车项目的长期成功和对社会的积极贡献。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、高端小型车项目选址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选择高端小型车项目的地理位置时，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分销，为高端小型车项目的顺利推进提供了有力支持。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优惠等方面的支持。这将显著减轻高端小型车项目的财务压力，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5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为高端小型车项目提供了丰富的合作机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境的保护。选址处有利于建设绿色、环保型的高端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小型车项目，与当地的生态环境相协调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术开发区被视为未来经济发展的重要增长点。高端小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型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为高端小型车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1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的合作，确保高端小型车项目的建设与运营与当地发展规划相协调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高端小型车项目的成功提供全方位的支持。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端小型车项目的成功实施不仅依赖于选址的地理位置，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高端小型车项目的建设提供了必要的基础支持，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确保高端小型车项目选址符合当地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5" w:right="140" w:firstLine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用地规划要求。这有助于高端小型车项目在合规范围内进行建设，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端小型车项目的用工提供了充足的保障，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包括税收、用地等方面的优惠政策。这为高端小型车项目创造了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高端小型车项目的过程中，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确保高端小型车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端小型车项目所在区域的安全设施完备，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安全系统。这为高端小型车项目的安全运行提供了可靠的支持，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9" w:right="176" w:firstLine="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端</w:t>
      </w:r>
      <w:r>
        <w:rPr>
          <w:rFonts w:ascii="FangSong" w:eastAsia="FangSong" w:hAnsi="FangSong" w:cs="FangSong"/>
          <w:spacing w:val="-8"/>
          <w:sz w:val="28"/>
          <w:szCs w:val="28"/>
        </w:rPr>
        <w:t>小型车项目提供了明确的建设方向，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确保用地符合工业高端小型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高端小型车项目所在地区容积率和建筑密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指标。我们将确保高端小型车项目建设在合理的容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提高高端小型车项目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途划分是用地控制的核心之一。根据高端小型车项目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保持高端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小型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们将严格按照规定的利用年限进行高端小型车项目建设和运营，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在高</w:t>
      </w:r>
      <w:r>
        <w:rPr>
          <w:rFonts w:ascii="FangSong" w:eastAsia="FangSong" w:hAnsi="FangSong" w:cs="FangSong"/>
          <w:spacing w:val="-9"/>
          <w:sz w:val="28"/>
          <w:szCs w:val="28"/>
        </w:rPr>
        <w:t>端</w:t>
      </w:r>
      <w:r>
        <w:rPr>
          <w:rFonts w:ascii="FangSong" w:eastAsia="FangSong" w:hAnsi="FangSong" w:cs="FangSong"/>
          <w:spacing w:val="-7"/>
          <w:sz w:val="28"/>
          <w:szCs w:val="28"/>
        </w:rPr>
        <w:t>小型车项目建设完成后，我们将积极参与土地的复垦工作，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自然环</w:t>
      </w:r>
      <w:r>
        <w:rPr>
          <w:rFonts w:ascii="FangSong" w:eastAsia="FangSong" w:hAnsi="FangSong" w:cs="FangSong"/>
          <w:spacing w:val="-4"/>
          <w:sz w:val="28"/>
          <w:szCs w:val="28"/>
        </w:rPr>
        <w:t>境，减小高端小型车项目对周边土地的影响。</w:t>
      </w:r>
    </w:p>
    <w:p>
      <w:pPr>
        <w:spacing w:before="29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我们将确保高端小型车项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。这为高端小型车项目提供了便捷的物流通道，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售，提高了高端小型车项目的市场竞争力。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自然条件适宜。高端小型车项目建设将充分利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设施。高端小型车项目将充分利用这些配套设施，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端小型车项目的稳定运营。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15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总体要求中还包括对环境的保护要求。高端小型车项目将遵循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、可持续的工业高端小型车项目。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端小型车项目将积极融入当地社区，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促进高端小型车项目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高端小型车项目将在选址的基础上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端</w:t>
      </w:r>
      <w:r>
        <w:rPr>
          <w:rFonts w:ascii="FangSong" w:eastAsia="FangSong" w:hAnsi="FangSong" w:cs="FangSong"/>
          <w:spacing w:val="-8"/>
          <w:sz w:val="28"/>
          <w:szCs w:val="28"/>
        </w:rPr>
        <w:t>小型车项目选址的初步规划中，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我们计划通过多功能空间规划来优化土地利用。在高端小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型</w:t>
      </w:r>
      <w:r>
        <w:rPr>
          <w:rFonts w:ascii="FangSong" w:eastAsia="FangSong" w:hAnsi="FangSong" w:cs="FangSong"/>
          <w:spacing w:val="-21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高建筑的垂直利用率。这一措施有助于减小高端小型车项目的占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端小型车项目还将注重环境友好设计，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还有助于提高高端小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共设施也是我们的设计理念之一。在高端小型车项目内部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我们致力于实现高端小型车项目用地的经济高效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端小型车项目整体布置中，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运输和产品出货；办公区域靠近高端小型车项目核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内外部沟通；休闲区和绿化区域分布在高端小型车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219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确保了高端小型车项目内外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52" w:right="36" w:hanging="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高端小型车项目区域内设置了一系列公共设施，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端小型车项目总图中，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生产与办公是高端小型</w:t>
      </w:r>
      <w:r>
        <w:rPr>
          <w:rFonts w:ascii="FangSong" w:eastAsia="FangSong" w:hAnsi="FangSong" w:cs="FangSong"/>
          <w:sz w:val="28"/>
          <w:szCs w:val="28"/>
        </w:rPr>
        <w:t>车项目的两个核心功能区，我们通过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合理布局，使生产区与办公</w:t>
      </w:r>
      <w:r>
        <w:rPr>
          <w:rFonts w:ascii="FangSong" w:eastAsia="FangSong" w:hAnsi="FangSong" w:cs="FangSong"/>
          <w:spacing w:val="-2"/>
          <w:sz w:val="28"/>
          <w:szCs w:val="28"/>
        </w:rPr>
        <w:t>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以确保原材料的顺畅运输和产品的高效配送。办公区则位于高端小型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目核心区，方便管理层对整个高端小型车项目的监控与决策。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在高端小型车项目区域内分布绿化带和休闲区，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也为高端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小</w:t>
      </w:r>
      <w:r>
        <w:rPr>
          <w:rFonts w:ascii="FangSong" w:eastAsia="FangSong" w:hAnsi="FangSong" w:cs="FangSong"/>
          <w:spacing w:val="-5"/>
          <w:sz w:val="28"/>
          <w:szCs w:val="28"/>
        </w:rPr>
        <w:t>型车项目增色不少。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我们将环境保护区域规划在高端小型车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确保了高端小型车项目整体的美观性。这一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使高端小型车项目在生产的同时也能够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这八个设计要点共同构成了高端小型车项目总图布置方案的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确保了高端小型车项目在各个方面都能够取得良好的平衡，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该高端小型车项目选址位于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高端小型车项目的顺利启动和运营。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销售和员工的通勤。这为高端小型车项目提供了便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5" w:right="196" w:firstLine="98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高端小型车项目选址规划中特别考虑了环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有效减少对周边环境的负面影响。这表明了高端小型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96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高端小型车项目选址的用地控制指标与相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也兼顾了用地的合理利用。这有助于高端小型车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在高端小型车项目选址周边进行了社区和周边环境的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保高端小型车项目建设不会对周边社区造成过大的影响，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端</w:t>
      </w:r>
      <w:r>
        <w:rPr>
          <w:rFonts w:ascii="FangSong" w:eastAsia="FangSong" w:hAnsi="FangSong" w:cs="FangSong"/>
          <w:spacing w:val="-11"/>
          <w:sz w:val="28"/>
          <w:szCs w:val="28"/>
        </w:rPr>
        <w:t>小型车项目选址时，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确保高端小型车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高端小型车项目在当地获得更多支持。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综合考虑高端小型车项目选址的各项因素，我们认为该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有望为高端小</w:t>
      </w:r>
      <w:r>
        <w:rPr>
          <w:rFonts w:ascii="FangSong" w:eastAsia="FangSong" w:hAnsi="FangSong" w:cs="FangSong"/>
          <w:spacing w:val="-5"/>
          <w:sz w:val="28"/>
          <w:szCs w:val="28"/>
        </w:rPr>
        <w:t>型</w:t>
      </w:r>
      <w:r>
        <w:rPr>
          <w:rFonts w:ascii="FangSong" w:eastAsia="FangSong" w:hAnsi="FangSong" w:cs="FangSong"/>
          <w:spacing w:val="-3"/>
          <w:sz w:val="28"/>
          <w:szCs w:val="28"/>
        </w:rPr>
        <w:t>车项目带来更多的发展机遇。与周边的产业和社会环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境相结合，该选址将有助于高端小型车项目实现可持续发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我们可以得出该高端小型车项目选址的合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行性，为高端小型车项目的后续规划和实施提供了坚实的基础。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246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高端小型车项目可行性研究报告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端</w:t>
      </w:r>
      <w:r>
        <w:rPr>
          <w:rFonts w:ascii="FangSong" w:eastAsia="FangSong" w:hAnsi="FangSong" w:cs="FangSong"/>
          <w:spacing w:val="-8"/>
          <w:sz w:val="28"/>
          <w:szCs w:val="28"/>
        </w:rPr>
        <w:t>小型车行业，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成为消费者首选的高端小型车产品。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高端小型车项目总投资</w:t>
      </w:r>
    </w:p>
    <w:p>
      <w:pPr>
        <w:spacing w:before="292" w:line="411" w:lineRule="auto"/>
        <w:ind w:left="41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规模旨在实现一个全面、可持续的高端小型车项目。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高端小型车项目总投资将主要用于以下几个方面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端</w:t>
      </w:r>
      <w:r>
        <w:rPr>
          <w:rFonts w:ascii="FangSong" w:eastAsia="FangSong" w:hAnsi="FangSong" w:cs="FangSong"/>
          <w:spacing w:val="-6"/>
          <w:sz w:val="28"/>
          <w:szCs w:val="28"/>
        </w:rPr>
        <w:t>小</w:t>
      </w:r>
      <w:r>
        <w:rPr>
          <w:rFonts w:ascii="FangSong" w:eastAsia="FangSong" w:hAnsi="FangSong" w:cs="FangSong"/>
          <w:spacing w:val="-4"/>
          <w:sz w:val="28"/>
          <w:szCs w:val="28"/>
        </w:rPr>
        <w:t>型车项目的顺利进行。</w:t>
      </w:r>
    </w:p>
    <w:p>
      <w:pPr>
        <w:spacing w:before="1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一部分资金将用于技术研发，以确保高端小型车项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高端小型车项目规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90" w:line="312" w:lineRule="auto"/>
        <w:ind w:left="37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我们计划在高端小型车项目建设后的第一年实现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1" w:line="189" w:lineRule="auto"/>
        <w:ind w:left="7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高</w:t>
      </w:r>
      <w:r>
        <w:rPr>
          <w:rFonts w:ascii="FangSong" w:eastAsia="FangSong" w:hAnsi="FangSong" w:cs="FangSong"/>
          <w:spacing w:val="-16"/>
          <w:sz w:val="28"/>
          <w:szCs w:val="28"/>
        </w:rPr>
        <w:t>端小型车项目规模：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高端小型车项目将建设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https://d.book118.com/616104024230010102</w:t>
        </w:r>
      </w:hyperlink>
    </w:p>
    <w:p/>
    <w:sectPr>
      <w:pgSz w:w="11906" w:h="16839"/>
      <w:pgMar w:top="1431" w:right="1718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61040242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2024-03-14T07:17:19Z</vt:filetime>
  </property>
  <property fmtid="{D5CDD505-2E9C-101B-9397-08002B2CF9AE}" pid="3" name="CRO">
    <vt:lpwstr>wqlLaW5nc29mdCBQREYgdG8gV1BTIDgw</vt:lpwstr>
  </property>
</Properties>
</file>