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高端橱柜行业相关公司筹备报告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63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_Toc31632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36" w:history="1">
        <w:r>
          <w:rPr>
            <w:rFonts w:ascii="仿宋" w:eastAsia="仿宋" w:hAnsi="仿宋" w:cs="仿宋" w:hint="eastAsia"/>
            <w:lang w:eastAsia="zh-CN"/>
          </w:rPr>
          <w:t>一、高端橱柜项目概况</w:t>
        </w:r>
        <w:r>
          <w:tab/>
        </w:r>
        <w:r>
          <w:fldChar w:fldCharType="begin"/>
        </w:r>
        <w:r>
          <w:instrText xml:space="preserve"> PAGEREF _Toc10136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_Toc32300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4" w:history="1">
        <w:r>
          <w:rPr>
            <w:rFonts w:ascii="仿宋" w:eastAsia="仿宋" w:hAnsi="仿宋" w:cs="仿宋" w:hint="eastAsia"/>
            <w:lang w:eastAsia="zh-CN"/>
          </w:rPr>
          <w:t>(二)、高端橱柜项目提出的理由</w:t>
        </w:r>
        <w:r>
          <w:tab/>
        </w:r>
        <w:r>
          <w:fldChar w:fldCharType="begin"/>
        </w:r>
        <w:r>
          <w:instrText xml:space="preserve"> PAGEREF _Toc16794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4" w:history="1">
        <w:r>
          <w:rPr>
            <w:rFonts w:ascii="仿宋" w:eastAsia="仿宋" w:hAnsi="仿宋" w:cs="仿宋" w:hint="eastAsia"/>
            <w:lang w:eastAsia="zh-CN"/>
          </w:rPr>
          <w:t>(三)、高端橱柜项目选址</w:t>
        </w:r>
        <w:r>
          <w:tab/>
        </w:r>
        <w:r>
          <w:fldChar w:fldCharType="begin"/>
        </w:r>
        <w:r>
          <w:instrText xml:space="preserve"> PAGEREF _Toc23614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_Toc28221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_Toc8302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3" w:history="1">
        <w:r>
          <w:rPr>
            <w:rFonts w:ascii="仿宋" w:eastAsia="仿宋" w:hAnsi="仿宋" w:cs="仿宋" w:hint="eastAsia"/>
            <w:lang w:eastAsia="zh-CN"/>
          </w:rPr>
          <w:t>(六)、高端橱柜项目投资</w:t>
        </w:r>
        <w:r>
          <w:tab/>
        </w:r>
        <w:r>
          <w:fldChar w:fldCharType="begin"/>
        </w:r>
        <w:r>
          <w:instrText xml:space="preserve"> PAGEREF _Toc26493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9" w:history="1">
        <w:r>
          <w:rPr>
            <w:rFonts w:ascii="仿宋" w:eastAsia="仿宋" w:hAnsi="仿宋" w:cs="仿宋" w:hint="eastAsia"/>
            <w:lang w:eastAsia="zh-CN"/>
          </w:rPr>
          <w:t>(七)、高端橱柜项目进度规划</w:t>
        </w:r>
        <w:r>
          <w:tab/>
        </w:r>
        <w:r>
          <w:fldChar w:fldCharType="begin"/>
        </w:r>
        <w:r>
          <w:instrText xml:space="preserve"> PAGEREF _Toc30429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_Toc25284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0" w:history="1">
        <w:r>
          <w:rPr>
            <w:rFonts w:ascii="仿宋" w:eastAsia="仿宋" w:hAnsi="仿宋" w:cs="仿宋" w:hint="eastAsia"/>
            <w:lang w:eastAsia="zh-CN"/>
          </w:rPr>
          <w:t>(九)、高端橱柜项目综合评价</w:t>
        </w:r>
        <w:r>
          <w:tab/>
        </w:r>
        <w:r>
          <w:fldChar w:fldCharType="begin"/>
        </w:r>
        <w:r>
          <w:instrText xml:space="preserve"> PAGEREF _Toc14830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82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_Toc26882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0" w:history="1">
        <w:r>
          <w:rPr>
            <w:rFonts w:ascii="仿宋" w:eastAsia="仿宋" w:hAnsi="仿宋" w:cs="仿宋" w:hint="eastAsia"/>
            <w:lang w:eastAsia="zh-CN"/>
          </w:rPr>
          <w:t>(一)、高端橱柜项目选址原则</w:t>
        </w:r>
        <w:r>
          <w:tab/>
        </w:r>
        <w:r>
          <w:fldChar w:fldCharType="begin"/>
        </w:r>
        <w:r>
          <w:instrText xml:space="preserve"> PAGEREF _Toc28290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_Toc21629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_Toc29449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_Toc18979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" w:history="1">
        <w:r>
          <w:rPr>
            <w:rFonts w:ascii="仿宋" w:eastAsia="仿宋" w:hAnsi="仿宋" w:cs="仿宋" w:hint="eastAsia"/>
            <w:lang w:eastAsia="zh-CN"/>
          </w:rPr>
          <w:t>(五)、高端橱柜项目选址综合评价</w:t>
        </w:r>
        <w:r>
          <w:tab/>
        </w:r>
        <w:r>
          <w:fldChar w:fldCharType="begin"/>
        </w:r>
        <w:r>
          <w:instrText xml:space="preserve"> PAGEREF _Toc10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83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_Toc29283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_Toc19995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_Toc5593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_Toc5212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_Toc9297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25" w:history="1">
        <w:r>
          <w:rPr>
            <w:rFonts w:ascii="仿宋" w:eastAsia="仿宋" w:hAnsi="仿宋" w:cs="仿宋" w:hint="eastAsia"/>
            <w:lang w:eastAsia="zh-CN"/>
          </w:rPr>
          <w:t>四、高端橱柜筹建公司基本信息</w:t>
        </w:r>
        <w:r>
          <w:tab/>
        </w:r>
        <w:r>
          <w:fldChar w:fldCharType="begin"/>
        </w:r>
        <w:r>
          <w:instrText xml:space="preserve"> PAGEREF _Toc27625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_Toc8429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_Toc18414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_Toc1138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_Toc28476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_Toc28426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_Toc2955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22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_Toc3322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_Toc17359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_Toc28184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_Toc16979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_Toc19987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_Toc19563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_Toc31685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_Toc259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10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_Toc16410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_Toc15441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_Toc26980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_Toc21110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4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_Toc1548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_Toc8152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_Toc29179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_Toc9580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_Toc13371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_Toc22615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_Toc22167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_Toc18315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_Toc28486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_Toc3909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47" w:history="1">
        <w:r>
          <w:rPr>
            <w:rFonts w:ascii="仿宋" w:eastAsia="仿宋" w:hAnsi="仿宋" w:cs="仿宋" w:hint="eastAsia"/>
            <w:lang w:eastAsia="zh-CN"/>
          </w:rPr>
          <w:t>七、高端橱柜项目风险分析</w:t>
        </w:r>
        <w:r>
          <w:tab/>
        </w:r>
        <w:r>
          <w:fldChar w:fldCharType="begin"/>
        </w:r>
        <w:r>
          <w:instrText xml:space="preserve"> PAGEREF _Toc5347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5" w:history="1">
        <w:r>
          <w:rPr>
            <w:rFonts w:ascii="仿宋" w:eastAsia="仿宋" w:hAnsi="仿宋" w:cs="仿宋" w:hint="eastAsia"/>
            <w:lang w:eastAsia="zh-CN"/>
          </w:rPr>
          <w:t>(一)、高端橱柜项目风险分析</w:t>
        </w:r>
        <w:r>
          <w:tab/>
        </w:r>
        <w:r>
          <w:fldChar w:fldCharType="begin"/>
        </w:r>
        <w:r>
          <w:instrText xml:space="preserve"> PAGEREF _Toc4515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5" w:history="1">
        <w:r>
          <w:rPr>
            <w:rFonts w:ascii="仿宋" w:eastAsia="仿宋" w:hAnsi="仿宋" w:cs="仿宋" w:hint="eastAsia"/>
            <w:lang w:eastAsia="zh-CN"/>
          </w:rPr>
          <w:t>(二)、高端橱柜项目风险对策</w:t>
        </w:r>
        <w:r>
          <w:tab/>
        </w:r>
        <w:r>
          <w:fldChar w:fldCharType="begin"/>
        </w:r>
        <w:r>
          <w:instrText xml:space="preserve"> PAGEREF _Toc30535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59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_Toc25759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1" w:history="1">
        <w:r>
          <w:rPr>
            <w:rFonts w:ascii="仿宋" w:eastAsia="仿宋" w:hAnsi="仿宋" w:cs="仿宋" w:hint="eastAsia"/>
            <w:lang w:eastAsia="zh-CN"/>
          </w:rPr>
          <w:t>(一)、高端橱柜项目进度安排</w:t>
        </w:r>
        <w:r>
          <w:tab/>
        </w:r>
        <w:r>
          <w:fldChar w:fldCharType="begin"/>
        </w:r>
        <w:r>
          <w:instrText xml:space="preserve"> PAGEREF _Toc27641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0" w:history="1">
        <w:r>
          <w:rPr>
            <w:rFonts w:ascii="仿宋" w:eastAsia="仿宋" w:hAnsi="仿宋" w:cs="仿宋" w:hint="eastAsia"/>
            <w:lang w:eastAsia="zh-CN"/>
          </w:rPr>
          <w:t>(二)、高端橱柜项目实施保障措施</w:t>
        </w:r>
        <w:r>
          <w:tab/>
        </w:r>
        <w:r>
          <w:fldChar w:fldCharType="begin"/>
        </w:r>
        <w:r>
          <w:instrText xml:space="preserve"> PAGEREF _Toc10550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18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_Toc29518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_Toc23690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_Toc9080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_Toc31544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_Toc4367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38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_Toc20538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7" w:history="1">
        <w:r>
          <w:rPr>
            <w:rFonts w:ascii="仿宋" w:eastAsia="仿宋" w:hAnsi="仿宋" w:cs="仿宋" w:hint="eastAsia"/>
            <w:lang w:eastAsia="zh-CN"/>
          </w:rPr>
          <w:t>(一)、高端橱柜项目背景分析</w:t>
        </w:r>
        <w:r>
          <w:tab/>
        </w:r>
        <w:r>
          <w:fldChar w:fldCharType="begin"/>
        </w:r>
        <w:r>
          <w:instrText xml:space="preserve"> PAGEREF _Toc18647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3" w:history="1">
        <w:r>
          <w:rPr>
            <w:rFonts w:ascii="仿宋" w:eastAsia="仿宋" w:hAnsi="仿宋" w:cs="仿宋" w:hint="eastAsia"/>
            <w:lang w:eastAsia="zh-CN"/>
          </w:rPr>
          <w:t>(二)、高端橱柜项目建设必要性分析</w:t>
        </w:r>
        <w:r>
          <w:tab/>
        </w:r>
        <w:r>
          <w:fldChar w:fldCharType="begin"/>
        </w:r>
        <w:r>
          <w:instrText xml:space="preserve"> PAGEREF _Toc21523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_Toc19671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_Toc26130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65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_Toc22265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_Toc14574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9" w:history="1">
        <w:r>
          <w:rPr>
            <w:rFonts w:ascii="仿宋" w:eastAsia="仿宋" w:hAnsi="仿宋" w:cs="仿宋" w:hint="eastAsia"/>
            <w:lang w:eastAsia="zh-CN"/>
          </w:rPr>
          <w:t>(二)、合作高端橱柜项目</w:t>
        </w:r>
        <w:r>
          <w:tab/>
        </w:r>
        <w:r>
          <w:fldChar w:fldCharType="begin"/>
        </w:r>
        <w:r>
          <w:instrText xml:space="preserve"> PAGEREF _Toc30149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_Toc21773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63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136"/>
      <w:r>
        <w:rPr>
          <w:rFonts w:ascii="仿宋" w:eastAsia="仿宋" w:hAnsi="仿宋" w:cs="仿宋" w:hint="eastAsia"/>
          <w:sz w:val="28"/>
          <w:lang w:eastAsia="zh-CN"/>
        </w:rPr>
        <w:t>一、高端橱柜项目概况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300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794"/>
      <w:r>
        <w:rPr>
          <w:rFonts w:ascii="仿宋" w:eastAsia="仿宋" w:hAnsi="仿宋" w:cs="仿宋" w:hint="eastAsia"/>
          <w:sz w:val="28"/>
          <w:lang w:eastAsia="zh-CN"/>
        </w:rPr>
        <w:t>(二)、高端橱柜项目提出的理由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高端橱柜项目提出的理由可能包括以下几个方面：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市场需求：随着人们对生活品质的追求，对高端橱柜的需求也在不断增加。市场上对于高品质、符合个性化需求的高端橱柜需求量大，因此高端橱柜项目可以满足这一市场需求。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利润空间：高端橱柜行业的利润空间较大，通过生产和销售高品质的高端橱柜，可以获得可观的利润。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高端橱柜行业是一个不断创新和发展的行业，随着人们生活方式和审美观念的改变，对高端橱柜的需求也在不断变化。因此，在高端橱柜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环保和可持续发展：人们越来越关注环保和可持续发展，高端橱柜行业也开始注重环保和可持续性发展。通过使用环保材料和生产工艺，高端橱柜项目可以减少对环境的影响，并提高产品的可持续性。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个人兴趣和激情：一些人可能对高端橱柜设计和制造有着浓厚的兴趣和激情，他们希望通过自己的努力和创新，提供更好的高端橱柜产品和服务，满足消费者的需求。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高端橱柜项目的理由可能因具体情况而异，不同的高端橱柜项目可能有不同的原因和背景。因此，在选择高端橱柜项目时，我们需要根据自己的实际情况和需求来综合考虑各种因素，并选择最适合自己的高端橱柜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3614"/>
      <w:r>
        <w:rPr>
          <w:rFonts w:ascii="仿宋" w:eastAsia="仿宋" w:hAnsi="仿宋" w:cs="仿宋" w:hint="eastAsia"/>
          <w:sz w:val="28"/>
          <w:lang w:eastAsia="zh-CN"/>
        </w:rPr>
        <w:t>(三)、高端橱柜项目选址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该高端橱柜项目计划选址于xx园区，占地面积约XXX亩。所选地理位置得天独厚，交通便捷，同时享有完善的电力、供水、排水、通讯等公用设施，非常适合本高端橱柜项目的建设需求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8221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高端橱柜项目完成后，将创造年产xxx的生产能力。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https://d.book118.com/616213032105010051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高端橱柜行业相关公司筹备报告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高端橱柜行业相关公司筹备报告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高端橱柜行业相关公司筹备报告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高端橱柜行业相关公司筹备报告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高端橱柜行业相关公司筹备报告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16213032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2024-02-08T01:35:00Z</dcterms:created>
  <dcterms:modified xsi:type="dcterms:W3CDTF">2024-02-08T01:36:25Z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658BF7C1C6274085B864ACA373778A01_11</vt:lpwstr>
  </property>
  <property fmtid="{D5CDD505-2E9C-101B-9397-08002B2CF9AE}" pid="3" name="KSOProductBuildVer">
    <vt:lpwstr>2052-12.1.0.16250</vt:lpwstr>
  </property>
</Properties>
</file>