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Heading5"/>
        <w:numPr>
          <w:ilvl w:val="0"/>
          <w:numId w:val="0"/>
        </w:numPr>
        <w:ind w:left="1008" w:hanging="1008"/>
        <w:jc w:val="center"/>
        <w:rPr>
          <w:rFonts w:hint="eastAsia"/>
        </w:rPr>
      </w:pPr>
    </w:p>
    <w:p>
      <w:pPr>
        <w:pStyle w:val="Heading5"/>
        <w:numPr>
          <w:ilvl w:val="0"/>
          <w:numId w:val="0"/>
        </w:numPr>
        <w:ind w:left="1008" w:hanging="1008"/>
        <w:jc w:val="center"/>
        <w:rPr>
          <w:rFonts w:hint="eastAsia"/>
        </w:rPr>
      </w:pPr>
    </w:p>
    <w:p>
      <w:pPr>
        <w:pStyle w:val="Heading5"/>
        <w:numPr>
          <w:ilvl w:val="0"/>
          <w:numId w:val="0"/>
        </w:numPr>
        <w:ind w:left="1008" w:hanging="1008"/>
        <w:jc w:val="center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Heading5"/>
        <w:numPr>
          <w:ilvl w:val="0"/>
          <w:numId w:val="0"/>
        </w:numPr>
        <w:ind w:left="1008" w:hanging="1008"/>
        <w:jc w:val="center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Heading5"/>
        <w:numPr>
          <w:ilvl w:val="0"/>
          <w:numId w:val="0"/>
        </w:numPr>
        <w:ind w:left="1008" w:hanging="1008"/>
        <w:jc w:val="center"/>
        <w:rPr>
          <w:rFonts w:hint="eastAsia"/>
        </w:rPr>
      </w:pPr>
    </w:p>
    <w:p>
      <w:pPr>
        <w:pStyle w:val="Heading5"/>
        <w:numPr>
          <w:ilvl w:val="0"/>
          <w:numId w:val="0"/>
        </w:numPr>
        <w:ind w:left="1008" w:hanging="1008"/>
        <w:jc w:val="center"/>
        <w:rPr>
          <w:rFonts w:hint="eastAsia"/>
          <w:sz w:val="52"/>
          <w:szCs w:val="52"/>
          <w:lang w:val="en-US" w:eastAsia="zh-CN"/>
        </w:rPr>
      </w:pPr>
      <w:bookmarkStart w:id="0" w:name="_GoBack"/>
      <w:r>
        <w:rPr>
          <w:rFonts w:hint="eastAsia"/>
          <w:sz w:val="52"/>
          <w:szCs w:val="52"/>
          <w:lang w:val="en-US" w:eastAsia="zh-CN"/>
        </w:rPr>
        <w:t>企业</w:t>
      </w:r>
      <w:r>
        <w:rPr>
          <w:rFonts w:hint="eastAsia"/>
          <w:sz w:val="52"/>
          <w:szCs w:val="52"/>
        </w:rPr>
        <w:t>中台</w:t>
      </w:r>
      <w:r>
        <w:rPr>
          <w:rFonts w:hint="eastAsia"/>
          <w:sz w:val="52"/>
          <w:szCs w:val="52"/>
        </w:rPr>
        <w:t>技术</w:t>
      </w:r>
      <w:r>
        <w:rPr>
          <w:rFonts w:hint="eastAsia"/>
          <w:sz w:val="52"/>
          <w:szCs w:val="52"/>
          <w:lang w:val="en-US" w:eastAsia="zh-CN"/>
        </w:rPr>
        <w:t>方案</w:t>
      </w:r>
      <w:bookmarkEnd w:id="0"/>
    </w:p>
    <w:p>
      <w:pPr>
        <w:pStyle w:val="TB-"/>
        <w:ind w:firstLine="4160" w:firstLineChars="800"/>
        <w:jc w:val="both"/>
        <w:rPr>
          <w:rFonts w:hint="default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t>2024</w:t>
      </w: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  <w:sectPr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</w:p>
    <w:sdt>
      <w:sdtPr>
        <w:rPr>
          <w:rFonts w:ascii="宋体" w:eastAsia="宋体" w:hAnsi="宋体" w:cs="Times New Roman"/>
          <w:kern w:val="2"/>
          <w:sz w:val="21"/>
          <w:szCs w:val="24"/>
          <w:lang w:val="en-US" w:eastAsia="zh-CN" w:bidi="ar-SA"/>
        </w:rPr>
        <w:id w:val="147457648"/>
        <w:docPartObj>
          <w:docPartGallery w:val="Table of Contents"/>
          <w:docPartUnique/>
        </w:docPartObj>
        <w15:color w:val="DBDBDB"/>
      </w:sdtPr>
      <w:sdtEndPr>
        <w:rPr>
          <w:rFonts w:ascii="Times New Roman" w:eastAsia="宋体" w:hAnsi="Times New Roman" w:cs="Times New Roman" w:hint="eastAsia"/>
          <w:bCs/>
          <w:color w:val="000000"/>
          <w:kern w:val="0"/>
          <w:sz w:val="24"/>
          <w:szCs w:val="28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right="0" w:firstLine="0" w:leftChars="0" w:rightChars="0" w:firstLineChars="0"/>
            <w:jc w:val="center"/>
            <w:rPr>
              <w:rFonts w:ascii="宋体" w:hAnsi="宋体"/>
              <w:sz w:val="21"/>
            </w:rPr>
          </w:pPr>
        </w:p>
        <w:p>
          <w:pPr>
            <w:spacing w:before="0" w:beforeLines="0" w:after="0" w:afterLines="0" w:line="240" w:lineRule="auto"/>
            <w:ind w:left="0" w:right="0" w:firstLine="0" w:leftChars="0" w:rightChars="0" w:firstLineChars="0"/>
            <w:jc w:val="center"/>
            <w:rPr>
              <w:rFonts w:ascii="宋体" w:hAnsi="宋体"/>
              <w:sz w:val="21"/>
            </w:rPr>
          </w:pPr>
        </w:p>
        <w:p>
          <w:pPr>
            <w:spacing w:before="0" w:beforeLines="0" w:after="0" w:afterLines="0" w:line="240" w:lineRule="auto"/>
            <w:ind w:left="0" w:right="0" w:firstLine="0" w:leftChars="0" w:rightChars="0" w:firstLineChars="0"/>
            <w:jc w:val="center"/>
            <w:rPr>
              <w:rFonts w:ascii="宋体" w:hAnsi="宋体"/>
              <w:sz w:val="21"/>
            </w:rPr>
          </w:pPr>
        </w:p>
        <w:p>
          <w:pPr>
            <w:spacing w:before="0" w:beforeLines="0" w:after="0" w:afterLines="0" w:line="240" w:lineRule="auto"/>
            <w:ind w:left="0" w:right="0" w:firstLine="0" w:leftChars="0" w:rightChars="0" w:firstLineChars="0"/>
            <w:jc w:val="center"/>
            <w:rPr>
              <w:rFonts w:ascii="宋体" w:hAnsi="宋体"/>
              <w:sz w:val="21"/>
            </w:rPr>
          </w:pPr>
        </w:p>
        <w:p>
          <w:pPr>
            <w:spacing w:before="0" w:beforeLines="0" w:after="0" w:afterLines="0" w:line="360" w:lineRule="auto"/>
            <w:ind w:left="0" w:right="0" w:firstLine="0" w:leftChars="0" w:rightChars="0" w:firstLineChars="0"/>
            <w:jc w:val="center"/>
            <w:rPr>
              <w:b/>
              <w:bCs/>
              <w:sz w:val="32"/>
              <w:szCs w:val="32"/>
            </w:rPr>
          </w:pPr>
          <w:r>
            <w:rPr>
              <w:rFonts w:ascii="宋体" w:eastAsia="宋体" w:hAnsi="宋体"/>
              <w:b/>
              <w:bCs/>
              <w:sz w:val="24"/>
              <w:szCs w:val="32"/>
            </w:rPr>
            <w:t>目录</w:t>
          </w:r>
        </w:p>
        <w:p>
          <w:pPr>
            <w:pStyle w:val="WPSOffice2"/>
            <w:tabs>
              <w:tab w:val="right" w:leader="dot" w:pos="8306"/>
            </w:tabs>
            <w:spacing w:line="360" w:lineRule="auto"/>
            <w:rPr>
              <w:b/>
              <w:bCs/>
              <w:sz w:val="22"/>
              <w:szCs w:val="22"/>
            </w:rPr>
          </w:pPr>
          <w:r>
            <w:rPr>
              <w:rFonts w:hint="eastAsia"/>
              <w:b/>
              <w:bCs/>
              <w:sz w:val="22"/>
              <w:szCs w:val="22"/>
            </w:rPr>
            <w:fldChar w:fldCharType="begin"/>
          </w:r>
          <w:r>
            <w:rPr>
              <w:rFonts w:hint="eastAsia"/>
              <w:b/>
              <w:bCs/>
              <w:sz w:val="22"/>
              <w:szCs w:val="22"/>
            </w:rPr>
            <w:instrText xml:space="preserve">TOC \o "1-3" \h \u </w:instrText>
          </w:r>
          <w:r>
            <w:rPr>
              <w:rFonts w:hint="eastAsia"/>
              <w:b/>
              <w:bCs/>
              <w:sz w:val="22"/>
              <w:szCs w:val="22"/>
            </w:rPr>
            <w:fldChar w:fldCharType="separate"/>
          </w:r>
          <w:hyperlink w:anchor="_Toc21597" w:history="1">
            <w:r>
              <w:rPr>
                <w:rFonts w:hint="eastAsia"/>
                <w:b/>
                <w:bCs/>
                <w:sz w:val="22"/>
                <w:szCs w:val="22"/>
              </w:rPr>
              <w:t>1容器服务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PAGEREF _Toc21597 \h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</w:hyperlink>
        </w:p>
        <w:p>
          <w:pPr>
            <w:pStyle w:val="WPSOffice2"/>
            <w:tabs>
              <w:tab w:val="right" w:leader="dot" w:pos="8306"/>
            </w:tabs>
            <w:spacing w:line="360" w:lineRule="auto"/>
            <w:rPr>
              <w:b/>
              <w:bCs/>
              <w:sz w:val="22"/>
              <w:szCs w:val="22"/>
            </w:rPr>
          </w:pPr>
          <w:hyperlink w:anchor="_Toc5248" w:history="1">
            <w:r>
              <w:rPr>
                <w:rFonts w:hint="eastAsia"/>
                <w:b/>
                <w:bCs/>
                <w:sz w:val="22"/>
                <w:szCs w:val="22"/>
              </w:rPr>
              <w:t>2微服务管理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PAGEREF _Toc5248 \h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</w:hyperlink>
        </w:p>
        <w:p>
          <w:pPr>
            <w:pStyle w:val="WPSOffice2"/>
            <w:tabs>
              <w:tab w:val="right" w:leader="dot" w:pos="8306"/>
            </w:tabs>
            <w:spacing w:line="360" w:lineRule="auto"/>
            <w:rPr>
              <w:b/>
              <w:bCs/>
              <w:sz w:val="22"/>
              <w:szCs w:val="22"/>
            </w:rPr>
          </w:pPr>
          <w:hyperlink w:anchor="_Toc20558" w:history="1">
            <w:r>
              <w:rPr>
                <w:rFonts w:hint="eastAsia"/>
                <w:b/>
                <w:bCs/>
                <w:sz w:val="22"/>
                <w:szCs w:val="22"/>
              </w:rPr>
              <w:t>3分布式缓存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PAGEREF _Toc20558 \h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6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</w:hyperlink>
        </w:p>
        <w:p>
          <w:pPr>
            <w:pStyle w:val="WPSOffice2"/>
            <w:tabs>
              <w:tab w:val="right" w:leader="dot" w:pos="8306"/>
            </w:tabs>
            <w:spacing w:line="360" w:lineRule="auto"/>
            <w:rPr>
              <w:b/>
              <w:bCs/>
              <w:sz w:val="22"/>
              <w:szCs w:val="22"/>
            </w:rPr>
          </w:pPr>
          <w:hyperlink w:anchor="_Toc17457" w:history="1">
            <w:r>
              <w:rPr>
                <w:rFonts w:hint="eastAsia"/>
                <w:b/>
                <w:bCs/>
                <w:sz w:val="22"/>
                <w:szCs w:val="22"/>
              </w:rPr>
              <w:t>3分布式消息队列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PAGEREF _Toc17457 \h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9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</w:hyperlink>
        </w:p>
        <w:p>
          <w:pPr>
            <w:pStyle w:val="WPSOffice2"/>
            <w:tabs>
              <w:tab w:val="right" w:leader="dot" w:pos="8306"/>
            </w:tabs>
            <w:spacing w:line="360" w:lineRule="auto"/>
            <w:rPr>
              <w:b/>
              <w:bCs/>
              <w:sz w:val="22"/>
              <w:szCs w:val="22"/>
            </w:rPr>
          </w:pPr>
          <w:hyperlink w:anchor="_Toc24272" w:history="1">
            <w:r>
              <w:rPr>
                <w:rFonts w:hint="eastAsia"/>
                <w:b/>
                <w:bCs/>
                <w:sz w:val="22"/>
                <w:szCs w:val="22"/>
              </w:rPr>
              <w:t>4 API网关建设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PAGEREF _Toc24272 \h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10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</w:hyperlink>
        </w:p>
        <w:p>
          <w:pPr>
            <w:pStyle w:val="WPSOffice2"/>
            <w:tabs>
              <w:tab w:val="right" w:leader="dot" w:pos="8306"/>
            </w:tabs>
            <w:spacing w:line="360" w:lineRule="auto"/>
            <w:rPr>
              <w:b/>
              <w:bCs/>
              <w:sz w:val="22"/>
              <w:szCs w:val="22"/>
            </w:rPr>
          </w:pPr>
          <w:hyperlink w:anchor="_Toc20797" w:history="1">
            <w:r>
              <w:rPr>
                <w:rFonts w:hint="eastAsia"/>
                <w:b/>
                <w:bCs/>
                <w:sz w:val="22"/>
                <w:szCs w:val="22"/>
              </w:rPr>
              <w:t>5关系型数据库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PAGEREF _Toc20797 \h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11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</w:hyperlink>
        </w:p>
        <w:p>
          <w:pPr>
            <w:pStyle w:val="WPSOffice2"/>
            <w:tabs>
              <w:tab w:val="right" w:leader="dot" w:pos="8306"/>
            </w:tabs>
            <w:spacing w:line="360" w:lineRule="auto"/>
            <w:rPr>
              <w:b/>
              <w:bCs/>
              <w:sz w:val="22"/>
              <w:szCs w:val="22"/>
            </w:rPr>
          </w:pPr>
          <w:hyperlink w:anchor="_Toc3718" w:history="1">
            <w:r>
              <w:rPr>
                <w:rFonts w:hint="eastAsia"/>
                <w:b/>
                <w:bCs/>
                <w:sz w:val="22"/>
                <w:szCs w:val="22"/>
              </w:rPr>
              <w:t>6时序数据库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PAGEREF _Toc3718 \h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13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</w:hyperlink>
        </w:p>
        <w:p>
          <w:pPr>
            <w:pStyle w:val="WPSOffice2"/>
            <w:tabs>
              <w:tab w:val="right" w:leader="dot" w:pos="8306"/>
            </w:tabs>
            <w:spacing w:line="360" w:lineRule="auto"/>
            <w:rPr>
              <w:b/>
              <w:bCs/>
              <w:sz w:val="22"/>
              <w:szCs w:val="22"/>
            </w:rPr>
          </w:pPr>
          <w:hyperlink w:anchor="_Toc17110" w:history="1">
            <w:r>
              <w:rPr>
                <w:rFonts w:hint="eastAsia"/>
                <w:b/>
                <w:bCs/>
                <w:sz w:val="22"/>
                <w:szCs w:val="22"/>
              </w:rPr>
              <w:t>7文档数据库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PAGEREF _Toc17110 \h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14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</w:hyperlink>
        </w:p>
        <w:p>
          <w:pPr>
            <w:pStyle w:val="WPSOffice2"/>
            <w:tabs>
              <w:tab w:val="right" w:leader="dot" w:pos="8306"/>
            </w:tabs>
            <w:spacing w:line="360" w:lineRule="auto"/>
            <w:rPr>
              <w:b/>
              <w:bCs/>
              <w:sz w:val="22"/>
              <w:szCs w:val="22"/>
            </w:rPr>
          </w:pPr>
          <w:hyperlink w:anchor="_Toc13663" w:history="1">
            <w:r>
              <w:rPr>
                <w:rFonts w:hint="eastAsia"/>
                <w:b/>
                <w:bCs/>
                <w:sz w:val="22"/>
                <w:szCs w:val="22"/>
              </w:rPr>
              <w:t>8大数据计算存储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PAGEREF _Toc13663 \h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15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</w:hyperlink>
        </w:p>
        <w:p>
          <w:pPr>
            <w:pStyle w:val="WPSOffice2"/>
            <w:tabs>
              <w:tab w:val="right" w:leader="dot" w:pos="8306"/>
            </w:tabs>
            <w:spacing w:line="360" w:lineRule="auto"/>
            <w:rPr>
              <w:b/>
              <w:bCs/>
              <w:sz w:val="22"/>
              <w:szCs w:val="22"/>
            </w:rPr>
          </w:pPr>
          <w:hyperlink w:anchor="_Toc17157" w:history="1">
            <w:r>
              <w:rPr>
                <w:rFonts w:hint="eastAsia"/>
                <w:b/>
                <w:bCs/>
                <w:sz w:val="22"/>
                <w:szCs w:val="22"/>
              </w:rPr>
              <w:t>9数据仓库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PAGEREF _Toc17157 \h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20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</w:hyperlink>
        </w:p>
        <w:p>
          <w:pPr>
            <w:pStyle w:val="WPSOffice2"/>
            <w:tabs>
              <w:tab w:val="right" w:leader="dot" w:pos="8306"/>
            </w:tabs>
            <w:spacing w:line="360" w:lineRule="auto"/>
            <w:rPr>
              <w:b/>
              <w:bCs/>
              <w:sz w:val="22"/>
              <w:szCs w:val="22"/>
            </w:rPr>
          </w:pPr>
          <w:hyperlink w:anchor="_Toc21343" w:history="1">
            <w:r>
              <w:rPr>
                <w:rFonts w:hint="eastAsia"/>
                <w:b/>
                <w:bCs/>
                <w:sz w:val="22"/>
                <w:szCs w:val="22"/>
              </w:rPr>
              <w:t>10流计算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PAGEREF _Toc21343 \h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22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</w:hyperlink>
        </w:p>
        <w:p>
          <w:pPr>
            <w:pStyle w:val="WPSOffice2"/>
            <w:tabs>
              <w:tab w:val="right" w:leader="dot" w:pos="8306"/>
            </w:tabs>
            <w:spacing w:line="360" w:lineRule="auto"/>
            <w:rPr>
              <w:b/>
              <w:bCs/>
              <w:sz w:val="22"/>
              <w:szCs w:val="22"/>
            </w:rPr>
          </w:pPr>
          <w:hyperlink w:anchor="_Toc23936" w:history="1">
            <w:r>
              <w:rPr>
                <w:rFonts w:hint="eastAsia"/>
                <w:b/>
                <w:bCs/>
                <w:sz w:val="22"/>
                <w:szCs w:val="22"/>
              </w:rPr>
              <w:t>11大数据开发和治理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PAGEREF _Toc23936 \h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23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</w:hyperlink>
        </w:p>
        <w:p>
          <w:pPr>
            <w:pStyle w:val="TB-"/>
            <w:spacing w:line="360" w:lineRule="auto"/>
            <w:rPr>
              <w:rFonts w:hint="eastAsia"/>
            </w:rPr>
          </w:pPr>
          <w:r>
            <w:rPr>
              <w:rFonts w:hint="eastAsia"/>
              <w:b/>
              <w:bCs/>
              <w:sz w:val="32"/>
              <w:szCs w:val="36"/>
            </w:rPr>
            <w:fldChar w:fldCharType="end"/>
          </w:r>
        </w:p>
      </w:sdtContent>
    </w:sdt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</w:p>
    <w:p>
      <w:pPr>
        <w:pStyle w:val="Heading2"/>
        <w:numPr>
          <w:ilvl w:val="5"/>
          <w:numId w:val="0"/>
        </w:numPr>
      </w:pPr>
      <w:bookmarkStart w:id="1" w:name="_Toc21597"/>
      <w:r>
        <w:rPr>
          <w:rFonts w:hint="eastAsia"/>
        </w:rPr>
        <w:t>1容器服务</w:t>
      </w:r>
      <w:bookmarkEnd w:id="1"/>
    </w:p>
    <w:p>
      <w:pPr>
        <w:ind w:firstLine="480" w:firstLineChars="200"/>
      </w:pPr>
      <w:r>
        <w:rPr>
          <w:rFonts w:hint="eastAsia"/>
        </w:rPr>
        <w:t>容器服务是基于iSulad和Kubernetes提供的云上一站式容器全栈能力平台，包括生命周期管理、容器应用Chart、应用调度、监控与运维。其中，iSulad是一个轻量级的容器运行守护进程，专为IOT和Cloud基础设施而设计，可进行轻量化、快速的架构应用。</w:t>
      </w:r>
    </w:p>
    <w:p>
      <w:pPr>
        <w:ind w:firstLine="480" w:firstLineChars="200"/>
        <w:rPr>
          <w:rFonts w:eastAsia="仿宋"/>
          <w:spacing w:val="-3"/>
        </w:rPr>
      </w:pPr>
      <w:r>
        <w:rPr>
          <w:rFonts w:hint="eastAsia"/>
        </w:rPr>
        <w:t>容器服务的高效性。华为存储系统支持便捷创建和升级Kubernetes容器集群，大幅简化了iSulad和Kubernetes集群的部署过程。并且高效地实现了模板的快速部署与后期管理，在存储系统内高效完成容器应用的整个生命周期。iSulad容器应用，是直接运行于宿主内核，无需启动全部的操作系统，相比传统的虚拟机技术拥有更快的应用执行速度、更低的内存损耗和更迅速的文件存储速度。</w:t>
      </w:r>
    </w:p>
    <w:p>
      <w:pPr>
        <w:ind w:firstLine="480" w:firstLineChars="200"/>
      </w:pPr>
      <w:r>
        <w:rPr>
          <w:rFonts w:hint="eastAsia"/>
        </w:rPr>
        <w:t>容器服务的高稳定性。支持资源隔离，支持在一套物理存储系统中划分独享的硬件资源，使容器服务灵活、部署成本低。支持故障接管，支持容器应用在同一控制框中的控制器之间进行自动切换，当控制器故障后，归属于该控制器上的容器应用可以在正常运行的节点自动拉起，从而保障业务高稳定。</w:t>
      </w:r>
    </w:p>
    <w:p>
      <w:pPr>
        <w:pStyle w:val="a"/>
      </w:pPr>
      <w:r>
        <w:drawing>
          <wp:inline distT="0" distB="0" distL="0" distR="0">
            <wp:extent cx="4822825" cy="2268855"/>
            <wp:effectExtent l="0" t="0" r="8255" b="1905"/>
            <wp:docPr id="115618" name="图片 115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18" name="图片 11561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2825" cy="226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在本项目中，提供云容器引擎CCE和镜像仓库SWR服务：</w:t>
      </w:r>
    </w:p>
    <w:p>
      <w:pPr>
        <w:pStyle w:val="a"/>
        <w:numPr>
          <w:ilvl w:val="0"/>
          <w:numId w:val="3"/>
        </w:numPr>
      </w:pPr>
      <w:r>
        <w:t>云容器引擎CCE：提供高度可扩展的、高性能的企业级Kubernetes集群，支持运行Docker容器。借助云容器引擎，可以在云上轻松部署、管理和扩展容器化应用程序。</w:t>
      </w:r>
    </w:p>
    <w:p>
      <w:pPr>
        <w:pStyle w:val="a"/>
        <w:numPr>
          <w:ilvl w:val="0"/>
          <w:numId w:val="3"/>
        </w:num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t>镜像仓库SWR：是一种支持容器镜像全生命周期管理的服务， 提供简单易用、安全可靠的镜像管理功能，帮助用户快速部署容器化服务。</w:t>
      </w:r>
    </w:p>
    <w:p>
      <w:pPr>
        <w:ind w:firstLine="480" w:firstLineChars="200"/>
      </w:pPr>
      <w:r>
        <w:t>华为云容器引擎提供容器编排、调度、部署、弹性伸缩、升级、健康检查、应用模板管理等能力，支持纯内网环境自助式部署Kubernetes多集群环境，支持主机维护模式。支持混合集群，可以在虚拟机、裸金属和虚拟机/裸金属混合节点上部署集群。支持单机版master节点和集群版master节点。提供镜像仓库，方便企业对通用软件包以及业务应用镜像进行本地化管理。</w:t>
      </w:r>
      <w:r>
        <w:rPr>
          <w:rFonts w:hint="eastAsia"/>
        </w:rPr>
        <w:t>并提供如下容器服务能力：集群资源管理，云容器与华为Stack和IaaS，支持集群监控、部署和统计；</w:t>
      </w:r>
    </w:p>
    <w:p>
      <w:pPr>
        <w:pStyle w:val="a"/>
      </w:pPr>
      <w:r>
        <w:rPr>
          <w:rFonts w:hint="eastAsia"/>
        </w:rPr>
        <w:t>工作负载管理，支持配置服务器访问外部域名，支持运行环境变量配置；应用调度管理，为容器运行选择最优节点，支持使用Helm模板编排应用目录；以及应用弹性和监控管理。</w:t>
      </w:r>
    </w:p>
    <w:p/>
    <w:p>
      <w:pPr>
        <w:pStyle w:val="Heading2"/>
        <w:numPr>
          <w:ilvl w:val="5"/>
          <w:numId w:val="0"/>
        </w:numPr>
        <w:rPr>
          <w:rFonts w:hint="eastAsia"/>
        </w:rPr>
      </w:pPr>
      <w:bookmarkStart w:id="2" w:name="_Toc5248"/>
      <w:r>
        <w:rPr>
          <w:rFonts w:hint="eastAsia"/>
          <w:b/>
        </w:rPr>
        <w:t>2微服务管理</w:t>
      </w:r>
      <w:bookmarkEnd w:id="2"/>
    </w:p>
    <w:p>
      <w:pPr>
        <w:ind w:firstLine="480" w:firstLineChars="200"/>
      </w:pPr>
      <w:r>
        <w:rPr>
          <w:rFonts w:hint="eastAsia"/>
        </w:rPr>
        <w:t>微服务管理能够</w:t>
      </w:r>
      <w:r>
        <w:t>实现全生命周期的微服务治理能力，支</w:t>
      </w:r>
      <w:r>
        <w:rPr>
          <w:rFonts w:hint="eastAsia"/>
        </w:rPr>
        <w:t>持</w:t>
      </w:r>
      <w:r>
        <w:t>不同技术堆栈之间的服务注册与发现、智能路由、全局配置推送、熔断等复杂功能的屏蔽，开发者只需聚焦业务逻辑的开发，无需关注分布式系统管理的复杂性，从而实现每个服务单元的独立快速开发和上线。平台为基于微服务架构开发的应用提供支撑环境，同时为</w:t>
      </w:r>
      <w:r>
        <w:rPr>
          <w:rFonts w:hint="eastAsia"/>
        </w:rPr>
        <w:t>黄河公司</w:t>
      </w:r>
      <w:r>
        <w:t>原有的遗留应用微服务化提供接入途径。</w:t>
      </w:r>
    </w:p>
    <w:p>
      <w:pPr>
        <w:ind w:firstLine="480" w:firstLineChars="200"/>
      </w:pPr>
      <w:r>
        <w:rPr>
          <w:rFonts w:hint="eastAsia"/>
        </w:rPr>
        <w:t>本项目采用微服务框架作为中间件服务平台，提供一站式应用生命周期管理，实现包括服务治理、基础监控、应用监控和应用诊断在内的一系列应用管理服务，能利用弹性伸缩应对流量高峰，以提升对大型分布式应用的管理能力。主要能力包括：</w:t>
      </w:r>
    </w:p>
    <w:p>
      <w:pPr>
        <w:ind w:firstLine="480" w:firstLineChars="200"/>
      </w:pPr>
      <w:r>
        <w:rPr>
          <w:rFonts w:hint="eastAsia"/>
        </w:rPr>
        <w:t>应用管理：支持应用生命周期管理、环境管理。</w:t>
      </w:r>
    </w:p>
    <w:p>
      <w:pPr>
        <w:ind w:firstLine="480" w:firstLineChars="200"/>
      </w:pPr>
      <w:r>
        <w:rPr>
          <w:rFonts w:hint="eastAsia"/>
        </w:rPr>
        <w:t>微服务应用接入：支持Java Chassis、Go Chassis、Spring Cloud、Dubbo微服务框架；支持Mesher服务网格。配合微服务引擎可实现服务注册发现、配置管理和服务治理，请参考微服务开发指南。</w:t>
      </w:r>
    </w:p>
    <w:p>
      <w:pPr>
        <w:ind w:firstLine="480" w:firstLineChars="200"/>
      </w:pPr>
      <w:r>
        <w:rPr>
          <w:rFonts w:hint="eastAsia"/>
        </w:rPr>
        <w:t>应用运维：通过日志、监控、告警支持应用运维管理。</w:t>
      </w:r>
    </w:p>
    <w:p>
      <w:pPr>
        <w:ind w:firstLine="480" w:firstLineChars="200"/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hint="eastAsia"/>
        </w:rPr>
        <w:t>ROMA</w:t>
      </w:r>
    </w:p>
    <w:p>
      <w:pPr>
        <w:ind w:firstLine="480" w:firstLineChars="200"/>
      </w:pPr>
      <w:r>
        <w:rPr>
          <w:rFonts w:hint="eastAsia"/>
        </w:rPr>
        <w:t xml:space="preserve"> Factory是面向企业的一站式应用管理与运维平台，为黄河公司ISV开发人员、测试人员、运维人员或项目经理等角色，提供应用托管、监控、告警和日志分析等能力，同时平台极具开放性，兼容业界主流应用技术栈，包括：多种语言，多种微服务框架和多种运行环境，能极大地提升传统应用、Web应用、微服务应用的管理与运维效率，聚焦面向行业的应用创新，从而提升应用管理的质量。</w:t>
      </w:r>
    </w:p>
    <w:p>
      <w:pPr>
        <w:pStyle w:val="a"/>
      </w:pPr>
      <w:r>
        <w:drawing>
          <wp:inline distT="0" distB="0" distL="0" distR="0">
            <wp:extent cx="5077460" cy="2857500"/>
            <wp:effectExtent l="0" t="0" r="12700" b="7620"/>
            <wp:docPr id="3080" name="图片 3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0" name="图片 308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746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通过应用微服务化，黄河公司可将一个臃肿的系统拆分成若干小的服务组件，组件之间的通讯采用轻量的协议完成，实现各组件生命周期管理的解耦。微服务框架可承载微服务应用的全生命周期管理。支持Go、Java、Docker、Node.js、Tomcat等运行环境，可无侵入托管Apache ServiceComb Java Chassis、 Spring Cloud、服务网格等微服务应用，提供配置管理、监控运维和 服务治理等更多功能，让企业微服务应用上云更简单。微服务框架主要能力如下：</w:t>
      </w:r>
    </w:p>
    <w:p>
      <w:r>
        <w:rPr>
          <w:rFonts w:hint="eastAsia"/>
        </w:rPr>
        <w:t xml:space="preserve">支持基于Swagger的API管理。 </w:t>
      </w:r>
    </w:p>
    <w:p>
      <w:r>
        <w:rPr>
          <w:rFonts w:hint="eastAsia"/>
        </w:rPr>
        <w:t>支持多种语言，如JAVA、Go、Node.js等。</w:t>
      </w:r>
    </w:p>
    <w:p>
      <w:r>
        <w:rPr>
          <w:rFonts w:hint="eastAsia"/>
        </w:rPr>
        <w:t>支持原生ServiceComb、Dubbo、Spring Cloud和Service Mesh多种微服务框架，无需更改业务代码直接托管上云。</w:t>
      </w:r>
    </w:p>
    <w:p>
      <w:r>
        <w:rPr>
          <w:rFonts w:hint="eastAsia"/>
        </w:rPr>
        <w:t xml:space="preserve">提供服务中心、配置中心、仪表盘等功能。 </w:t>
      </w:r>
    </w:p>
    <w:p>
      <w:r>
        <w:rPr>
          <w:rFonts w:hint="eastAsia"/>
        </w:rPr>
        <w:t xml:space="preserve">提供限流、降级、熔断、容错、错误注入、黑白名单等微服务治理策略，提供界面化操作，极大提高了服务治理的可用性。 </w:t>
      </w:r>
    </w:p>
    <w:p>
      <w:r>
        <w:rPr>
          <w:rFonts w:hint="eastAsia"/>
        </w:rPr>
        <w:t>实现Spring Cloud、Java Chassis和Go Chassis之间的互相发现。</w:t>
      </w:r>
    </w:p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</w:p>
    <w:p>
      <w:pPr>
        <w:pStyle w:val="Heading2"/>
        <w:numPr>
          <w:ilvl w:val="5"/>
          <w:numId w:val="0"/>
        </w:numPr>
        <w:rPr>
          <w:rFonts w:hint="eastAsia"/>
        </w:rPr>
      </w:pPr>
      <w:bookmarkStart w:id="3" w:name="_Toc20558"/>
      <w:r>
        <w:rPr>
          <w:rFonts w:hint="eastAsia"/>
          <w:b/>
        </w:rPr>
        <w:t>3分布式缓存</w:t>
      </w:r>
      <w:bookmarkEnd w:id="3"/>
    </w:p>
    <w:p>
      <w:pPr>
        <w:ind w:firstLine="480" w:firstLineChars="200"/>
        <w:rPr>
          <w:rFonts w:eastAsia="仿宋"/>
        </w:rPr>
      </w:pPr>
      <w:r>
        <w:rPr>
          <w:rFonts w:hint="eastAsia"/>
        </w:rPr>
        <w:t>本项目采用</w:t>
      </w:r>
      <w:r>
        <w:t>分布式缓存服务</w:t>
      </w:r>
      <w:r>
        <w:rPr>
          <w:rFonts w:hint="eastAsia"/>
        </w:rPr>
        <w:t>DCS，华为云Stack提供的一款内存数据库服务，兼容了Redis，为您提供即开即用、安全可靠、弹性扩容、便捷管理的在线分布式缓存能力，满足用户高并发及数据快速访问的业务诉求。</w:t>
      </w:r>
    </w:p>
    <w:p>
      <w:pPr>
        <w:ind w:firstLine="480" w:firstLineChars="200"/>
      </w:pPr>
      <w:r>
        <w:rPr>
          <w:rFonts w:hint="eastAsia"/>
        </w:rPr>
        <w:t>性能原则：</w:t>
      </w:r>
    </w:p>
    <w:p>
      <w:pPr>
        <w:ind w:firstLine="480" w:firstLineChars="200"/>
      </w:pPr>
      <w:r>
        <w:rPr>
          <w:rFonts w:hint="eastAsia"/>
        </w:rPr>
        <w:t>DCS实例在性能方面主要包含两个指标，一是吞吐量（Throughput），指系统在指定时间段内执行的工作量，在缓存中通常以OPS或者QPS进行衡量，代表每秒能并发处理的业务量；二是单次请求的响应时间，指单次缓存请求请求与响应之间的平均延迟。DCS是一种内存型的分布式缓存服务，并发量通常较大，对于在性能和数据可靠性方面通常需要进行权衡，DCS服务默认采用everysecond的aof持久化策略，在系统故障时容忍少量的数据失效（1s内系统中未写入磁盘的数据）以确保磁盘不会成为系统中的性能瓶颈。</w:t>
      </w:r>
    </w:p>
    <w:p>
      <w:pPr>
        <w:ind w:firstLine="480" w:firstLineChars="200"/>
      </w:pPr>
      <w:r>
        <w:rPr>
          <w:rFonts w:hint="eastAsia"/>
        </w:rPr>
        <w:t>实用性：DCS服务在Console界面提供方便的Redis实例参数调整、备份恢复、一键扩容等功能，方便租户能够快捷高效的使用Redis实例，提升租户的运维和开发效率。</w:t>
      </w:r>
    </w:p>
    <w:p>
      <w:pPr>
        <w:ind w:firstLine="480" w:firstLineChars="200"/>
      </w:pPr>
      <w:r>
        <w:rPr>
          <w:rFonts w:hint="eastAsia"/>
        </w:rPr>
        <w:t>可扩展性：DCS缓存实例在界面和API上均支持方便快捷的一键扩容能力，支持从主备实例2GB-64GB，集群实例4GB-1024GB的方便扩容。</w:t>
      </w:r>
    </w:p>
    <w:p>
      <w:pPr>
        <w:pStyle w:val="a"/>
      </w:pPr>
      <w:r>
        <w:drawing>
          <wp:inline distT="0" distB="0" distL="0" distR="0">
            <wp:extent cx="4168140" cy="2842260"/>
            <wp:effectExtent l="0" t="0" r="7620" b="7620"/>
            <wp:docPr id="115623" name="图片 115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23" name="图片 11562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8140" cy="28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80" w:firstLineChars="200"/>
      </w:pPr>
      <w:r>
        <w:rPr>
          <w:rFonts w:hint="eastAsia"/>
        </w:rPr>
        <w:t>Redis4.0和Redis5.0主备实例支持使用哨兵模式（Sentinel）进行管理，Sentinel会一直监控主备节点是否正常运行，当主节点出现故障时，进行主备倒换。</w:t>
      </w:r>
      <w:r>
        <w:br/>
      </w:r>
      <w:r>
        <w:br/>
      </w:r>
    </w:p>
    <w:p>
      <w:pPr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https://d.book118.com/617050025014006031</w:t>
        </w:r>
      </w:hyperlink>
    </w:p>
    <w:p>
      <w:pPr>
        <w:ind w:firstLine="480" w:firstLineChars="200"/>
      </w:pPr>
    </w:p>
    <w:sectPr>
      <w:type w:val="nextPage"/>
      <w:pgSz w:w="11906" w:h="16838"/>
      <w:pgMar w:top="1440" w:right="1800" w:bottom="1440" w:left="1800" w:header="851" w:footer="992" w:gutter="0"/>
      <w:pgNumType w:start="6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86"/>
    <w:family w:val="auto"/>
    <w:pitch w:val="default"/>
    <w:sig w:usb0="E0002EFF" w:usb1="C000785B" w:usb2="00000009" w:usb3="00000000" w:csb0="4004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CE8E691C"/>
    <w:multiLevelType w:val="singleLevel"/>
    <w:tmpl w:val="CE8E691C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">
    <w:nsid w:val="F07F9AB1"/>
    <w:multiLevelType w:val="multilevel"/>
    <w:tmpl w:val="F07F9AB1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lvlText w:val="8.%3."/>
      <w:lvlJc w:val="left"/>
      <w:pPr>
        <w:ind w:left="720" w:hanging="720"/>
      </w:pPr>
      <w:rPr>
        <w:rFonts w:ascii="宋体" w:eastAsia="宋体" w:hAnsi="宋体" w:cs="宋体" w:hint="default"/>
      </w:rPr>
    </w:lvl>
    <w:lvl w:ilvl="3">
      <w:start w:val="1"/>
      <w:numFmt w:val="decimal"/>
      <w:lvlText w:val="8.%2.%4."/>
      <w:lvlJc w:val="left"/>
      <w:pPr>
        <w:ind w:left="864" w:hanging="864"/>
      </w:pPr>
      <w:rPr>
        <w:rFonts w:ascii="宋体" w:eastAsia="宋体" w:hAnsi="宋体" w:cs="宋体" w:hint="default"/>
      </w:rPr>
    </w:lvl>
    <w:lvl w:ilvl="4">
      <w:start w:val="1"/>
      <w:numFmt w:val="decimal"/>
      <w:pStyle w:val="Heading5"/>
      <w:lvlText w:val="8.1.%4.%5."/>
      <w:lvlJc w:val="left"/>
      <w:pPr>
        <w:ind w:left="1008" w:hanging="1008"/>
      </w:pPr>
      <w:rPr>
        <w:rFonts w:ascii="宋体" w:eastAsia="宋体" w:hAnsi="宋体" w:cs="宋体" w:hint="default"/>
      </w:rPr>
    </w:lvl>
    <w:lvl w:ilvl="5">
      <w:start w:val="1"/>
      <w:numFmt w:val="decimal"/>
      <w:pStyle w:val="Heading6"/>
      <w:lvlText w:val="9.4.%4.%5.%6."/>
      <w:lvlJc w:val="left"/>
      <w:pPr>
        <w:ind w:left="1151" w:hanging="1151"/>
      </w:pPr>
      <w:rPr>
        <w:rFonts w:ascii="宋体" w:eastAsia="宋体" w:hAnsi="宋体" w:cs="宋体"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2">
    <w:nsid w:val="147C1E4A"/>
    <w:multiLevelType w:val="singleLevel"/>
    <w:tmpl w:val="147C1E4A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3">
    <w:nsid w:val="6E230785"/>
    <w:multiLevelType w:val="multilevel"/>
    <w:tmpl w:val="6E230785"/>
    <w:lvl w:ilvl="0">
      <w:start w:val="1"/>
      <w:numFmt w:val="bullet"/>
      <w:pStyle w:val="ItemListinTable"/>
      <w:lvlText w:val=""/>
      <w:lvlJc w:val="left"/>
      <w:pPr>
        <w:tabs>
          <w:tab w:val="left" w:pos="170"/>
        </w:tabs>
        <w:ind w:left="170" w:hanging="170"/>
      </w:pPr>
      <w:rPr>
        <w:rFonts w:ascii="Wingdings" w:eastAsia="宋体" w:hAnsi="Wingdings" w:hint="default"/>
        <w:b w:val="0"/>
        <w:i w:val="0"/>
        <w:color w:val="auto"/>
        <w:position w:val="3"/>
        <w:sz w:val="13"/>
        <w:szCs w:val="13"/>
      </w:rPr>
    </w:lvl>
    <w:lvl w:ilvl="1">
      <w:start w:val="1"/>
      <w:numFmt w:val="lowerLetter"/>
      <w:lvlText w:val="%2."/>
      <w:lvlJc w:val="left"/>
      <w:pPr>
        <w:tabs>
          <w:tab w:val="left" w:pos="284"/>
        </w:tabs>
        <w:ind w:left="568" w:hanging="284"/>
      </w:pPr>
      <w:rPr>
        <w:rFonts w:ascii="Times New Roman" w:hAnsi="Times New Roman" w:cs="Book Antiqua" w:hint="default"/>
        <w:b w:val="0"/>
        <w:bCs/>
        <w:i w:val="0"/>
        <w:iCs w:val="0"/>
        <w:sz w:val="21"/>
        <w:szCs w:val="21"/>
        <w:u w:val="none"/>
      </w:rPr>
    </w:lvl>
    <w:lvl w:ilvl="2">
      <w:start w:val="1"/>
      <w:numFmt w:val="bullet"/>
      <w:lvlText w:val="−"/>
      <w:lvlJc w:val="left"/>
      <w:pPr>
        <w:tabs>
          <w:tab w:val="left" w:pos="568"/>
        </w:tabs>
        <w:ind w:left="568" w:hanging="284"/>
      </w:pPr>
      <w:rPr>
        <w:rFonts w:ascii="Times New Roman" w:hAnsi="Times New Roman" w:cs="Times New Roman" w:hint="default"/>
        <w:sz w:val="16"/>
        <w:szCs w:val="16"/>
      </w:rPr>
    </w:lvl>
    <w:lvl w:ilvl="3">
      <w:start w:val="1"/>
      <w:numFmt w:val="decimal"/>
      <w:lvlText w:val="%4."/>
      <w:lvlJc w:val="left"/>
      <w:pPr>
        <w:tabs>
          <w:tab w:val="left" w:pos="284"/>
        </w:tabs>
        <w:ind w:left="568" w:hanging="284"/>
      </w:pPr>
      <w:rPr>
        <w:rFonts w:ascii="Times New Roman" w:hAnsi="Times New Roman" w:cs="Book Antiqua" w:hint="default"/>
        <w:b w:val="0"/>
        <w:bCs/>
        <w:i w:val="0"/>
        <w:iCs w:val="0"/>
        <w:sz w:val="21"/>
        <w:szCs w:val="21"/>
        <w:u w:val="none"/>
      </w:rPr>
    </w:lvl>
    <w:lvl w:ilvl="4">
      <w:start w:val="1"/>
      <w:numFmt w:val="bullet"/>
      <w:lvlText w:val=""/>
      <w:lvlJc w:val="left"/>
      <w:pPr>
        <w:tabs>
          <w:tab w:val="left" w:pos="568"/>
        </w:tabs>
        <w:ind w:left="568" w:hanging="284"/>
      </w:pPr>
      <w:rPr>
        <w:rFonts w:ascii="Wingdings" w:eastAsia="宋体" w:hAnsi="Wingdings" w:hint="default"/>
        <w:b w:val="0"/>
        <w:i w:val="0"/>
        <w:color w:val="auto"/>
        <w:position w:val="3"/>
        <w:sz w:val="13"/>
        <w:szCs w:val="13"/>
      </w:rPr>
    </w:lvl>
    <w:lvl w:ilvl="5">
      <w:start w:val="1"/>
      <w:numFmt w:val="decimal"/>
      <w:lvlText w:val="%6."/>
      <w:lvlJc w:val="left"/>
      <w:pPr>
        <w:tabs>
          <w:tab w:val="left" w:pos="1985"/>
        </w:tabs>
        <w:ind w:left="1985" w:hanging="284"/>
      </w:pPr>
      <w:rPr>
        <w:rFonts w:ascii="Times New Roman" w:hAnsi="Times New Roman" w:cs="Book Antiqua" w:hint="default"/>
        <w:color w:val="auto"/>
        <w:spacing w:val="0"/>
        <w:w w:val="100"/>
        <w:position w:val="1"/>
        <w:sz w:val="21"/>
        <w:szCs w:val="21"/>
      </w:rPr>
    </w:lvl>
    <w:lvl w:ilvl="6">
      <w:start w:val="1"/>
      <w:numFmt w:val="decimal"/>
      <w:lvlText w:val="%7."/>
      <w:lvlJc w:val="left"/>
      <w:pPr>
        <w:tabs>
          <w:tab w:val="left" w:pos="2359"/>
        </w:tabs>
        <w:ind w:left="2359" w:hanging="284"/>
      </w:pPr>
      <w:rPr>
        <w:rFonts w:ascii="Times New Roman" w:hAnsi="Times New Roman" w:cs="Book Antiqua" w:hint="default"/>
        <w:color w:val="auto"/>
        <w:spacing w:val="0"/>
        <w:w w:val="100"/>
        <w:position w:val="1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left" w:pos="454"/>
        </w:tabs>
        <w:ind w:left="454" w:hanging="284"/>
      </w:pPr>
      <w:rPr>
        <w:rFonts w:ascii="Times New Roman" w:hAnsi="Times New Roman" w:cs="Book Antiqua" w:hint="default"/>
        <w:color w:val="auto"/>
        <w:spacing w:val="0"/>
        <w:w w:val="100"/>
        <w:position w:val="1"/>
        <w:sz w:val="18"/>
        <w:szCs w:val="18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9D2939"/>
    <w:rsid w:val="6C9D293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0" w:uiPriority="0" w:qFormat="1"/>
    <w:lsdException w:name="heading 6" w:semiHidden="0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 w:qFormat="1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spacing w:line="360" w:lineRule="auto"/>
      <w:jc w:val="both"/>
    </w:pPr>
    <w:rPr>
      <w:rFonts w:ascii="Times New Roman" w:eastAsia="宋体" w:hAnsi="Times New Roman" w:cs="Times New Roman"/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semiHidden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paragraph" w:styleId="Heading5">
    <w:name w:val="heading 5"/>
    <w:basedOn w:val="Normal"/>
    <w:next w:val="TB-"/>
    <w:unhideWhenUsed/>
    <w:qFormat/>
    <w:pPr>
      <w:keepNext/>
      <w:keepLines/>
      <w:numPr>
        <w:ilvl w:val="4"/>
        <w:numId w:val="1"/>
      </w:numPr>
      <w:spacing w:before="120" w:after="120"/>
      <w:ind w:left="1008" w:hanging="1008"/>
      <w:outlineLvl w:val="4"/>
    </w:pPr>
    <w:rPr>
      <w:rFonts w:ascii="黑体" w:eastAsia="黑体" w:hAnsi="黑体"/>
      <w:b/>
    </w:rPr>
  </w:style>
  <w:style w:type="paragraph" w:styleId="Heading6">
    <w:name w:val="heading 6"/>
    <w:basedOn w:val="Normal"/>
    <w:next w:val="TB-"/>
    <w:unhideWhenUsed/>
    <w:qFormat/>
    <w:pPr>
      <w:keepNext/>
      <w:keepLines/>
      <w:numPr>
        <w:ilvl w:val="5"/>
        <w:numId w:val="1"/>
      </w:numPr>
      <w:spacing w:before="120" w:after="120"/>
      <w:outlineLvl w:val="5"/>
    </w:pPr>
    <w:rPr>
      <w:rFonts w:ascii="黑体" w:eastAsia="黑体" w:hAnsi="黑体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B-">
    <w:name w:val="TB-正文缩进"/>
    <w:basedOn w:val="Normal"/>
    <w:qFormat/>
    <w:pPr>
      <w:ind w:firstLine="200" w:firstLineChars="200"/>
    </w:pPr>
    <w:rPr>
      <w:rFonts w:eastAsia="宋体"/>
      <w:bCs/>
      <w:color w:val="000000"/>
      <w:kern w:val="0"/>
      <w:szCs w:val="28"/>
    </w:rPr>
  </w:style>
  <w:style w:type="paragraph" w:styleId="Date">
    <w:name w:val="Date"/>
    <w:basedOn w:val="Normal"/>
    <w:next w:val="Normal"/>
    <w:qFormat/>
    <w:pPr>
      <w:ind w:left="100" w:leftChars="2500"/>
    </w:pPr>
  </w:style>
  <w:style w:type="paragraph" w:customStyle="1" w:styleId="a">
    <w:name w:val="四级标题"/>
    <w:basedOn w:val="Date"/>
    <w:next w:val="Normal"/>
    <w:qFormat/>
    <w:pPr>
      <w:ind w:left="0" w:leftChars="0"/>
    </w:pPr>
  </w:style>
  <w:style w:type="paragraph" w:customStyle="1" w:styleId="TableHeading">
    <w:name w:val="Table Heading"/>
    <w:basedOn w:val="Normal"/>
    <w:qFormat/>
    <w:pPr>
      <w:widowControl w:val="0"/>
      <w:topLinePunct/>
      <w:adjustRightInd w:val="0"/>
      <w:snapToGrid w:val="0"/>
      <w:spacing w:before="80" w:after="80" w:line="240" w:lineRule="atLeast"/>
      <w:jc w:val="left"/>
    </w:pPr>
    <w:rPr>
      <w:rFonts w:ascii="Book Antiqua" w:eastAsia="黑体" w:hAnsi="Book Antiqua"/>
      <w:bCs/>
      <w:kern w:val="0"/>
      <w:sz w:val="21"/>
      <w:szCs w:val="22"/>
    </w:rPr>
  </w:style>
  <w:style w:type="paragraph" w:customStyle="1" w:styleId="TableText">
    <w:name w:val="Table Text"/>
    <w:basedOn w:val="Normal"/>
    <w:qFormat/>
    <w:pPr>
      <w:widowControl w:val="0"/>
      <w:topLinePunct/>
      <w:adjustRightInd w:val="0"/>
      <w:snapToGrid w:val="0"/>
      <w:spacing w:before="80" w:after="80" w:line="240" w:lineRule="atLeast"/>
      <w:jc w:val="left"/>
    </w:pPr>
    <w:rPr>
      <w:rFonts w:eastAsia="宋体"/>
      <w:kern w:val="0"/>
      <w:sz w:val="21"/>
      <w:szCs w:val="22"/>
    </w:rPr>
  </w:style>
  <w:style w:type="paragraph" w:customStyle="1" w:styleId="ItemListinTable">
    <w:name w:val="Item List in Table"/>
    <w:basedOn w:val="Normal"/>
    <w:qFormat/>
    <w:pPr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ascii="Calibri" w:hAnsi="Calibri" w:cs="Arial"/>
      <w:color w:val="auto"/>
      <w:kern w:val="0"/>
      <w:sz w:val="21"/>
      <w:szCs w:val="21"/>
    </w:rPr>
  </w:style>
  <w:style w:type="paragraph" w:customStyle="1" w:styleId="WPSOffice2">
    <w:name w:val="WPSOffice手动目录 2"/>
    <w:pPr>
      <w:ind w:leftChars="200"/>
    </w:pPr>
    <w:rPr>
      <w:sz w:val="20"/>
      <w:szCs w:val="20"/>
    </w:rPr>
  </w:style>
  <w:style w:type="paragraph" w:customStyle="1" w:styleId="WPSOffice1">
    <w:name w:val="WPSOffice手动目录 1"/>
    <w:pPr>
      <w:ind w:leftChars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hyperlink" Target="https://d.book118.com/617050025014006031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0</Words>
  <Characters>0</Characters>
  <Application>Microsoft Office Word</Application>
  <DocSecurity>0</DocSecurity>
  <Lines>0</Lines>
  <Paragraphs>0</Paragraphs>
  <ScaleCrop>false</ScaleCrop>
  <Company>大桥局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2024-01-14T04:34:00Z</dcterms:created>
  <dcterms:modified xsi:type="dcterms:W3CDTF">2024-01-14T04:38:51Z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E4C01ED6108145B9B2D801D92FF67307</vt:lpwstr>
  </property>
  <property fmtid="{D5CDD505-2E9C-101B-9397-08002B2CF9AE}" pid="3" name="KSOProductBuildVer">
    <vt:lpwstr>2052-11.8.2.11718</vt:lpwstr>
  </property>
</Properties>
</file>