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tbl>
      <w:tblPr>
        <w:tblStyle w:val="TableNormal"/>
        <w:tblW w:w="10504" w:type="dxa"/>
        <w:tblInd w:w="7" w:type="dxa"/>
        <w:tblBorders>
          <w:top w:val="single" w:sz="6" w:space="0" w:color="EEEEEE"/>
          <w:left w:val="single" w:sz="6" w:space="0" w:color="EEEEEE"/>
          <w:bottom w:val="single" w:sz="6" w:space="0" w:color="EEEEEE"/>
          <w:right w:val="single" w:sz="6" w:space="0" w:color="EEEEEE"/>
        </w:tblBorders>
        <w:tblLayout w:type="fixed"/>
      </w:tblPr>
      <w:tblGrid>
        <w:gridCol w:w="10504"/>
      </w:tblGrid>
      <w:tr>
        <w:tblPrEx>
          <w:tblW w:w="10504" w:type="dxa"/>
          <w:tblInd w:w="7" w:type="dxa"/>
          <w:tblBorders>
            <w:top w:val="single" w:sz="6" w:space="0" w:color="EEEEEE"/>
            <w:left w:val="single" w:sz="6" w:space="0" w:color="EEEEEE"/>
            <w:bottom w:val="single" w:sz="6" w:space="0" w:color="EEEEEE"/>
            <w:right w:val="single" w:sz="6" w:space="0" w:color="EEEEEE"/>
          </w:tblBorders>
          <w:tblLayout w:type="fixed"/>
        </w:tblPrEx>
        <w:trPr>
          <w:trHeight w:val="1680"/>
        </w:trPr>
        <w:tc>
          <w:tcPr>
            <w:tcW w:w="10504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before="90" w:line="221" w:lineRule="auto"/>
              <w:ind w:left="302" w:right="314" w:firstLine="8"/>
              <w:rPr>
                <w:rFonts w:ascii="Microsoft YaHei" w:eastAsia="Microsoft YaHei" w:hAnsi="Microsoft YaHei" w:cs="Microsoft YaHei"/>
                <w:sz w:val="21"/>
                <w:szCs w:val="21"/>
              </w:rPr>
            </w:pPr>
            <w:r>
              <w:rPr>
                <w:rFonts w:ascii="Microsoft YaHei" w:eastAsia="Microsoft YaHei" w:hAnsi="Microsoft YaHei" w:cs="Microsoft YaHei"/>
                <w:color w:val="666666"/>
                <w:sz w:val="21"/>
                <w:szCs w:val="21"/>
              </w:rPr>
              <w:t>QuestMobile数据显示，过去一年来，女性群体在移动互联网中的占比持续提高至49.5%，</w:t>
            </w:r>
            <w:r>
              <w:rPr>
                <w:rFonts w:ascii="Microsoft YaHei" w:eastAsia="Microsoft YaHei" w:hAnsi="Microsoft YaHei" w:cs="Microsoft YaHei"/>
                <w:color w:val="666666"/>
                <w:spacing w:val="-1"/>
                <w:sz w:val="21"/>
                <w:szCs w:val="21"/>
              </w:rPr>
              <w:t>截止到2024年1</w:t>
            </w:r>
            <w:r>
              <w:rPr>
                <w:rFonts w:ascii="Microsoft YaHei" w:eastAsia="Microsoft YaHei" w:hAnsi="Microsoft YaHei" w:cs="Microsoft YaHei"/>
                <w:color w:val="666666"/>
                <w:sz w:val="21"/>
                <w:szCs w:val="21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color w:val="666666"/>
                <w:sz w:val="21"/>
                <w:szCs w:val="21"/>
              </w:rPr>
              <w:t xml:space="preserve">月，女性用户月活规模达6.08亿，同比增长1.9%，这其中，90后占比最高，达19.4%，二线及以上城市用   </w:t>
            </w:r>
            <w:r>
              <w:rPr>
                <w:rFonts w:ascii="Microsoft YaHei" w:eastAsia="Microsoft YaHei" w:hAnsi="Microsoft YaHei" w:cs="Microsoft YaHei"/>
                <w:color w:val="666666"/>
                <w:sz w:val="21"/>
                <w:szCs w:val="21"/>
              </w:rPr>
              <w:t>户同比增长了6.6%。详情请看QuestMobile数</w:t>
            </w:r>
            <w:r>
              <w:rPr>
                <w:rFonts w:ascii="Microsoft YaHei" w:eastAsia="Microsoft YaHei" w:hAnsi="Microsoft YaHei" w:cs="Microsoft YaHei"/>
                <w:color w:val="666666"/>
                <w:spacing w:val="-1"/>
                <w:sz w:val="21"/>
                <w:szCs w:val="21"/>
              </w:rPr>
              <w:t>据报告</w:t>
            </w:r>
          </w:p>
        </w:tc>
      </w:tr>
    </w:tbl>
    <w:p>
      <w:pPr>
        <w:spacing w:line="298" w:lineRule="auto"/>
        <w:rPr>
          <w:rFonts w:ascii="Arial"/>
          <w:sz w:val="21"/>
        </w:rPr>
      </w:pPr>
    </w:p>
    <w:p>
      <w:pPr>
        <w:spacing w:line="5177" w:lineRule="exact"/>
      </w:pPr>
      <w:r>
        <w:rPr>
          <w:position w:val="-103"/>
        </w:rPr>
        <w:drawing>
          <wp:inline distT="0" distB="0" distL="0" distR="0">
            <wp:extent cx="6060716" cy="3287652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60716" cy="3287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before="103" w:line="285" w:lineRule="auto"/>
        <w:ind w:left="18" w:right="918" w:hanging="12"/>
        <w:outlineLvl w:val="0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b/>
          <w:bCs/>
          <w:color w:val="111111"/>
          <w:sz w:val="24"/>
          <w:szCs w:val="24"/>
        </w:rPr>
        <w:t>一、女性用户整体线上消费能力提升，同时本地生活、电影演出等线下消费</w:t>
      </w:r>
      <w:r>
        <w:rPr>
          <w:rFonts w:ascii="Microsoft YaHei" w:eastAsia="Microsoft YaHei" w:hAnsi="Microsoft YaHei" w:cs="Microsoft YaHei"/>
          <w:b/>
          <w:bCs/>
          <w:color w:val="111111"/>
          <w:spacing w:val="-1"/>
          <w:sz w:val="24"/>
          <w:szCs w:val="24"/>
        </w:rPr>
        <w:t>需求也保持增长</w:t>
      </w:r>
      <w:r>
        <w:rPr>
          <w:rFonts w:ascii="Microsoft YaHei" w:eastAsia="Microsoft YaHei" w:hAnsi="Microsoft YaHei" w:cs="Microsoft YaHei"/>
          <w:b/>
          <w:bCs/>
          <w:color w:val="11111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111111"/>
          <w:spacing w:val="-1"/>
          <w:sz w:val="21"/>
          <w:szCs w:val="21"/>
        </w:rPr>
        <w:t>1、女性群体在移动互联网中的比例持续升高，活跃用户数增至近6.1亿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5702" w:lineRule="exact"/>
      </w:pPr>
      <w:r>
        <w:rPr>
          <w:position w:val="-114"/>
        </w:rPr>
        <w:drawing>
          <wp:inline distT="0" distB="0" distL="0" distR="0">
            <wp:extent cx="6060716" cy="3621182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60716" cy="3621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702" w:lineRule="exact"/>
        <w:sectPr>
          <w:pgSz w:w="11900" w:h="16839"/>
          <w:pgMar w:top="700" w:right="679" w:bottom="0" w:left="700" w:header="0" w:footer="0" w:gutter="0"/>
          <w:cols w:space="708"/>
        </w:sectPr>
      </w:pPr>
    </w:p>
    <w:p>
      <w:pPr>
        <w:spacing w:before="41" w:line="212" w:lineRule="auto"/>
        <w:ind w:left="2" w:firstLine="8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b/>
          <w:bCs/>
          <w:color w:val="111111"/>
          <w:sz w:val="21"/>
          <w:szCs w:val="21"/>
        </w:rPr>
        <w:t>2、整体女性触网人群中90后成占比最高群体，在城际分布方面，三线及以下的下沉市场仍为主</w:t>
      </w:r>
      <w:r>
        <w:rPr>
          <w:rFonts w:ascii="Microsoft YaHei" w:eastAsia="Microsoft YaHei" w:hAnsi="Microsoft YaHei" w:cs="Microsoft YaHei"/>
          <w:b/>
          <w:bCs/>
          <w:color w:val="111111"/>
          <w:spacing w:val="-1"/>
          <w:sz w:val="21"/>
          <w:szCs w:val="21"/>
        </w:rPr>
        <w:t>力，但已呈现向高</w:t>
      </w:r>
      <w:r>
        <w:rPr>
          <w:rFonts w:ascii="Microsoft YaHei" w:eastAsia="Microsoft YaHei" w:hAnsi="Microsoft YaHei" w:cs="Microsoft YaHei"/>
          <w:b/>
          <w:bCs/>
          <w:color w:val="11111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111111"/>
          <w:spacing w:val="-1"/>
          <w:sz w:val="21"/>
          <w:szCs w:val="21"/>
        </w:rPr>
        <w:t>线级城市转移的趋势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5972" w:lineRule="exact"/>
      </w:pPr>
      <w:r>
        <w:rPr>
          <w:position w:val="-119"/>
        </w:rPr>
        <w:drawing>
          <wp:inline distT="0" distB="0" distL="0" distR="0">
            <wp:extent cx="6060716" cy="3792712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60716" cy="3792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before="90" w:line="184" w:lineRule="auto"/>
        <w:ind w:left="16"/>
        <w:outlineLvl w:val="0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b/>
          <w:bCs/>
          <w:color w:val="111111"/>
          <w:spacing w:val="-1"/>
          <w:sz w:val="21"/>
          <w:szCs w:val="21"/>
        </w:rPr>
        <w:t>3、女性消费力逐年提升，2,000元以上高消费能力增长显著</w:t>
      </w:r>
    </w:p>
    <w:p>
      <w:pPr>
        <w:spacing w:line="262" w:lineRule="auto"/>
        <w:rPr>
          <w:rFonts w:ascii="Arial"/>
          <w:sz w:val="21"/>
        </w:rPr>
      </w:pPr>
    </w:p>
    <w:p>
      <w:pPr>
        <w:spacing w:before="90" w:line="184" w:lineRule="auto"/>
        <w:ind w:left="10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color w:val="111111"/>
          <w:sz w:val="21"/>
          <w:szCs w:val="21"/>
        </w:rPr>
        <w:t>QuestMobile数据显示，2024年1月，线上消费</w:t>
      </w:r>
      <w:r>
        <w:rPr>
          <w:rFonts w:ascii="Microsoft YaHei" w:eastAsia="Microsoft YaHei" w:hAnsi="Microsoft YaHei" w:cs="Microsoft YaHei"/>
          <w:color w:val="111111"/>
          <w:spacing w:val="-1"/>
          <w:sz w:val="21"/>
          <w:szCs w:val="21"/>
        </w:rPr>
        <w:t>能力在2,000元以上的女性用户占比达32.8%，同比增长2.2%。</w:t>
      </w:r>
    </w:p>
    <w:p>
      <w:pPr>
        <w:spacing w:line="277" w:lineRule="auto"/>
        <w:rPr>
          <w:rFonts w:ascii="Arial"/>
          <w:sz w:val="21"/>
        </w:rPr>
        <w:sectPr>
          <w:pgSz w:w="11900" w:h="16839"/>
          <w:pgMar w:top="1244" w:right="726" w:bottom="0" w:left="700" w:header="0" w:footer="0" w:gutter="0"/>
          <w:pgNumType w:start="2"/>
          <w:cols w:space="708"/>
        </w:sectPr>
      </w:pPr>
    </w:p>
    <w:p>
      <w:pPr>
        <w:spacing w:line="5792" w:lineRule="exact"/>
      </w:pPr>
      <w:r>
        <w:rPr>
          <w:position w:val="-115"/>
        </w:rPr>
        <w:drawing>
          <wp:inline distT="0" distB="0" distL="0" distR="0">
            <wp:extent cx="6060716" cy="3678359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60716" cy="3678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792" w:lineRule="exact"/>
        <w:sectPr>
          <w:type w:val="nextPage"/>
          <w:pgSz w:w="11900" w:h="16839"/>
          <w:pgMar w:top="1244" w:right="726" w:bottom="0" w:left="700" w:header="0" w:footer="0" w:gutter="0"/>
          <w:pgNumType w:start="3"/>
          <w:cols w:space="708"/>
          <w:titlePg w:val="0"/>
        </w:sectPr>
      </w:pPr>
    </w:p>
    <w:p>
      <w:pPr>
        <w:pStyle w:val="BodyText"/>
        <w:spacing w:before="43" w:line="211" w:lineRule="auto"/>
        <w:ind w:left="3"/>
      </w:pPr>
      <w:r>
        <w:rPr>
          <w:b/>
          <w:bCs/>
          <w:color w:val="111111"/>
        </w:rPr>
        <w:t>4、购机选择上，女性消费者更加关注时尚设计、拍照体验及娱乐功能，OPPO成为其首要选择，同时vivo与</w:t>
      </w:r>
      <w:r>
        <w:rPr>
          <w:b/>
          <w:bCs/>
          <w:color w:val="111111"/>
          <w:spacing w:val="-1"/>
        </w:rPr>
        <w:t>荣耀</w:t>
      </w:r>
      <w:r>
        <w:rPr>
          <w:b/>
          <w:bCs/>
          <w:color w:val="111111"/>
        </w:rPr>
        <w:t xml:space="preserve"> </w:t>
      </w:r>
      <w:r>
        <w:rPr>
          <w:b/>
          <w:bCs/>
          <w:color w:val="111111"/>
          <w:spacing w:val="-1"/>
        </w:rPr>
        <w:t>也受到女性用户的青睐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5987" w:lineRule="exact"/>
      </w:pPr>
      <w:r>
        <w:rPr>
          <w:position w:val="-119"/>
        </w:rPr>
        <w:drawing>
          <wp:inline distT="0" distB="0" distL="0" distR="0">
            <wp:extent cx="6060716" cy="3802241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60716" cy="3802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91" w:line="212" w:lineRule="auto"/>
        <w:ind w:left="2" w:right="47" w:firstLine="14"/>
      </w:pPr>
      <w:r>
        <w:rPr>
          <w:b/>
          <w:bCs/>
          <w:color w:val="111111"/>
          <w:spacing w:val="-1"/>
        </w:rPr>
        <w:t>5、女性用户注重运动健身与健康管理，喜欢随时拍照记录生活，对影视剧综有广泛的兴趣，在拍照、追剧之余，</w:t>
      </w:r>
      <w:r>
        <w:rPr>
          <w:b/>
          <w:bCs/>
          <w:color w:val="111111"/>
        </w:rPr>
        <w:t xml:space="preserve"> </w:t>
      </w:r>
      <w:r>
        <w:rPr>
          <w:b/>
          <w:bCs/>
          <w:color w:val="111111"/>
          <w:spacing w:val="-1"/>
        </w:rPr>
        <w:t>还热衷于讨论、分享，体现较强的社交属性</w:t>
      </w:r>
    </w:p>
    <w:p>
      <w:pPr>
        <w:spacing w:line="277" w:lineRule="auto"/>
        <w:rPr>
          <w:rFonts w:ascii="Arial"/>
          <w:sz w:val="21"/>
        </w:rPr>
        <w:sectPr>
          <w:pgSz w:w="11900" w:h="16839"/>
          <w:pgMar w:top="1245" w:right="764" w:bottom="0" w:left="700" w:header="0" w:footer="0" w:gutter="0"/>
          <w:pgNumType w:start="4"/>
          <w:cols w:space="708"/>
        </w:sectPr>
      </w:pPr>
    </w:p>
    <w:p>
      <w:pPr>
        <w:spacing w:line="5717" w:lineRule="exact"/>
      </w:pPr>
      <w:r>
        <w:rPr>
          <w:position w:val="-114"/>
        </w:rPr>
        <w:drawing>
          <wp:inline distT="0" distB="0" distL="0" distR="0">
            <wp:extent cx="6060716" cy="3630711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60716" cy="3630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717" w:lineRule="exact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https://d.book118.com/617054124201006050</w:t>
        </w:r>
      </w:hyperlink>
    </w:p>
    <w:p>
      <w:pPr>
        <w:spacing w:line="5717" w:lineRule="exact"/>
      </w:pPr>
    </w:p>
    <w:sectPr>
      <w:type w:val="nextPage"/>
      <w:pgSz w:w="11900" w:h="16839"/>
      <w:pgMar w:top="1245" w:right="764" w:bottom="0" w:left="700" w:header="0" w:footer="0" w:gutter="0"/>
      <w:pgNumType w:start="5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17054124201006050" TargetMode="Externa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2024-03-09T16:14:46Z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2024-03-09T16:36:08Z</vt:filetime>
  </property>
  <property fmtid="{D5CDD505-2E9C-101B-9397-08002B2CF9AE}" pid="3" name="CRO">
    <vt:lpwstr>wqlLaW5nc29mdCBQREYgdG8gV1BTIDkw</vt:lpwstr>
  </property>
</Properties>
</file>