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电动滑板车项目概述报告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18" w:history="1">
        <w:r>
          <w:rPr>
            <w:rFonts w:ascii="仿宋" w:eastAsia="仿宋" w:hAnsi="仿宋" w:cs="仿宋" w:hint="eastAsia"/>
            <w:lang w:eastAsia="zh-CN"/>
          </w:rPr>
          <w:t>概论</w:t>
        </w:r>
        <w:r>
          <w:tab/>
        </w:r>
        <w:r>
          <w:fldChar w:fldCharType="begin"/>
        </w:r>
        <w:r>
          <w:instrText xml:space="preserve"> PAGEREF _Toc10418 \h </w:instrText>
        </w:r>
        <w:r>
          <w:fldChar w:fldCharType="separate"/>
        </w:r>
        <w:r>
          <w:t>3</w:t>
        </w:r>
        <w:r>
          <w:fldChar w:fldCharType="end"/>
        </w:r>
      </w:hyperlink>
    </w:p>
    <w:p>
      <w:pPr>
        <w:pStyle w:val="TOC1"/>
        <w:tabs>
          <w:tab w:val="right" w:leader="dot" w:pos="8306"/>
        </w:tabs>
      </w:pPr>
      <w:hyperlink w:anchor="_Toc18442" w:history="1">
        <w:r>
          <w:rPr>
            <w:rFonts w:ascii="仿宋" w:eastAsia="仿宋" w:hAnsi="仿宋" w:cs="仿宋" w:hint="eastAsia"/>
            <w:lang w:eastAsia="zh-CN"/>
          </w:rPr>
          <w:t>一、电动滑板车项目基本情况</w:t>
        </w:r>
        <w:r>
          <w:tab/>
        </w:r>
        <w:r>
          <w:fldChar w:fldCharType="begin"/>
        </w:r>
        <w:r>
          <w:instrText xml:space="preserve"> PAGEREF _Toc18442 \h </w:instrText>
        </w:r>
        <w:r>
          <w:fldChar w:fldCharType="separate"/>
        </w:r>
        <w:r>
          <w:t>3</w:t>
        </w:r>
        <w:r>
          <w:fldChar w:fldCharType="end"/>
        </w:r>
      </w:hyperlink>
    </w:p>
    <w:p>
      <w:pPr>
        <w:pStyle w:val="TOC2"/>
        <w:tabs>
          <w:tab w:val="right" w:leader="dot" w:pos="8306"/>
        </w:tabs>
      </w:pPr>
      <w:hyperlink w:anchor="_Toc6703" w:history="1">
        <w:r>
          <w:rPr>
            <w:rFonts w:ascii="仿宋" w:eastAsia="仿宋" w:hAnsi="仿宋" w:cs="仿宋" w:hint="eastAsia"/>
            <w:lang w:eastAsia="zh-CN"/>
          </w:rPr>
          <w:t>(一)、电动滑板车项目名称及建设性质</w:t>
        </w:r>
        <w:r>
          <w:tab/>
        </w:r>
        <w:r>
          <w:fldChar w:fldCharType="begin"/>
        </w:r>
        <w:r>
          <w:instrText xml:space="preserve"> PAGEREF _Toc6703 \h </w:instrText>
        </w:r>
        <w:r>
          <w:fldChar w:fldCharType="separate"/>
        </w:r>
        <w:r>
          <w:t>3</w:t>
        </w:r>
        <w:r>
          <w:fldChar w:fldCharType="end"/>
        </w:r>
      </w:hyperlink>
    </w:p>
    <w:p>
      <w:pPr>
        <w:pStyle w:val="TOC2"/>
        <w:tabs>
          <w:tab w:val="right" w:leader="dot" w:pos="8306"/>
        </w:tabs>
      </w:pPr>
      <w:hyperlink w:anchor="_Toc5863" w:history="1">
        <w:r>
          <w:rPr>
            <w:rFonts w:ascii="仿宋" w:eastAsia="仿宋" w:hAnsi="仿宋" w:cs="仿宋" w:hint="eastAsia"/>
            <w:lang w:eastAsia="zh-CN"/>
          </w:rPr>
          <w:t>(二)、电动滑板车项目承办单位</w:t>
        </w:r>
        <w:r>
          <w:tab/>
        </w:r>
        <w:r>
          <w:fldChar w:fldCharType="begin"/>
        </w:r>
        <w:r>
          <w:instrText xml:space="preserve"> PAGEREF _Toc5863 \h </w:instrText>
        </w:r>
        <w:r>
          <w:fldChar w:fldCharType="separate"/>
        </w:r>
        <w:r>
          <w:t>4</w:t>
        </w:r>
        <w:r>
          <w:fldChar w:fldCharType="end"/>
        </w:r>
      </w:hyperlink>
    </w:p>
    <w:p>
      <w:pPr>
        <w:pStyle w:val="TOC2"/>
        <w:tabs>
          <w:tab w:val="right" w:leader="dot" w:pos="8306"/>
        </w:tabs>
      </w:pPr>
      <w:hyperlink w:anchor="_Toc31797" w:history="1">
        <w:r>
          <w:rPr>
            <w:rFonts w:ascii="仿宋" w:eastAsia="仿宋" w:hAnsi="仿宋" w:cs="仿宋" w:hint="eastAsia"/>
            <w:lang w:eastAsia="zh-CN"/>
          </w:rPr>
          <w:t>(三)、战略合作单位</w:t>
        </w:r>
        <w:r>
          <w:tab/>
        </w:r>
        <w:r>
          <w:fldChar w:fldCharType="begin"/>
        </w:r>
        <w:r>
          <w:instrText xml:space="preserve"> PAGEREF _Toc31797 \h </w:instrText>
        </w:r>
        <w:r>
          <w:fldChar w:fldCharType="separate"/>
        </w:r>
        <w:r>
          <w:t>4</w:t>
        </w:r>
        <w:r>
          <w:fldChar w:fldCharType="end"/>
        </w:r>
      </w:hyperlink>
    </w:p>
    <w:p>
      <w:pPr>
        <w:pStyle w:val="TOC2"/>
        <w:tabs>
          <w:tab w:val="right" w:leader="dot" w:pos="8306"/>
        </w:tabs>
      </w:pPr>
      <w:hyperlink w:anchor="_Toc23321" w:history="1">
        <w:r>
          <w:rPr>
            <w:rFonts w:ascii="仿宋" w:eastAsia="仿宋" w:hAnsi="仿宋" w:cs="仿宋" w:hint="eastAsia"/>
            <w:lang w:eastAsia="zh-CN"/>
          </w:rPr>
          <w:t>(四)、电动滑板车项目提出的理由</w:t>
        </w:r>
        <w:r>
          <w:tab/>
        </w:r>
        <w:r>
          <w:fldChar w:fldCharType="begin"/>
        </w:r>
        <w:r>
          <w:instrText xml:space="preserve"> PAGEREF _Toc23321 \h </w:instrText>
        </w:r>
        <w:r>
          <w:fldChar w:fldCharType="separate"/>
        </w:r>
        <w:r>
          <w:t>4</w:t>
        </w:r>
        <w:r>
          <w:fldChar w:fldCharType="end"/>
        </w:r>
      </w:hyperlink>
    </w:p>
    <w:p>
      <w:pPr>
        <w:pStyle w:val="TOC2"/>
        <w:tabs>
          <w:tab w:val="right" w:leader="dot" w:pos="8306"/>
        </w:tabs>
      </w:pPr>
      <w:hyperlink w:anchor="_Toc28278" w:history="1">
        <w:r>
          <w:rPr>
            <w:rFonts w:ascii="仿宋" w:eastAsia="仿宋" w:hAnsi="仿宋" w:cs="仿宋" w:hint="eastAsia"/>
            <w:lang w:eastAsia="zh-CN"/>
          </w:rPr>
          <w:t>(五)、原材料供应</w:t>
        </w:r>
        <w:r>
          <w:tab/>
        </w:r>
        <w:r>
          <w:fldChar w:fldCharType="begin"/>
        </w:r>
        <w:r>
          <w:instrText xml:space="preserve"> PAGEREF _Toc28278 \h </w:instrText>
        </w:r>
        <w:r>
          <w:fldChar w:fldCharType="separate"/>
        </w:r>
        <w:r>
          <w:t>5</w:t>
        </w:r>
        <w:r>
          <w:fldChar w:fldCharType="end"/>
        </w:r>
      </w:hyperlink>
    </w:p>
    <w:p>
      <w:pPr>
        <w:pStyle w:val="TOC2"/>
        <w:tabs>
          <w:tab w:val="right" w:leader="dot" w:pos="8306"/>
        </w:tabs>
      </w:pPr>
      <w:hyperlink w:anchor="_Toc20208" w:history="1">
        <w:r>
          <w:rPr>
            <w:rFonts w:ascii="仿宋" w:eastAsia="仿宋" w:hAnsi="仿宋" w:cs="仿宋" w:hint="eastAsia"/>
            <w:lang w:eastAsia="zh-CN"/>
          </w:rPr>
          <w:t>(六)、电动滑板车项目能耗分析</w:t>
        </w:r>
        <w:r>
          <w:tab/>
        </w:r>
        <w:r>
          <w:fldChar w:fldCharType="begin"/>
        </w:r>
        <w:r>
          <w:instrText xml:space="preserve"> PAGEREF _Toc20208 \h </w:instrText>
        </w:r>
        <w:r>
          <w:fldChar w:fldCharType="separate"/>
        </w:r>
        <w:r>
          <w:t>6</w:t>
        </w:r>
        <w:r>
          <w:fldChar w:fldCharType="end"/>
        </w:r>
      </w:hyperlink>
    </w:p>
    <w:p>
      <w:pPr>
        <w:pStyle w:val="TOC2"/>
        <w:tabs>
          <w:tab w:val="right" w:leader="dot" w:pos="8306"/>
        </w:tabs>
      </w:pPr>
      <w:hyperlink w:anchor="_Toc7621" w:history="1">
        <w:r>
          <w:rPr>
            <w:rFonts w:ascii="仿宋" w:eastAsia="仿宋" w:hAnsi="仿宋" w:cs="仿宋" w:hint="eastAsia"/>
            <w:lang w:eastAsia="zh-CN"/>
          </w:rPr>
          <w:t>(七)、环境保护</w:t>
        </w:r>
        <w:r>
          <w:tab/>
        </w:r>
        <w:r>
          <w:fldChar w:fldCharType="begin"/>
        </w:r>
        <w:r>
          <w:instrText xml:space="preserve"> PAGEREF _Toc7621 \h </w:instrText>
        </w:r>
        <w:r>
          <w:fldChar w:fldCharType="separate"/>
        </w:r>
        <w:r>
          <w:t>7</w:t>
        </w:r>
        <w:r>
          <w:fldChar w:fldCharType="end"/>
        </w:r>
      </w:hyperlink>
    </w:p>
    <w:p>
      <w:pPr>
        <w:pStyle w:val="TOC2"/>
        <w:tabs>
          <w:tab w:val="right" w:leader="dot" w:pos="8306"/>
        </w:tabs>
      </w:pPr>
      <w:hyperlink w:anchor="_Toc24750" w:history="1">
        <w:r>
          <w:rPr>
            <w:rFonts w:ascii="仿宋" w:eastAsia="仿宋" w:hAnsi="仿宋" w:cs="仿宋" w:hint="eastAsia"/>
            <w:lang w:eastAsia="zh-CN"/>
          </w:rPr>
          <w:t>(八)、电动滑板车项目建设符合性</w:t>
        </w:r>
        <w:r>
          <w:tab/>
        </w:r>
        <w:r>
          <w:fldChar w:fldCharType="begin"/>
        </w:r>
        <w:r>
          <w:instrText xml:space="preserve"> PAGEREF _Toc24750 \h </w:instrText>
        </w:r>
        <w:r>
          <w:fldChar w:fldCharType="separate"/>
        </w:r>
        <w:r>
          <w:t>7</w:t>
        </w:r>
        <w:r>
          <w:fldChar w:fldCharType="end"/>
        </w:r>
      </w:hyperlink>
    </w:p>
    <w:p>
      <w:pPr>
        <w:pStyle w:val="TOC2"/>
        <w:tabs>
          <w:tab w:val="right" w:leader="dot" w:pos="8306"/>
        </w:tabs>
      </w:pPr>
      <w:hyperlink w:anchor="_Toc18726" w:history="1">
        <w:r>
          <w:rPr>
            <w:rFonts w:ascii="仿宋" w:eastAsia="仿宋" w:hAnsi="仿宋" w:cs="仿宋" w:hint="eastAsia"/>
            <w:lang w:eastAsia="zh-CN"/>
          </w:rPr>
          <w:t>(九)、电动滑板车项目进度规划</w:t>
        </w:r>
        <w:r>
          <w:tab/>
        </w:r>
        <w:r>
          <w:fldChar w:fldCharType="begin"/>
        </w:r>
        <w:r>
          <w:instrText xml:space="preserve"> PAGEREF _Toc18726 \h </w:instrText>
        </w:r>
        <w:r>
          <w:fldChar w:fldCharType="separate"/>
        </w:r>
        <w:r>
          <w:t>9</w:t>
        </w:r>
        <w:r>
          <w:fldChar w:fldCharType="end"/>
        </w:r>
      </w:hyperlink>
    </w:p>
    <w:p>
      <w:pPr>
        <w:pStyle w:val="TOC2"/>
        <w:tabs>
          <w:tab w:val="right" w:leader="dot" w:pos="8306"/>
        </w:tabs>
      </w:pPr>
      <w:hyperlink w:anchor="_Toc32208" w:history="1">
        <w:r>
          <w:rPr>
            <w:rFonts w:ascii="仿宋" w:eastAsia="仿宋" w:hAnsi="仿宋" w:cs="仿宋" w:hint="eastAsia"/>
            <w:lang w:eastAsia="zh-CN"/>
          </w:rPr>
          <w:t>(十)、投资估算及经济效益分析</w:t>
        </w:r>
        <w:r>
          <w:tab/>
        </w:r>
        <w:r>
          <w:fldChar w:fldCharType="begin"/>
        </w:r>
        <w:r>
          <w:instrText xml:space="preserve"> PAGEREF _Toc32208 \h </w:instrText>
        </w:r>
        <w:r>
          <w:fldChar w:fldCharType="separate"/>
        </w:r>
        <w:r>
          <w:t>10</w:t>
        </w:r>
        <w:r>
          <w:fldChar w:fldCharType="end"/>
        </w:r>
      </w:hyperlink>
    </w:p>
    <w:p>
      <w:pPr>
        <w:pStyle w:val="TOC2"/>
        <w:tabs>
          <w:tab w:val="right" w:leader="dot" w:pos="8306"/>
        </w:tabs>
      </w:pPr>
      <w:hyperlink w:anchor="_Toc20621" w:history="1">
        <w:r>
          <w:rPr>
            <w:rFonts w:ascii="仿宋" w:eastAsia="仿宋" w:hAnsi="仿宋" w:cs="仿宋" w:hint="eastAsia"/>
            <w:lang w:eastAsia="zh-CN"/>
          </w:rPr>
          <w:t>(十一)、报告说明</w:t>
        </w:r>
        <w:r>
          <w:tab/>
        </w:r>
        <w:r>
          <w:fldChar w:fldCharType="begin"/>
        </w:r>
        <w:r>
          <w:instrText xml:space="preserve"> PAGEREF _Toc20621 \h </w:instrText>
        </w:r>
        <w:r>
          <w:fldChar w:fldCharType="separate"/>
        </w:r>
        <w:r>
          <w:t>11</w:t>
        </w:r>
        <w:r>
          <w:fldChar w:fldCharType="end"/>
        </w:r>
      </w:hyperlink>
    </w:p>
    <w:p>
      <w:pPr>
        <w:pStyle w:val="TOC2"/>
        <w:tabs>
          <w:tab w:val="right" w:leader="dot" w:pos="8306"/>
        </w:tabs>
      </w:pPr>
      <w:hyperlink w:anchor="_Toc5466" w:history="1">
        <w:r>
          <w:rPr>
            <w:rFonts w:ascii="仿宋" w:eastAsia="仿宋" w:hAnsi="仿宋" w:cs="仿宋" w:hint="eastAsia"/>
            <w:lang w:eastAsia="zh-CN"/>
          </w:rPr>
          <w:t>(十二)、电动滑板车项目评价</w:t>
        </w:r>
        <w:r>
          <w:tab/>
        </w:r>
        <w:r>
          <w:fldChar w:fldCharType="begin"/>
        </w:r>
        <w:r>
          <w:instrText xml:space="preserve"> PAGEREF _Toc5466 \h </w:instrText>
        </w:r>
        <w:r>
          <w:fldChar w:fldCharType="separate"/>
        </w:r>
        <w:r>
          <w:t>12</w:t>
        </w:r>
        <w:r>
          <w:fldChar w:fldCharType="end"/>
        </w:r>
      </w:hyperlink>
    </w:p>
    <w:p>
      <w:pPr>
        <w:pStyle w:val="TOC1"/>
        <w:tabs>
          <w:tab w:val="right" w:leader="dot" w:pos="8306"/>
        </w:tabs>
      </w:pPr>
      <w:hyperlink w:anchor="_Toc8797" w:history="1">
        <w:r>
          <w:rPr>
            <w:rFonts w:ascii="仿宋" w:eastAsia="仿宋" w:hAnsi="仿宋" w:cs="仿宋" w:hint="eastAsia"/>
            <w:lang w:eastAsia="zh-CN"/>
          </w:rPr>
          <w:t>二、电动滑板车项目选址说明</w:t>
        </w:r>
        <w:r>
          <w:tab/>
        </w:r>
        <w:r>
          <w:fldChar w:fldCharType="begin"/>
        </w:r>
        <w:r>
          <w:instrText xml:space="preserve"> PAGEREF _Toc8797 \h </w:instrText>
        </w:r>
        <w:r>
          <w:fldChar w:fldCharType="separate"/>
        </w:r>
        <w:r>
          <w:t>14</w:t>
        </w:r>
        <w:r>
          <w:fldChar w:fldCharType="end"/>
        </w:r>
      </w:hyperlink>
    </w:p>
    <w:p>
      <w:pPr>
        <w:pStyle w:val="TOC2"/>
        <w:tabs>
          <w:tab w:val="right" w:leader="dot" w:pos="8306"/>
        </w:tabs>
      </w:pPr>
      <w:hyperlink w:anchor="_Toc29124" w:history="1">
        <w:r>
          <w:rPr>
            <w:rFonts w:ascii="仿宋" w:eastAsia="仿宋" w:hAnsi="仿宋" w:cs="仿宋" w:hint="eastAsia"/>
            <w:lang w:eastAsia="zh-CN"/>
          </w:rPr>
          <w:t>(一)、电动滑板车项目选址</w:t>
        </w:r>
        <w:r>
          <w:tab/>
        </w:r>
        <w:r>
          <w:fldChar w:fldCharType="begin"/>
        </w:r>
        <w:r>
          <w:instrText xml:space="preserve"> PAGEREF _Toc29124 \h </w:instrText>
        </w:r>
        <w:r>
          <w:fldChar w:fldCharType="separate"/>
        </w:r>
        <w:r>
          <w:t>14</w:t>
        </w:r>
        <w:r>
          <w:fldChar w:fldCharType="end"/>
        </w:r>
      </w:hyperlink>
    </w:p>
    <w:p>
      <w:pPr>
        <w:pStyle w:val="TOC2"/>
        <w:tabs>
          <w:tab w:val="right" w:leader="dot" w:pos="8306"/>
        </w:tabs>
      </w:pPr>
      <w:hyperlink w:anchor="_Toc17963" w:history="1">
        <w:r>
          <w:rPr>
            <w:rFonts w:ascii="仿宋" w:eastAsia="仿宋" w:hAnsi="仿宋" w:cs="仿宋" w:hint="eastAsia"/>
            <w:lang w:eastAsia="zh-CN"/>
          </w:rPr>
          <w:t>(二)、用地控制指标</w:t>
        </w:r>
        <w:r>
          <w:tab/>
        </w:r>
        <w:r>
          <w:fldChar w:fldCharType="begin"/>
        </w:r>
        <w:r>
          <w:instrText xml:space="preserve"> PAGEREF _Toc17963 \h </w:instrText>
        </w:r>
        <w:r>
          <w:fldChar w:fldCharType="separate"/>
        </w:r>
        <w:r>
          <w:t>14</w:t>
        </w:r>
        <w:r>
          <w:fldChar w:fldCharType="end"/>
        </w:r>
      </w:hyperlink>
    </w:p>
    <w:p>
      <w:pPr>
        <w:pStyle w:val="TOC2"/>
        <w:tabs>
          <w:tab w:val="right" w:leader="dot" w:pos="8306"/>
        </w:tabs>
      </w:pPr>
      <w:hyperlink w:anchor="_Toc20301" w:history="1">
        <w:r>
          <w:rPr>
            <w:rFonts w:ascii="仿宋" w:eastAsia="仿宋" w:hAnsi="仿宋" w:cs="仿宋" w:hint="eastAsia"/>
            <w:lang w:eastAsia="zh-CN"/>
          </w:rPr>
          <w:t>(三)、节约用地措施</w:t>
        </w:r>
        <w:r>
          <w:tab/>
        </w:r>
        <w:r>
          <w:fldChar w:fldCharType="begin"/>
        </w:r>
        <w:r>
          <w:instrText xml:space="preserve"> PAGEREF _Toc20301 \h </w:instrText>
        </w:r>
        <w:r>
          <w:fldChar w:fldCharType="separate"/>
        </w:r>
        <w:r>
          <w:t>15</w:t>
        </w:r>
        <w:r>
          <w:fldChar w:fldCharType="end"/>
        </w:r>
      </w:hyperlink>
    </w:p>
    <w:p>
      <w:pPr>
        <w:pStyle w:val="TOC2"/>
        <w:tabs>
          <w:tab w:val="right" w:leader="dot" w:pos="8306"/>
        </w:tabs>
      </w:pPr>
      <w:hyperlink w:anchor="_Toc30293" w:history="1">
        <w:r>
          <w:rPr>
            <w:rFonts w:ascii="仿宋" w:eastAsia="仿宋" w:hAnsi="仿宋" w:cs="仿宋" w:hint="eastAsia"/>
            <w:lang w:eastAsia="zh-CN"/>
          </w:rPr>
          <w:t>(四)、总图布置方案</w:t>
        </w:r>
        <w:r>
          <w:tab/>
        </w:r>
        <w:r>
          <w:fldChar w:fldCharType="begin"/>
        </w:r>
        <w:r>
          <w:instrText xml:space="preserve"> PAGEREF _Toc30293 \h </w:instrText>
        </w:r>
        <w:r>
          <w:fldChar w:fldCharType="separate"/>
        </w:r>
        <w:r>
          <w:t>16</w:t>
        </w:r>
        <w:r>
          <w:fldChar w:fldCharType="end"/>
        </w:r>
      </w:hyperlink>
    </w:p>
    <w:p>
      <w:pPr>
        <w:pStyle w:val="TOC2"/>
        <w:tabs>
          <w:tab w:val="right" w:leader="dot" w:pos="8306"/>
        </w:tabs>
      </w:pPr>
      <w:hyperlink w:anchor="_Toc31145" w:history="1">
        <w:r>
          <w:rPr>
            <w:rFonts w:ascii="仿宋" w:eastAsia="仿宋" w:hAnsi="仿宋" w:cs="仿宋" w:hint="eastAsia"/>
            <w:lang w:eastAsia="zh-CN"/>
          </w:rPr>
          <w:t>(五)、选址综合评价</w:t>
        </w:r>
        <w:r>
          <w:tab/>
        </w:r>
        <w:r>
          <w:fldChar w:fldCharType="begin"/>
        </w:r>
        <w:r>
          <w:instrText xml:space="preserve"> PAGEREF _Toc31145 \h </w:instrText>
        </w:r>
        <w:r>
          <w:fldChar w:fldCharType="separate"/>
        </w:r>
        <w:r>
          <w:t>17</w:t>
        </w:r>
        <w:r>
          <w:fldChar w:fldCharType="end"/>
        </w:r>
      </w:hyperlink>
    </w:p>
    <w:p>
      <w:pPr>
        <w:pStyle w:val="TOC1"/>
        <w:tabs>
          <w:tab w:val="right" w:leader="dot" w:pos="8306"/>
        </w:tabs>
      </w:pPr>
      <w:hyperlink w:anchor="_Toc1882" w:history="1">
        <w:r>
          <w:rPr>
            <w:rFonts w:ascii="仿宋" w:eastAsia="仿宋" w:hAnsi="仿宋" w:cs="仿宋" w:hint="eastAsia"/>
            <w:lang w:eastAsia="zh-CN"/>
          </w:rPr>
          <w:t>三、建设单位基本信息</w:t>
        </w:r>
        <w:r>
          <w:tab/>
        </w:r>
        <w:r>
          <w:fldChar w:fldCharType="begin"/>
        </w:r>
        <w:r>
          <w:instrText xml:space="preserve"> PAGEREF _Toc1882 \h </w:instrText>
        </w:r>
        <w:r>
          <w:fldChar w:fldCharType="separate"/>
        </w:r>
        <w:r>
          <w:t>18</w:t>
        </w:r>
        <w:r>
          <w:fldChar w:fldCharType="end"/>
        </w:r>
      </w:hyperlink>
    </w:p>
    <w:p>
      <w:pPr>
        <w:pStyle w:val="TOC2"/>
        <w:tabs>
          <w:tab w:val="right" w:leader="dot" w:pos="8306"/>
        </w:tabs>
      </w:pPr>
      <w:hyperlink w:anchor="_Toc21613" w:history="1">
        <w:r>
          <w:rPr>
            <w:rFonts w:ascii="仿宋" w:eastAsia="仿宋" w:hAnsi="仿宋" w:cs="仿宋" w:hint="eastAsia"/>
            <w:lang w:eastAsia="zh-CN"/>
          </w:rPr>
          <w:t>(一)、电动滑板车项目承办单位基本情况</w:t>
        </w:r>
        <w:r>
          <w:tab/>
        </w:r>
        <w:r>
          <w:fldChar w:fldCharType="begin"/>
        </w:r>
        <w:r>
          <w:instrText xml:space="preserve"> PAGEREF _Toc21613 \h </w:instrText>
        </w:r>
        <w:r>
          <w:fldChar w:fldCharType="separate"/>
        </w:r>
        <w:r>
          <w:t>18</w:t>
        </w:r>
        <w:r>
          <w:fldChar w:fldCharType="end"/>
        </w:r>
      </w:hyperlink>
    </w:p>
    <w:p>
      <w:pPr>
        <w:pStyle w:val="TOC2"/>
        <w:tabs>
          <w:tab w:val="right" w:leader="dot" w:pos="8306"/>
        </w:tabs>
      </w:pPr>
      <w:hyperlink w:anchor="_Toc4909" w:history="1">
        <w:r>
          <w:rPr>
            <w:rFonts w:ascii="仿宋" w:eastAsia="仿宋" w:hAnsi="仿宋" w:cs="仿宋" w:hint="eastAsia"/>
            <w:lang w:eastAsia="zh-CN"/>
          </w:rPr>
          <w:t>(二)、公司经济效益分析</w:t>
        </w:r>
        <w:r>
          <w:tab/>
        </w:r>
        <w:r>
          <w:fldChar w:fldCharType="begin"/>
        </w:r>
        <w:r>
          <w:instrText xml:space="preserve"> PAGEREF _Toc4909 \h </w:instrText>
        </w:r>
        <w:r>
          <w:fldChar w:fldCharType="separate"/>
        </w:r>
        <w:r>
          <w:t>20</w:t>
        </w:r>
        <w:r>
          <w:fldChar w:fldCharType="end"/>
        </w:r>
      </w:hyperlink>
    </w:p>
    <w:p>
      <w:pPr>
        <w:pStyle w:val="TOC1"/>
        <w:tabs>
          <w:tab w:val="right" w:leader="dot" w:pos="8306"/>
        </w:tabs>
      </w:pPr>
      <w:hyperlink w:anchor="_Toc2993" w:history="1">
        <w:r>
          <w:rPr>
            <w:rFonts w:ascii="仿宋" w:eastAsia="仿宋" w:hAnsi="仿宋" w:cs="仿宋" w:hint="eastAsia"/>
            <w:lang w:eastAsia="zh-CN"/>
          </w:rPr>
          <w:t>四、工艺分析</w:t>
        </w:r>
        <w:r>
          <w:tab/>
        </w:r>
        <w:r>
          <w:fldChar w:fldCharType="begin"/>
        </w:r>
        <w:r>
          <w:instrText xml:space="preserve"> PAGEREF _Toc2993 \h </w:instrText>
        </w:r>
        <w:r>
          <w:fldChar w:fldCharType="separate"/>
        </w:r>
        <w:r>
          <w:t>21</w:t>
        </w:r>
        <w:r>
          <w:fldChar w:fldCharType="end"/>
        </w:r>
      </w:hyperlink>
    </w:p>
    <w:p>
      <w:pPr>
        <w:pStyle w:val="TOC2"/>
        <w:tabs>
          <w:tab w:val="right" w:leader="dot" w:pos="8306"/>
        </w:tabs>
      </w:pPr>
      <w:hyperlink w:anchor="_Toc20430" w:history="1">
        <w:r>
          <w:rPr>
            <w:rFonts w:ascii="仿宋" w:eastAsia="仿宋" w:hAnsi="仿宋" w:cs="仿宋" w:hint="eastAsia"/>
            <w:lang w:eastAsia="zh-CN"/>
          </w:rPr>
          <w:t>(一)、技术管理特点</w:t>
        </w:r>
        <w:r>
          <w:tab/>
        </w:r>
        <w:r>
          <w:fldChar w:fldCharType="begin"/>
        </w:r>
        <w:r>
          <w:instrText xml:space="preserve"> PAGEREF _Toc20430 \h </w:instrText>
        </w:r>
        <w:r>
          <w:fldChar w:fldCharType="separate"/>
        </w:r>
        <w:r>
          <w:t>21</w:t>
        </w:r>
        <w:r>
          <w:fldChar w:fldCharType="end"/>
        </w:r>
      </w:hyperlink>
    </w:p>
    <w:p>
      <w:pPr>
        <w:pStyle w:val="TOC2"/>
        <w:tabs>
          <w:tab w:val="right" w:leader="dot" w:pos="8306"/>
        </w:tabs>
      </w:pPr>
      <w:hyperlink w:anchor="_Toc22186" w:history="1">
        <w:r>
          <w:rPr>
            <w:rFonts w:ascii="仿宋" w:eastAsia="仿宋" w:hAnsi="仿宋" w:cs="仿宋" w:hint="eastAsia"/>
            <w:lang w:eastAsia="zh-CN"/>
          </w:rPr>
          <w:t>(二)、电动滑板车项目工艺技术设计方案</w:t>
        </w:r>
        <w:r>
          <w:tab/>
        </w:r>
        <w:r>
          <w:fldChar w:fldCharType="begin"/>
        </w:r>
        <w:r>
          <w:instrText xml:space="preserve"> PAGEREF _Toc22186 \h </w:instrText>
        </w:r>
        <w:r>
          <w:fldChar w:fldCharType="separate"/>
        </w:r>
        <w:r>
          <w:t>22</w:t>
        </w:r>
        <w:r>
          <w:fldChar w:fldCharType="end"/>
        </w:r>
      </w:hyperlink>
    </w:p>
    <w:p>
      <w:pPr>
        <w:pStyle w:val="TOC2"/>
        <w:tabs>
          <w:tab w:val="right" w:leader="dot" w:pos="8306"/>
        </w:tabs>
      </w:pPr>
      <w:hyperlink w:anchor="_Toc29676" w:history="1">
        <w:r>
          <w:rPr>
            <w:rFonts w:ascii="仿宋" w:eastAsia="仿宋" w:hAnsi="仿宋" w:cs="仿宋" w:hint="eastAsia"/>
            <w:lang w:eastAsia="zh-CN"/>
          </w:rPr>
          <w:t>(三)、设备选型方案</w:t>
        </w:r>
        <w:r>
          <w:tab/>
        </w:r>
        <w:r>
          <w:fldChar w:fldCharType="begin"/>
        </w:r>
        <w:r>
          <w:instrText xml:space="preserve"> PAGEREF _Toc29676 \h </w:instrText>
        </w:r>
        <w:r>
          <w:fldChar w:fldCharType="separate"/>
        </w:r>
        <w:r>
          <w:t>23</w:t>
        </w:r>
        <w:r>
          <w:fldChar w:fldCharType="end"/>
        </w:r>
      </w:hyperlink>
    </w:p>
    <w:p>
      <w:pPr>
        <w:pStyle w:val="TOC1"/>
        <w:tabs>
          <w:tab w:val="right" w:leader="dot" w:pos="8306"/>
        </w:tabs>
      </w:pPr>
      <w:hyperlink w:anchor="_Toc17498" w:history="1">
        <w:r>
          <w:rPr>
            <w:rFonts w:ascii="仿宋" w:eastAsia="仿宋" w:hAnsi="仿宋" w:cs="仿宋" w:hint="eastAsia"/>
            <w:lang w:eastAsia="zh-CN"/>
          </w:rPr>
          <w:t>五、危机管理与应急预案</w:t>
        </w:r>
        <w:r>
          <w:tab/>
        </w:r>
        <w:r>
          <w:fldChar w:fldCharType="begin"/>
        </w:r>
        <w:r>
          <w:instrText xml:space="preserve"> PAGEREF _Toc17498 \h </w:instrText>
        </w:r>
        <w:r>
          <w:fldChar w:fldCharType="separate"/>
        </w:r>
        <w:r>
          <w:t>24</w:t>
        </w:r>
        <w:r>
          <w:fldChar w:fldCharType="end"/>
        </w:r>
      </w:hyperlink>
    </w:p>
    <w:p>
      <w:pPr>
        <w:pStyle w:val="TOC2"/>
        <w:tabs>
          <w:tab w:val="right" w:leader="dot" w:pos="8306"/>
        </w:tabs>
      </w:pPr>
      <w:hyperlink w:anchor="_Toc24928" w:history="1">
        <w:r>
          <w:rPr>
            <w:rFonts w:ascii="仿宋" w:eastAsia="仿宋" w:hAnsi="仿宋" w:cs="仿宋" w:hint="eastAsia"/>
            <w:lang w:eastAsia="zh-CN"/>
          </w:rPr>
          <w:t>(一)、危机预警与监测</w:t>
        </w:r>
        <w:r>
          <w:tab/>
        </w:r>
        <w:r>
          <w:fldChar w:fldCharType="begin"/>
        </w:r>
        <w:r>
          <w:instrText xml:space="preserve"> PAGEREF _Toc24928 \h </w:instrText>
        </w:r>
        <w:r>
          <w:fldChar w:fldCharType="separate"/>
        </w:r>
        <w:r>
          <w:t>24</w:t>
        </w:r>
        <w:r>
          <w:fldChar w:fldCharType="end"/>
        </w:r>
      </w:hyperlink>
    </w:p>
    <w:p>
      <w:pPr>
        <w:pStyle w:val="TOC2"/>
        <w:tabs>
          <w:tab w:val="right" w:leader="dot" w:pos="8306"/>
        </w:tabs>
      </w:pPr>
      <w:hyperlink w:anchor="_Toc2699" w:history="1">
        <w:r>
          <w:rPr>
            <w:rFonts w:ascii="仿宋" w:eastAsia="仿宋" w:hAnsi="仿宋" w:cs="仿宋" w:hint="eastAsia"/>
            <w:lang w:eastAsia="zh-CN"/>
          </w:rPr>
          <w:t>(二)、应急预案与危机响应</w:t>
        </w:r>
        <w:r>
          <w:tab/>
        </w:r>
        <w:r>
          <w:fldChar w:fldCharType="begin"/>
        </w:r>
        <w:r>
          <w:instrText xml:space="preserve"> PAGEREF _Toc2699 \h </w:instrText>
        </w:r>
        <w:r>
          <w:fldChar w:fldCharType="separate"/>
        </w:r>
        <w:r>
          <w:t>25</w:t>
        </w:r>
        <w:r>
          <w:fldChar w:fldCharType="end"/>
        </w:r>
      </w:hyperlink>
    </w:p>
    <w:p>
      <w:pPr>
        <w:pStyle w:val="TOC2"/>
        <w:tabs>
          <w:tab w:val="right" w:leader="dot" w:pos="8306"/>
        </w:tabs>
      </w:pPr>
      <w:hyperlink w:anchor="_Toc19651" w:history="1">
        <w:r>
          <w:rPr>
            <w:rFonts w:ascii="仿宋" w:eastAsia="仿宋" w:hAnsi="仿宋" w:cs="仿宋" w:hint="eastAsia"/>
            <w:lang w:eastAsia="zh-CN"/>
          </w:rPr>
          <w:t>(三)、危机沟通与舆情控制</w:t>
        </w:r>
        <w:r>
          <w:tab/>
        </w:r>
        <w:r>
          <w:fldChar w:fldCharType="begin"/>
        </w:r>
        <w:r>
          <w:instrText xml:space="preserve"> PAGEREF _Toc19651 \h </w:instrText>
        </w:r>
        <w:r>
          <w:fldChar w:fldCharType="separate"/>
        </w:r>
        <w:r>
          <w:t>27</w:t>
        </w:r>
        <w:r>
          <w:fldChar w:fldCharType="end"/>
        </w:r>
      </w:hyperlink>
    </w:p>
    <w:p>
      <w:pPr>
        <w:pStyle w:val="TOC2"/>
        <w:tabs>
          <w:tab w:val="right" w:leader="dot" w:pos="8306"/>
        </w:tabs>
      </w:pPr>
      <w:hyperlink w:anchor="_Toc20897" w:history="1">
        <w:r>
          <w:rPr>
            <w:rFonts w:ascii="仿宋" w:eastAsia="仿宋" w:hAnsi="仿宋" w:cs="仿宋" w:hint="eastAsia"/>
            <w:lang w:eastAsia="zh-CN"/>
          </w:rPr>
          <w:t>(四)、危机后教训与改进</w:t>
        </w:r>
        <w:r>
          <w:tab/>
        </w:r>
        <w:r>
          <w:fldChar w:fldCharType="begin"/>
        </w:r>
        <w:r>
          <w:instrText xml:space="preserve"> PAGEREF _Toc20897 \h </w:instrText>
        </w:r>
        <w:r>
          <w:fldChar w:fldCharType="separate"/>
        </w:r>
        <w:r>
          <w:t>29</w:t>
        </w:r>
        <w:r>
          <w:fldChar w:fldCharType="end"/>
        </w:r>
      </w:hyperlink>
    </w:p>
    <w:p>
      <w:pPr>
        <w:pStyle w:val="TOC1"/>
        <w:tabs>
          <w:tab w:val="right" w:leader="dot" w:pos="8306"/>
        </w:tabs>
      </w:pPr>
      <w:hyperlink w:anchor="_Toc4715" w:history="1">
        <w:r>
          <w:rPr>
            <w:rFonts w:ascii="仿宋" w:eastAsia="仿宋" w:hAnsi="仿宋" w:cs="仿宋" w:hint="eastAsia"/>
            <w:lang w:eastAsia="zh-CN"/>
          </w:rPr>
          <w:t>六、投资背景及必要性分析</w:t>
        </w:r>
        <w:r>
          <w:tab/>
        </w:r>
        <w:r>
          <w:fldChar w:fldCharType="begin"/>
        </w:r>
        <w:r>
          <w:instrText xml:space="preserve"> PAGEREF _Toc4715 \h </w:instrText>
        </w:r>
        <w:r>
          <w:fldChar w:fldCharType="separate"/>
        </w:r>
        <w:r>
          <w:t>31</w:t>
        </w:r>
        <w:r>
          <w:fldChar w:fldCharType="end"/>
        </w:r>
      </w:hyperlink>
    </w:p>
    <w:p>
      <w:pPr>
        <w:pStyle w:val="TOC2"/>
        <w:tabs>
          <w:tab w:val="right" w:leader="dot" w:pos="8306"/>
        </w:tabs>
      </w:pPr>
      <w:hyperlink w:anchor="_Toc3085" w:history="1">
        <w:r>
          <w:rPr>
            <w:rFonts w:ascii="仿宋" w:eastAsia="仿宋" w:hAnsi="仿宋" w:cs="仿宋" w:hint="eastAsia"/>
            <w:lang w:eastAsia="zh-CN"/>
          </w:rPr>
          <w:t>(一)、电动滑板车项目承办单位背景分析</w:t>
        </w:r>
        <w:r>
          <w:tab/>
        </w:r>
        <w:r>
          <w:fldChar w:fldCharType="begin"/>
        </w:r>
        <w:r>
          <w:instrText xml:space="preserve"> PAGEREF _Toc3085 \h </w:instrText>
        </w:r>
        <w:r>
          <w:fldChar w:fldCharType="separate"/>
        </w:r>
        <w:r>
          <w:t>31</w:t>
        </w:r>
        <w:r>
          <w:fldChar w:fldCharType="end"/>
        </w:r>
      </w:hyperlink>
    </w:p>
    <w:p>
      <w:pPr>
        <w:pStyle w:val="TOC2"/>
        <w:tabs>
          <w:tab w:val="right" w:leader="dot" w:pos="8306"/>
        </w:tabs>
      </w:pPr>
      <w:hyperlink w:anchor="_Toc11410" w:history="1">
        <w:r>
          <w:rPr>
            <w:rFonts w:ascii="仿宋" w:eastAsia="仿宋" w:hAnsi="仿宋" w:cs="仿宋" w:hint="eastAsia"/>
            <w:lang w:eastAsia="zh-CN"/>
          </w:rPr>
          <w:t>(二)、产业政策及发展规划</w:t>
        </w:r>
        <w:r>
          <w:tab/>
        </w:r>
        <w:r>
          <w:fldChar w:fldCharType="begin"/>
        </w:r>
        <w:r>
          <w:instrText xml:space="preserve"> PAGEREF _Toc11410 \h </w:instrText>
        </w:r>
        <w:r>
          <w:fldChar w:fldCharType="separate"/>
        </w:r>
        <w:r>
          <w:t>32</w:t>
        </w:r>
        <w:r>
          <w:fldChar w:fldCharType="end"/>
        </w:r>
      </w:hyperlink>
    </w:p>
    <w:p>
      <w:pPr>
        <w:pStyle w:val="TOC2"/>
        <w:tabs>
          <w:tab w:val="right" w:leader="dot" w:pos="8306"/>
        </w:tabs>
      </w:pPr>
      <w:hyperlink w:anchor="_Toc7794" w:history="1">
        <w:r>
          <w:rPr>
            <w:rFonts w:ascii="仿宋" w:eastAsia="仿宋" w:hAnsi="仿宋" w:cs="仿宋" w:hint="eastAsia"/>
            <w:lang w:eastAsia="zh-CN"/>
          </w:rPr>
          <w:t>(三)、鼓励中小企业发展</w:t>
        </w:r>
        <w:r>
          <w:tab/>
        </w:r>
        <w:r>
          <w:fldChar w:fldCharType="begin"/>
        </w:r>
        <w:r>
          <w:instrText xml:space="preserve"> PAGEREF _Toc7794 \h </w:instrText>
        </w:r>
        <w:r>
          <w:fldChar w:fldCharType="separate"/>
        </w:r>
        <w:r>
          <w:t>34</w:t>
        </w:r>
        <w:r>
          <w:fldChar w:fldCharType="end"/>
        </w:r>
      </w:hyperlink>
    </w:p>
    <w:p>
      <w:pPr>
        <w:pStyle w:val="TOC2"/>
        <w:tabs>
          <w:tab w:val="right" w:leader="dot" w:pos="8306"/>
        </w:tabs>
      </w:pPr>
      <w:hyperlink w:anchor="_Toc7030" w:history="1">
        <w:r>
          <w:rPr>
            <w:rFonts w:ascii="仿宋" w:eastAsia="仿宋" w:hAnsi="仿宋" w:cs="仿宋" w:hint="eastAsia"/>
            <w:lang w:eastAsia="zh-CN"/>
          </w:rPr>
          <w:t>(四)、宏观经济形势分析</w:t>
        </w:r>
        <w:r>
          <w:tab/>
        </w:r>
        <w:r>
          <w:fldChar w:fldCharType="begin"/>
        </w:r>
        <w:r>
          <w:instrText xml:space="preserve"> PAGEREF _Toc7030 \h </w:instrText>
        </w:r>
        <w:r>
          <w:fldChar w:fldCharType="separate"/>
        </w:r>
        <w:r>
          <w:t>35</w:t>
        </w:r>
        <w:r>
          <w:fldChar w:fldCharType="end"/>
        </w:r>
      </w:hyperlink>
    </w:p>
    <w:p>
      <w:pPr>
        <w:pStyle w:val="TOC2"/>
        <w:tabs>
          <w:tab w:val="right" w:leader="dot" w:pos="8306"/>
        </w:tabs>
      </w:pPr>
      <w:hyperlink w:anchor="_Toc1454" w:history="1">
        <w:r>
          <w:rPr>
            <w:rFonts w:ascii="仿宋" w:eastAsia="仿宋" w:hAnsi="仿宋" w:cs="仿宋" w:hint="eastAsia"/>
            <w:lang w:eastAsia="zh-CN"/>
          </w:rPr>
          <w:t>(五)、区域经济发展概况</w:t>
        </w:r>
        <w:r>
          <w:tab/>
        </w:r>
        <w:r>
          <w:fldChar w:fldCharType="begin"/>
        </w:r>
        <w:r>
          <w:instrText xml:space="preserve"> PAGEREF _Toc1454 \h </w:instrText>
        </w:r>
        <w:r>
          <w:fldChar w:fldCharType="separate"/>
        </w:r>
        <w:r>
          <w:t>36</w:t>
        </w:r>
        <w:r>
          <w:fldChar w:fldCharType="end"/>
        </w:r>
      </w:hyperlink>
    </w:p>
    <w:p>
      <w:pPr>
        <w:pStyle w:val="TOC2"/>
        <w:tabs>
          <w:tab w:val="right" w:leader="dot" w:pos="8306"/>
        </w:tabs>
      </w:pPr>
      <w:hyperlink w:anchor="_Toc22446" w:history="1">
        <w:r>
          <w:rPr>
            <w:rFonts w:ascii="仿宋" w:eastAsia="仿宋" w:hAnsi="仿宋" w:cs="仿宋" w:hint="eastAsia"/>
            <w:lang w:eastAsia="zh-CN"/>
          </w:rPr>
          <w:t>(六)、电动滑板车项目必要性分析</w:t>
        </w:r>
        <w:r>
          <w:tab/>
        </w:r>
        <w:r>
          <w:fldChar w:fldCharType="begin"/>
        </w:r>
        <w:r>
          <w:instrText xml:space="preserve"> PAGEREF _Toc22446 \h </w:instrText>
        </w:r>
        <w:r>
          <w:fldChar w:fldCharType="separate"/>
        </w:r>
        <w:r>
          <w:t>38</w:t>
        </w:r>
        <w:r>
          <w:fldChar w:fldCharType="end"/>
        </w:r>
      </w:hyperlink>
    </w:p>
    <w:p>
      <w:pPr>
        <w:pStyle w:val="TOC1"/>
        <w:tabs>
          <w:tab w:val="right" w:leader="dot" w:pos="8306"/>
        </w:tabs>
      </w:pPr>
      <w:hyperlink w:anchor="_Toc21092" w:history="1">
        <w:r>
          <w:rPr>
            <w:rFonts w:ascii="仿宋" w:eastAsia="仿宋" w:hAnsi="仿宋" w:cs="仿宋" w:hint="eastAsia"/>
            <w:lang w:eastAsia="zh-CN"/>
          </w:rPr>
          <w:t>七、知识管理与技术创新</w:t>
        </w:r>
        <w:r>
          <w:tab/>
        </w:r>
        <w:r>
          <w:fldChar w:fldCharType="begin"/>
        </w:r>
        <w:r>
          <w:instrText xml:space="preserve"> PAGEREF _Toc21092 \h </w:instrText>
        </w:r>
        <w:r>
          <w:fldChar w:fldCharType="separate"/>
        </w:r>
        <w:r>
          <w:t>39</w:t>
        </w:r>
        <w:r>
          <w:fldChar w:fldCharType="end"/>
        </w:r>
      </w:hyperlink>
    </w:p>
    <w:p>
      <w:pPr>
        <w:pStyle w:val="TOC2"/>
        <w:tabs>
          <w:tab w:val="right" w:leader="dot" w:pos="8306"/>
        </w:tabs>
      </w:pPr>
      <w:hyperlink w:anchor="_Toc26643" w:history="1">
        <w:r>
          <w:rPr>
            <w:rFonts w:ascii="仿宋" w:eastAsia="仿宋" w:hAnsi="仿宋" w:cs="仿宋" w:hint="eastAsia"/>
            <w:lang w:eastAsia="zh-CN"/>
          </w:rPr>
          <w:t>(一)、知识管理体系建设</w:t>
        </w:r>
        <w:r>
          <w:tab/>
        </w:r>
        <w:r>
          <w:fldChar w:fldCharType="begin"/>
        </w:r>
        <w:r>
          <w:instrText xml:space="preserve"> PAGEREF _Toc26643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09" w:history="1">
        <w:r>
          <w:rPr>
            <w:rFonts w:ascii="仿宋" w:eastAsia="仿宋" w:hAnsi="仿宋" w:cs="仿宋" w:hint="eastAsia"/>
            <w:lang w:eastAsia="zh-CN"/>
          </w:rPr>
          <w:t>(二)、技术创新与研发投入</w:t>
        </w:r>
        <w:r>
          <w:tab/>
        </w:r>
        <w:r>
          <w:fldChar w:fldCharType="begin"/>
        </w:r>
        <w:r>
          <w:instrText xml:space="preserve"> PAGEREF _Toc19909 \h </w:instrText>
        </w:r>
        <w:r>
          <w:fldChar w:fldCharType="separate"/>
        </w:r>
        <w:r>
          <w:t>41</w:t>
        </w:r>
        <w:r>
          <w:fldChar w:fldCharType="end"/>
        </w:r>
      </w:hyperlink>
    </w:p>
    <w:p>
      <w:pPr>
        <w:pStyle w:val="TOC2"/>
        <w:tabs>
          <w:tab w:val="right" w:leader="dot" w:pos="8306"/>
        </w:tabs>
      </w:pPr>
      <w:hyperlink w:anchor="_Toc16354" w:history="1">
        <w:r>
          <w:rPr>
            <w:rFonts w:ascii="仿宋" w:eastAsia="仿宋" w:hAnsi="仿宋" w:cs="仿宋" w:hint="eastAsia"/>
            <w:lang w:eastAsia="zh-CN"/>
          </w:rPr>
          <w:t>(三)、专利申请与技术保护</w:t>
        </w:r>
        <w:r>
          <w:tab/>
        </w:r>
        <w:r>
          <w:fldChar w:fldCharType="begin"/>
        </w:r>
        <w:r>
          <w:instrText xml:space="preserve"> PAGEREF _Toc16354 \h </w:instrText>
        </w:r>
        <w:r>
          <w:fldChar w:fldCharType="separate"/>
        </w:r>
        <w:r>
          <w:t>43</w:t>
        </w:r>
        <w:r>
          <w:fldChar w:fldCharType="end"/>
        </w:r>
      </w:hyperlink>
    </w:p>
    <w:p>
      <w:pPr>
        <w:pStyle w:val="TOC2"/>
        <w:tabs>
          <w:tab w:val="right" w:leader="dot" w:pos="8306"/>
        </w:tabs>
      </w:pPr>
      <w:hyperlink w:anchor="_Toc31139" w:history="1">
        <w:r>
          <w:rPr>
            <w:rFonts w:ascii="仿宋" w:eastAsia="仿宋" w:hAnsi="仿宋" w:cs="仿宋" w:hint="eastAsia"/>
            <w:lang w:eastAsia="zh-CN"/>
          </w:rPr>
          <w:t>(四)、人才培养与团队建设</w:t>
        </w:r>
        <w:r>
          <w:tab/>
        </w:r>
        <w:r>
          <w:fldChar w:fldCharType="begin"/>
        </w:r>
        <w:r>
          <w:instrText xml:space="preserve"> PAGEREF _Toc31139 \h </w:instrText>
        </w:r>
        <w:r>
          <w:fldChar w:fldCharType="separate"/>
        </w:r>
        <w:r>
          <w:t>45</w:t>
        </w:r>
        <w:r>
          <w:fldChar w:fldCharType="end"/>
        </w:r>
      </w:hyperlink>
    </w:p>
    <w:p>
      <w:pPr>
        <w:pStyle w:val="TOC1"/>
        <w:tabs>
          <w:tab w:val="right" w:leader="dot" w:pos="8306"/>
        </w:tabs>
      </w:pPr>
      <w:hyperlink w:anchor="_Toc28422" w:history="1">
        <w:r>
          <w:rPr>
            <w:rFonts w:ascii="仿宋" w:eastAsia="仿宋" w:hAnsi="仿宋" w:cs="仿宋" w:hint="eastAsia"/>
            <w:lang w:eastAsia="zh-CN"/>
          </w:rPr>
          <w:t>八、电动滑板车项目投资可行性分析</w:t>
        </w:r>
        <w:r>
          <w:tab/>
        </w:r>
        <w:r>
          <w:fldChar w:fldCharType="begin"/>
        </w:r>
        <w:r>
          <w:instrText xml:space="preserve"> PAGEREF _Toc28422 \h </w:instrText>
        </w:r>
        <w:r>
          <w:fldChar w:fldCharType="separate"/>
        </w:r>
        <w:r>
          <w:t>47</w:t>
        </w:r>
        <w:r>
          <w:fldChar w:fldCharType="end"/>
        </w:r>
      </w:hyperlink>
    </w:p>
    <w:p>
      <w:pPr>
        <w:pStyle w:val="TOC2"/>
        <w:tabs>
          <w:tab w:val="right" w:leader="dot" w:pos="8306"/>
        </w:tabs>
      </w:pPr>
      <w:hyperlink w:anchor="_Toc28180" w:history="1">
        <w:r>
          <w:rPr>
            <w:rFonts w:ascii="仿宋" w:eastAsia="仿宋" w:hAnsi="仿宋" w:cs="仿宋" w:hint="eastAsia"/>
            <w:lang w:eastAsia="zh-CN"/>
          </w:rPr>
          <w:t>(一)、电动滑板车项目估算说明</w:t>
        </w:r>
        <w:r>
          <w:tab/>
        </w:r>
        <w:r>
          <w:fldChar w:fldCharType="begin"/>
        </w:r>
        <w:r>
          <w:instrText xml:space="preserve"> PAGEREF _Toc28180 \h </w:instrText>
        </w:r>
        <w:r>
          <w:fldChar w:fldCharType="separate"/>
        </w:r>
        <w:r>
          <w:t>47</w:t>
        </w:r>
        <w:r>
          <w:fldChar w:fldCharType="end"/>
        </w:r>
      </w:hyperlink>
    </w:p>
    <w:p>
      <w:pPr>
        <w:pStyle w:val="TOC2"/>
        <w:tabs>
          <w:tab w:val="right" w:leader="dot" w:pos="8306"/>
        </w:tabs>
      </w:pPr>
      <w:hyperlink w:anchor="_Toc15795" w:history="1">
        <w:r>
          <w:rPr>
            <w:rFonts w:ascii="仿宋" w:eastAsia="仿宋" w:hAnsi="仿宋" w:cs="仿宋" w:hint="eastAsia"/>
            <w:lang w:eastAsia="zh-CN"/>
          </w:rPr>
          <w:t>(二)、电动滑板车项目总投资估算</w:t>
        </w:r>
        <w:r>
          <w:tab/>
        </w:r>
        <w:r>
          <w:fldChar w:fldCharType="begin"/>
        </w:r>
        <w:r>
          <w:instrText xml:space="preserve"> PAGEREF _Toc15795 \h </w:instrText>
        </w:r>
        <w:r>
          <w:fldChar w:fldCharType="separate"/>
        </w:r>
        <w:r>
          <w:t>49</w:t>
        </w:r>
        <w:r>
          <w:fldChar w:fldCharType="end"/>
        </w:r>
      </w:hyperlink>
    </w:p>
    <w:p>
      <w:pPr>
        <w:pStyle w:val="TOC2"/>
        <w:tabs>
          <w:tab w:val="right" w:leader="dot" w:pos="8306"/>
        </w:tabs>
      </w:pPr>
      <w:hyperlink w:anchor="_Toc26925" w:history="1">
        <w:r>
          <w:rPr>
            <w:rFonts w:ascii="仿宋" w:eastAsia="仿宋" w:hAnsi="仿宋" w:cs="仿宋" w:hint="eastAsia"/>
            <w:lang w:eastAsia="zh-CN"/>
          </w:rPr>
          <w:t>(三)、资金筹措</w:t>
        </w:r>
        <w:r>
          <w:tab/>
        </w:r>
        <w:r>
          <w:fldChar w:fldCharType="begin"/>
        </w:r>
        <w:r>
          <w:instrText xml:space="preserve"> PAGEREF _Toc26925 \h </w:instrText>
        </w:r>
        <w:r>
          <w:fldChar w:fldCharType="separate"/>
        </w:r>
        <w:r>
          <w:t>50</w:t>
        </w:r>
        <w:r>
          <w:fldChar w:fldCharType="end"/>
        </w:r>
      </w:hyperlink>
    </w:p>
    <w:p>
      <w:pPr>
        <w:pStyle w:val="TOC1"/>
        <w:tabs>
          <w:tab w:val="right" w:leader="dot" w:pos="8306"/>
        </w:tabs>
      </w:pPr>
      <w:hyperlink w:anchor="_Toc21930" w:history="1">
        <w:r>
          <w:rPr>
            <w:rFonts w:ascii="仿宋" w:eastAsia="仿宋" w:hAnsi="仿宋" w:cs="仿宋" w:hint="eastAsia"/>
            <w:lang w:eastAsia="zh-CN"/>
          </w:rPr>
          <w:t>九、风险管理与应对策略</w:t>
        </w:r>
        <w:r>
          <w:tab/>
        </w:r>
        <w:r>
          <w:fldChar w:fldCharType="begin"/>
        </w:r>
        <w:r>
          <w:instrText xml:space="preserve"> PAGEREF _Toc21930 \h </w:instrText>
        </w:r>
        <w:r>
          <w:fldChar w:fldCharType="separate"/>
        </w:r>
        <w:r>
          <w:t>52</w:t>
        </w:r>
        <w:r>
          <w:fldChar w:fldCharType="end"/>
        </w:r>
      </w:hyperlink>
    </w:p>
    <w:p>
      <w:pPr>
        <w:pStyle w:val="TOC2"/>
        <w:tabs>
          <w:tab w:val="right" w:leader="dot" w:pos="8306"/>
        </w:tabs>
      </w:pPr>
      <w:hyperlink w:anchor="_Toc18848" w:history="1">
        <w:r>
          <w:rPr>
            <w:rFonts w:ascii="仿宋" w:eastAsia="仿宋" w:hAnsi="仿宋" w:cs="仿宋" w:hint="eastAsia"/>
            <w:lang w:eastAsia="zh-CN"/>
          </w:rPr>
          <w:t>(一)、风险管理流程</w:t>
        </w:r>
        <w:r>
          <w:tab/>
        </w:r>
        <w:r>
          <w:fldChar w:fldCharType="begin"/>
        </w:r>
        <w:r>
          <w:instrText xml:space="preserve"> PAGEREF _Toc18848 \h </w:instrText>
        </w:r>
        <w:r>
          <w:fldChar w:fldCharType="separate"/>
        </w:r>
        <w:r>
          <w:t>52</w:t>
        </w:r>
        <w:r>
          <w:fldChar w:fldCharType="end"/>
        </w:r>
      </w:hyperlink>
    </w:p>
    <w:p>
      <w:pPr>
        <w:pStyle w:val="TOC2"/>
        <w:tabs>
          <w:tab w:val="right" w:leader="dot" w:pos="8306"/>
        </w:tabs>
      </w:pPr>
      <w:hyperlink w:anchor="_Toc28392" w:history="1">
        <w:r>
          <w:rPr>
            <w:rFonts w:ascii="仿宋" w:eastAsia="仿宋" w:hAnsi="仿宋" w:cs="仿宋" w:hint="eastAsia"/>
            <w:lang w:eastAsia="zh-CN"/>
          </w:rPr>
          <w:t>(二)、风险识别与评估</w:t>
        </w:r>
        <w:r>
          <w:tab/>
        </w:r>
        <w:r>
          <w:fldChar w:fldCharType="begin"/>
        </w:r>
        <w:r>
          <w:instrText xml:space="preserve"> PAGEREF _Toc28392 \h </w:instrText>
        </w:r>
        <w:r>
          <w:fldChar w:fldCharType="separate"/>
        </w:r>
        <w:r>
          <w:t>55</w:t>
        </w:r>
        <w:r>
          <w:fldChar w:fldCharType="end"/>
        </w:r>
      </w:hyperlink>
    </w:p>
    <w:p>
      <w:pPr>
        <w:pStyle w:val="TOC2"/>
        <w:tabs>
          <w:tab w:val="right" w:leader="dot" w:pos="8306"/>
        </w:tabs>
      </w:pPr>
      <w:hyperlink w:anchor="_Toc13122" w:history="1">
        <w:r>
          <w:rPr>
            <w:rFonts w:ascii="仿宋" w:eastAsia="仿宋" w:hAnsi="仿宋" w:cs="仿宋" w:hint="eastAsia"/>
            <w:lang w:eastAsia="zh-CN"/>
          </w:rPr>
          <w:t>(三)、风险控制与应对策略</w:t>
        </w:r>
        <w:r>
          <w:tab/>
        </w:r>
        <w:r>
          <w:fldChar w:fldCharType="begin"/>
        </w:r>
        <w:r>
          <w:instrText xml:space="preserve"> PAGEREF _Toc13122 \h </w:instrText>
        </w:r>
        <w:r>
          <w:fldChar w:fldCharType="separate"/>
        </w:r>
        <w:r>
          <w:t>57</w:t>
        </w:r>
        <w:r>
          <w:fldChar w:fldCharType="end"/>
        </w:r>
      </w:hyperlink>
    </w:p>
    <w:p>
      <w:pPr>
        <w:pStyle w:val="TOC2"/>
        <w:tabs>
          <w:tab w:val="right" w:leader="dot" w:pos="8306"/>
        </w:tabs>
      </w:pPr>
      <w:hyperlink w:anchor="_Toc25233" w:history="1">
        <w:r>
          <w:rPr>
            <w:rFonts w:ascii="仿宋" w:eastAsia="仿宋" w:hAnsi="仿宋" w:cs="仿宋" w:hint="eastAsia"/>
            <w:lang w:eastAsia="zh-CN"/>
          </w:rPr>
          <w:t>(四)、危机管理与应急预案</w:t>
        </w:r>
        <w:r>
          <w:tab/>
        </w:r>
        <w:r>
          <w:fldChar w:fldCharType="begin"/>
        </w:r>
        <w:r>
          <w:instrText xml:space="preserve"> PAGEREF _Toc25233 \h </w:instrText>
        </w:r>
        <w:r>
          <w:fldChar w:fldCharType="separate"/>
        </w:r>
        <w:r>
          <w:t>59</w:t>
        </w:r>
        <w:r>
          <w:fldChar w:fldCharType="end"/>
        </w:r>
      </w:hyperlink>
    </w:p>
    <w:p>
      <w:pPr>
        <w:pStyle w:val="TOC1"/>
        <w:tabs>
          <w:tab w:val="right" w:leader="dot" w:pos="8306"/>
        </w:tabs>
      </w:pPr>
      <w:hyperlink w:anchor="_Toc21697" w:history="1">
        <w:r>
          <w:rPr>
            <w:rFonts w:ascii="仿宋" w:eastAsia="仿宋" w:hAnsi="仿宋" w:cs="仿宋" w:hint="eastAsia"/>
            <w:lang w:eastAsia="zh-CN"/>
          </w:rPr>
          <w:t>十、社会责任与可持续发展</w:t>
        </w:r>
        <w:r>
          <w:tab/>
        </w:r>
        <w:r>
          <w:fldChar w:fldCharType="begin"/>
        </w:r>
        <w:r>
          <w:instrText xml:space="preserve"> PAGEREF _Toc21697 \h </w:instrText>
        </w:r>
        <w:r>
          <w:fldChar w:fldCharType="separate"/>
        </w:r>
        <w:r>
          <w:t>62</w:t>
        </w:r>
        <w:r>
          <w:fldChar w:fldCharType="end"/>
        </w:r>
      </w:hyperlink>
    </w:p>
    <w:p>
      <w:pPr>
        <w:pStyle w:val="TOC2"/>
        <w:tabs>
          <w:tab w:val="right" w:leader="dot" w:pos="8306"/>
        </w:tabs>
      </w:pPr>
      <w:hyperlink w:anchor="_Toc24138" w:history="1">
        <w:r>
          <w:rPr>
            <w:rFonts w:ascii="仿宋" w:eastAsia="仿宋" w:hAnsi="仿宋" w:cs="仿宋" w:hint="eastAsia"/>
            <w:lang w:eastAsia="zh-CN"/>
          </w:rPr>
          <w:t>(一)、社会责任理念</w:t>
        </w:r>
        <w:r>
          <w:tab/>
        </w:r>
        <w:r>
          <w:fldChar w:fldCharType="begin"/>
        </w:r>
        <w:r>
          <w:instrText xml:space="preserve"> PAGEREF _Toc24138 \h </w:instrText>
        </w:r>
        <w:r>
          <w:fldChar w:fldCharType="separate"/>
        </w:r>
        <w:r>
          <w:t>62</w:t>
        </w:r>
        <w:r>
          <w:fldChar w:fldCharType="end"/>
        </w:r>
      </w:hyperlink>
    </w:p>
    <w:p>
      <w:pPr>
        <w:pStyle w:val="TOC2"/>
        <w:tabs>
          <w:tab w:val="right" w:leader="dot" w:pos="8306"/>
        </w:tabs>
      </w:pPr>
      <w:hyperlink w:anchor="_Toc16405" w:history="1">
        <w:r>
          <w:rPr>
            <w:rFonts w:ascii="仿宋" w:eastAsia="仿宋" w:hAnsi="仿宋" w:cs="仿宋" w:hint="eastAsia"/>
            <w:lang w:eastAsia="zh-CN"/>
          </w:rPr>
          <w:t>(二)、公益活动与社区参与</w:t>
        </w:r>
        <w:r>
          <w:tab/>
        </w:r>
        <w:r>
          <w:fldChar w:fldCharType="begin"/>
        </w:r>
        <w:r>
          <w:instrText xml:space="preserve"> PAGEREF _Toc16405 \h </w:instrText>
        </w:r>
        <w:r>
          <w:fldChar w:fldCharType="separate"/>
        </w:r>
        <w:r>
          <w:t>63</w:t>
        </w:r>
        <w:r>
          <w:fldChar w:fldCharType="end"/>
        </w:r>
      </w:hyperlink>
    </w:p>
    <w:p>
      <w:pPr>
        <w:pStyle w:val="TOC2"/>
        <w:tabs>
          <w:tab w:val="right" w:leader="dot" w:pos="8306"/>
        </w:tabs>
      </w:pPr>
      <w:hyperlink w:anchor="_Toc875" w:history="1">
        <w:r>
          <w:rPr>
            <w:rFonts w:ascii="仿宋" w:eastAsia="仿宋" w:hAnsi="仿宋" w:cs="仿宋" w:hint="eastAsia"/>
            <w:lang w:eastAsia="zh-CN"/>
          </w:rPr>
          <w:t>(三)、可持续发展策略</w:t>
        </w:r>
        <w:r>
          <w:tab/>
        </w:r>
        <w:r>
          <w:fldChar w:fldCharType="begin"/>
        </w:r>
        <w:r>
          <w:instrText xml:space="preserve"> PAGEREF _Toc875 \h </w:instrText>
        </w:r>
        <w:r>
          <w:fldChar w:fldCharType="separate"/>
        </w:r>
        <w:r>
          <w:t>65</w:t>
        </w:r>
        <w:r>
          <w:fldChar w:fldCharType="end"/>
        </w:r>
      </w:hyperlink>
    </w:p>
    <w:p>
      <w:pPr>
        <w:pStyle w:val="TOC2"/>
        <w:tabs>
          <w:tab w:val="right" w:leader="dot" w:pos="8306"/>
        </w:tabs>
      </w:pPr>
      <w:hyperlink w:anchor="_Toc4981" w:history="1">
        <w:r>
          <w:rPr>
            <w:rFonts w:ascii="仿宋" w:eastAsia="仿宋" w:hAnsi="仿宋" w:cs="仿宋" w:hint="eastAsia"/>
            <w:lang w:eastAsia="zh-CN"/>
          </w:rPr>
          <w:t>(四)、企业文化与价值观</w:t>
        </w:r>
        <w:r>
          <w:tab/>
        </w:r>
        <w:r>
          <w:fldChar w:fldCharType="begin"/>
        </w:r>
        <w:r>
          <w:instrText xml:space="preserve"> PAGEREF _Toc4981 \h </w:instrText>
        </w:r>
        <w:r>
          <w:fldChar w:fldCharType="separate"/>
        </w:r>
        <w:r>
          <w:t>66</w:t>
        </w:r>
        <w:r>
          <w:fldChar w:fldCharType="end"/>
        </w:r>
      </w:hyperlink>
    </w:p>
    <w:p>
      <w:pPr>
        <w:pStyle w:val="TOC1"/>
        <w:tabs>
          <w:tab w:val="right" w:leader="dot" w:pos="8306"/>
        </w:tabs>
      </w:pPr>
      <w:hyperlink w:anchor="_Toc22697" w:history="1">
        <w:r>
          <w:rPr>
            <w:rFonts w:ascii="仿宋" w:eastAsia="仿宋" w:hAnsi="仿宋" w:cs="仿宋" w:hint="eastAsia"/>
            <w:lang w:eastAsia="zh-CN"/>
          </w:rPr>
          <w:t>十一、法律与合规性</w:t>
        </w:r>
        <w:r>
          <w:tab/>
        </w:r>
        <w:r>
          <w:fldChar w:fldCharType="begin"/>
        </w:r>
        <w:r>
          <w:instrText xml:space="preserve"> PAGEREF _Toc22697 \h </w:instrText>
        </w:r>
        <w:r>
          <w:fldChar w:fldCharType="separate"/>
        </w:r>
        <w:r>
          <w:t>68</w:t>
        </w:r>
        <w:r>
          <w:fldChar w:fldCharType="end"/>
        </w:r>
      </w:hyperlink>
    </w:p>
    <w:p>
      <w:pPr>
        <w:pStyle w:val="TOC2"/>
        <w:tabs>
          <w:tab w:val="right" w:leader="dot" w:pos="8306"/>
        </w:tabs>
      </w:pPr>
      <w:hyperlink w:anchor="_Toc24264" w:history="1">
        <w:r>
          <w:rPr>
            <w:rFonts w:ascii="仿宋" w:eastAsia="仿宋" w:hAnsi="仿宋" w:cs="仿宋" w:hint="eastAsia"/>
            <w:lang w:eastAsia="zh-CN"/>
          </w:rPr>
          <w:t>(一)、相关法律法规概述</w:t>
        </w:r>
        <w:r>
          <w:tab/>
        </w:r>
        <w:r>
          <w:fldChar w:fldCharType="begin"/>
        </w:r>
        <w:r>
          <w:instrText xml:space="preserve"> PAGEREF _Toc24264 \h </w:instrText>
        </w:r>
        <w:r>
          <w:fldChar w:fldCharType="separate"/>
        </w:r>
        <w:r>
          <w:t>68</w:t>
        </w:r>
        <w:r>
          <w:fldChar w:fldCharType="end"/>
        </w:r>
      </w:hyperlink>
    </w:p>
    <w:p>
      <w:pPr>
        <w:pStyle w:val="TOC2"/>
        <w:tabs>
          <w:tab w:val="right" w:leader="dot" w:pos="8306"/>
        </w:tabs>
      </w:pPr>
      <w:hyperlink w:anchor="_Toc27177" w:history="1">
        <w:r>
          <w:rPr>
            <w:rFonts w:ascii="仿宋" w:eastAsia="仿宋" w:hAnsi="仿宋" w:cs="仿宋" w:hint="eastAsia"/>
            <w:lang w:eastAsia="zh-CN"/>
          </w:rPr>
          <w:t>(二)、电动滑板车项目合同管理</w:t>
        </w:r>
        <w:r>
          <w:tab/>
        </w:r>
        <w:r>
          <w:fldChar w:fldCharType="begin"/>
        </w:r>
        <w:r>
          <w:instrText xml:space="preserve"> PAGEREF _Toc27177 \h </w:instrText>
        </w:r>
        <w:r>
          <w:fldChar w:fldCharType="separate"/>
        </w:r>
        <w:r>
          <w:t>70</w:t>
        </w:r>
        <w:r>
          <w:fldChar w:fldCharType="end"/>
        </w:r>
      </w:hyperlink>
    </w:p>
    <w:p>
      <w:pPr>
        <w:pStyle w:val="TOC2"/>
        <w:tabs>
          <w:tab w:val="right" w:leader="dot" w:pos="8306"/>
        </w:tabs>
      </w:pPr>
      <w:hyperlink w:anchor="_Toc20985" w:history="1">
        <w:r>
          <w:rPr>
            <w:rFonts w:ascii="仿宋" w:eastAsia="仿宋" w:hAnsi="仿宋" w:cs="仿宋" w:hint="eastAsia"/>
            <w:lang w:eastAsia="zh-CN"/>
          </w:rPr>
          <w:t>(三)、知识产权保护</w:t>
        </w:r>
        <w:r>
          <w:tab/>
        </w:r>
        <w:r>
          <w:fldChar w:fldCharType="begin"/>
        </w:r>
        <w:r>
          <w:instrText xml:space="preserve"> PAGEREF _Toc20985 \h </w:instrText>
        </w:r>
        <w:r>
          <w:fldChar w:fldCharType="separate"/>
        </w:r>
        <w:r>
          <w:t>71</w:t>
        </w:r>
        <w:r>
          <w:fldChar w:fldCharType="end"/>
        </w:r>
      </w:hyperlink>
    </w:p>
    <w:p>
      <w:pPr>
        <w:pStyle w:val="TOC2"/>
        <w:tabs>
          <w:tab w:val="right" w:leader="dot" w:pos="8306"/>
        </w:tabs>
      </w:pPr>
      <w:hyperlink w:anchor="_Toc4895" w:history="1">
        <w:r>
          <w:rPr>
            <w:rFonts w:ascii="仿宋" w:eastAsia="仿宋" w:hAnsi="仿宋" w:cs="仿宋" w:hint="eastAsia"/>
            <w:lang w:eastAsia="zh-CN"/>
          </w:rPr>
          <w:t>(四)、劳动法规与员工权益</w:t>
        </w:r>
        <w:r>
          <w:tab/>
        </w:r>
        <w:r>
          <w:fldChar w:fldCharType="begin"/>
        </w:r>
        <w:r>
          <w:instrText xml:space="preserve"> PAGEREF _Toc4895 \h </w:instrText>
        </w:r>
        <w:r>
          <w:fldChar w:fldCharType="separate"/>
        </w:r>
        <w:r>
          <w:t>73</w:t>
        </w:r>
        <w:r>
          <w:fldChar w:fldCharType="end"/>
        </w:r>
      </w:hyperlink>
    </w:p>
    <w:p>
      <w:pPr>
        <w:pStyle w:val="TOC2"/>
        <w:tabs>
          <w:tab w:val="right" w:leader="dot" w:pos="8306"/>
        </w:tabs>
      </w:pPr>
      <w:hyperlink w:anchor="_Toc25239" w:history="1">
        <w:r>
          <w:rPr>
            <w:rFonts w:ascii="仿宋" w:eastAsia="仿宋" w:hAnsi="仿宋" w:cs="仿宋" w:hint="eastAsia"/>
            <w:lang w:eastAsia="zh-CN"/>
          </w:rPr>
          <w:t>(五)、环境保护法规遵循</w:t>
        </w:r>
        <w:r>
          <w:tab/>
        </w:r>
        <w:r>
          <w:fldChar w:fldCharType="begin"/>
        </w:r>
        <w:r>
          <w:instrText xml:space="preserve"> PAGEREF _Toc25239 \h </w:instrText>
        </w:r>
        <w:r>
          <w:fldChar w:fldCharType="separate"/>
        </w:r>
        <w:r>
          <w:t>74</w:t>
        </w:r>
        <w:r>
          <w:fldChar w:fldCharType="end"/>
        </w:r>
      </w:hyperlink>
    </w:p>
    <w:p>
      <w:pPr>
        <w:pStyle w:val="TOC1"/>
        <w:tabs>
          <w:tab w:val="right" w:leader="dot" w:pos="8306"/>
        </w:tabs>
      </w:pPr>
      <w:hyperlink w:anchor="_Toc1378" w:history="1">
        <w:r>
          <w:rPr>
            <w:rFonts w:ascii="仿宋" w:eastAsia="仿宋" w:hAnsi="仿宋" w:cs="仿宋" w:hint="eastAsia"/>
            <w:lang w:eastAsia="zh-CN"/>
          </w:rPr>
          <w:t>十二、供应链管理与物流优化</w:t>
        </w:r>
        <w:r>
          <w:tab/>
        </w:r>
        <w:r>
          <w:fldChar w:fldCharType="begin"/>
        </w:r>
        <w:r>
          <w:instrText xml:space="preserve"> PAGEREF _Toc1378 \h </w:instrText>
        </w:r>
        <w:r>
          <w:fldChar w:fldCharType="separate"/>
        </w:r>
        <w:r>
          <w:t>76</w:t>
        </w:r>
        <w:r>
          <w:fldChar w:fldCharType="end"/>
        </w:r>
      </w:hyperlink>
    </w:p>
    <w:p>
      <w:pPr>
        <w:pStyle w:val="TOC2"/>
        <w:tabs>
          <w:tab w:val="right" w:leader="dot" w:pos="8306"/>
        </w:tabs>
      </w:pPr>
      <w:hyperlink w:anchor="_Toc19355" w:history="1">
        <w:r>
          <w:rPr>
            <w:rFonts w:ascii="仿宋" w:eastAsia="仿宋" w:hAnsi="仿宋" w:cs="仿宋" w:hint="eastAsia"/>
            <w:lang w:eastAsia="zh-CN"/>
          </w:rPr>
          <w:t>(一)、供应链规划与优化</w:t>
        </w:r>
        <w:r>
          <w:tab/>
        </w:r>
        <w:r>
          <w:fldChar w:fldCharType="begin"/>
        </w:r>
        <w:r>
          <w:instrText xml:space="preserve"> PAGEREF _Toc19355 \h </w:instrText>
        </w:r>
        <w:r>
          <w:fldChar w:fldCharType="separate"/>
        </w:r>
        <w:r>
          <w:t>76</w:t>
        </w:r>
        <w:r>
          <w:fldChar w:fldCharType="end"/>
        </w:r>
      </w:hyperlink>
    </w:p>
    <w:p>
      <w:pPr>
        <w:pStyle w:val="TOC2"/>
        <w:tabs>
          <w:tab w:val="right" w:leader="dot" w:pos="8306"/>
        </w:tabs>
      </w:pPr>
      <w:hyperlink w:anchor="_Toc1689" w:history="1">
        <w:r>
          <w:rPr>
            <w:rFonts w:ascii="仿宋" w:eastAsia="仿宋" w:hAnsi="仿宋" w:cs="仿宋" w:hint="eastAsia"/>
            <w:lang w:eastAsia="zh-CN"/>
          </w:rPr>
          <w:t>(二)、供应商选择与评估</w:t>
        </w:r>
        <w:r>
          <w:tab/>
        </w:r>
        <w:r>
          <w:fldChar w:fldCharType="begin"/>
        </w:r>
        <w:r>
          <w:instrText xml:space="preserve"> PAGEREF _Toc1689 \h </w:instrText>
        </w:r>
        <w:r>
          <w:fldChar w:fldCharType="separate"/>
        </w:r>
        <w:r>
          <w:t>78</w:t>
        </w:r>
        <w:r>
          <w:fldChar w:fldCharType="end"/>
        </w:r>
      </w:hyperlink>
    </w:p>
    <w:p>
      <w:pPr>
        <w:pStyle w:val="TOC2"/>
        <w:tabs>
          <w:tab w:val="right" w:leader="dot" w:pos="8306"/>
        </w:tabs>
      </w:pPr>
      <w:hyperlink w:anchor="_Toc8276" w:history="1">
        <w:r>
          <w:rPr>
            <w:rFonts w:ascii="仿宋" w:eastAsia="仿宋" w:hAnsi="仿宋" w:cs="仿宋" w:hint="eastAsia"/>
            <w:lang w:eastAsia="zh-CN"/>
          </w:rPr>
          <w:t>(三)、物流网络设计与管理</w:t>
        </w:r>
        <w:r>
          <w:tab/>
        </w:r>
        <w:r>
          <w:fldChar w:fldCharType="begin"/>
        </w:r>
        <w:r>
          <w:instrText xml:space="preserve"> PAGEREF _Toc8276 \h </w:instrText>
        </w:r>
        <w:r>
          <w:fldChar w:fldCharType="separate"/>
        </w:r>
        <w:r>
          <w:t>80</w:t>
        </w:r>
        <w:r>
          <w:fldChar w:fldCharType="end"/>
        </w:r>
      </w:hyperlink>
    </w:p>
    <w:p>
      <w:pPr>
        <w:pStyle w:val="TOC2"/>
        <w:tabs>
          <w:tab w:val="right" w:leader="dot" w:pos="8306"/>
        </w:tabs>
      </w:pPr>
      <w:hyperlink w:anchor="_Toc22517" w:history="1">
        <w:r>
          <w:rPr>
            <w:rFonts w:ascii="仿宋" w:eastAsia="仿宋" w:hAnsi="仿宋" w:cs="仿宋" w:hint="eastAsia"/>
            <w:lang w:eastAsia="zh-CN"/>
          </w:rPr>
          <w:t>(四)、库存控制与仓储管理</w:t>
        </w:r>
        <w:r>
          <w:tab/>
        </w:r>
        <w:r>
          <w:fldChar w:fldCharType="begin"/>
        </w:r>
        <w:r>
          <w:instrText xml:space="preserve"> PAGEREF _Toc22517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电动滑板车项目报告按照现代电动滑板车项目管理理论及标准流程编写，着重分析了电动滑板车项目管理中的系统思维、团队协作、时间成本控制等关键要素，并将理论与实验案例相结合，提出创新性的改进措施。报告的结构设计严谨，内容充实，旨在为相关领域的研究者和实践者提供有价值的参考和指引。特别声明，本报告的所有内容均不可用作商业用途，只供学习交流之用，以期通过共享知识增进电动滑板车项目管理实践的深度与广度</w:t>
      </w:r>
    </w:p>
    <w:p>
      <w:pPr>
        <w:pStyle w:val="Heading1"/>
        <w:ind w:firstLine="560" w:firstLineChars="200"/>
        <w:rPr>
          <w:rFonts w:ascii="仿宋" w:eastAsia="仿宋" w:hAnsi="仿宋" w:cs="仿宋" w:hint="eastAsia"/>
          <w:sz w:val="28"/>
          <w:lang w:eastAsia="zh-CN"/>
        </w:rPr>
      </w:pPr>
      <w:bookmarkStart w:id="2" w:name="_Toc18442"/>
      <w:r>
        <w:rPr>
          <w:rFonts w:ascii="仿宋" w:eastAsia="仿宋" w:hAnsi="仿宋" w:cs="仿宋" w:hint="eastAsia"/>
          <w:sz w:val="28"/>
          <w:lang w:eastAsia="zh-CN"/>
        </w:rPr>
        <w:t>一、电动滑板车项目基本情况</w:t>
      </w:r>
      <w:bookmarkEnd w:id="2"/>
    </w:p>
    <w:p>
      <w:pPr>
        <w:pStyle w:val="Heading2"/>
        <w:rPr>
          <w:rFonts w:ascii="仿宋" w:eastAsia="仿宋" w:hAnsi="仿宋" w:cs="仿宋" w:hint="eastAsia"/>
          <w:lang w:eastAsia="zh-CN"/>
        </w:rPr>
      </w:pPr>
      <w:bookmarkStart w:id="3" w:name="_Toc6703"/>
      <w:r>
        <w:rPr>
          <w:rFonts w:ascii="仿宋" w:eastAsia="仿宋" w:hAnsi="仿宋" w:cs="仿宋" w:hint="eastAsia"/>
          <w:lang w:eastAsia="zh-CN"/>
        </w:rPr>
        <w:t>(一)、电动滑板车项目名称及建设性质</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电动滑板车项目名称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电动滑板车项目名称：XXX电动滑板车项目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电动滑板车项目建设性质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该电动滑板车项目属于新建电动滑板车项目，依托xx区良好的产业基础和创新氛围，充分发挥区位优势，全力打造以xxx为核心的综合性产业基地。预计年产值可达XXX万元。这一新兴电动滑板车项目将在新区的发展中发挥重要作用，推动产业升级和区域经济的可持续增长。</w:t>
      </w:r>
    </w:p>
    <w:p>
      <w:pPr>
        <w:pStyle w:val="Heading2"/>
        <w:ind w:firstLine="560" w:firstLineChars="200"/>
        <w:rPr>
          <w:rFonts w:ascii="仿宋" w:eastAsia="仿宋" w:hAnsi="仿宋" w:cs="仿宋" w:hint="eastAsia"/>
          <w:sz w:val="28"/>
          <w:lang w:eastAsia="zh-CN"/>
        </w:rPr>
      </w:pPr>
      <w:bookmarkStart w:id="4" w:name="_Toc5863"/>
      <w:r>
        <w:rPr>
          <w:rFonts w:ascii="仿宋" w:eastAsia="仿宋" w:hAnsi="仿宋" w:cs="仿宋" w:hint="eastAsia"/>
          <w:sz w:val="28"/>
          <w:lang w:eastAsia="zh-CN"/>
        </w:rPr>
        <w:t>(二)、电动滑板车项目承办单位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pStyle w:val="Heading2"/>
        <w:ind w:firstLine="560" w:firstLineChars="200"/>
        <w:rPr>
          <w:rFonts w:ascii="仿宋" w:eastAsia="仿宋" w:hAnsi="仿宋" w:cs="仿宋" w:hint="eastAsia"/>
          <w:sz w:val="28"/>
          <w:lang w:eastAsia="zh-CN"/>
        </w:rPr>
      </w:pPr>
      <w:bookmarkStart w:id="5" w:name="_Toc31797"/>
      <w:r>
        <w:rPr>
          <w:rFonts w:ascii="仿宋" w:eastAsia="仿宋" w:hAnsi="仿宋" w:cs="仿宋" w:hint="eastAsia"/>
          <w:sz w:val="28"/>
          <w:lang w:eastAsia="zh-CN"/>
        </w:rPr>
        <w:t>(三)、战略合作单位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xxx集团有限公司</w:t>
      </w:r>
    </w:p>
    <w:p>
      <w:pPr>
        <w:pStyle w:val="Heading2"/>
        <w:ind w:firstLine="560" w:firstLineChars="200"/>
        <w:rPr>
          <w:rFonts w:ascii="仿宋" w:eastAsia="仿宋" w:hAnsi="仿宋" w:cs="仿宋" w:hint="eastAsia"/>
          <w:sz w:val="28"/>
          <w:lang w:eastAsia="zh-CN"/>
        </w:rPr>
      </w:pPr>
      <w:bookmarkStart w:id="6" w:name="_Toc23321"/>
      <w:r>
        <w:rPr>
          <w:rFonts w:ascii="仿宋" w:eastAsia="仿宋" w:hAnsi="仿宋" w:cs="仿宋" w:hint="eastAsia"/>
          <w:sz w:val="28"/>
          <w:lang w:eastAsia="zh-CN"/>
        </w:rPr>
        <w:t>(四)、电动滑板车项目提出的理由</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位置优势： XX区具有良好的产业基础和创新氛围，为新兴产业的发展提供了有力支持。电动滑板车项目能够充分借助XX区的产业集聚效应和科技创新环境，更好地融入当地经济体系。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2. 区位优势： 电动滑板车项目充分发挥地理位置的优势，依托XX区的区位条件，更便利地接触市场、原材料和人才资源。这将有助于电动滑板车项目的顺利推进和市场开拓。</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综合性产业基地： 该电动滑板车项目定位为以油墨为核心的综合性产业基地，这不仅能够满足市场对油墨产品的需求，还能够在油墨产业链上实现产业多元化，提高产值和经济效益。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年产值潜力： 电动滑板车项目规模较大，预计年产值可达XXX万元，这对于XX区的经济发展具有显著的促进作用。高产值意味着电动滑板车项目将为当地提供更多的就业机会，同时也能够为地方财政做出贡献。</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产业升级：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通过全力打造以油墨为核心的产业基地，电动滑板车项目将推动相关产业的升级和发展。这有助于提升当地产业结构，增加高附加值产业的比重，促进区域产业的可持续发展。</w:t>
      </w:r>
    </w:p>
    <w:p>
      <w:pPr>
        <w:pStyle w:val="Heading2"/>
        <w:ind w:firstLine="560" w:firstLineChars="200"/>
        <w:rPr>
          <w:rFonts w:ascii="仿宋" w:eastAsia="仿宋" w:hAnsi="仿宋" w:cs="仿宋" w:hint="eastAsia"/>
          <w:sz w:val="28"/>
          <w:lang w:eastAsia="zh-CN"/>
        </w:rPr>
      </w:pPr>
      <w:bookmarkStart w:id="7" w:name="_Toc28278"/>
      <w:r>
        <w:rPr>
          <w:rFonts w:ascii="仿宋" w:eastAsia="仿宋" w:hAnsi="仿宋" w:cs="仿宋" w:hint="eastAsia"/>
          <w:sz w:val="28"/>
          <w:lang w:eastAsia="zh-CN"/>
        </w:rPr>
        <w:t>(五)、原材料供应</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电动滑板车项目所需的主要原材料及辅助材料包括 Xxx、xxx、xx、xxx、xx 等，经过严格筛选，xxx 投资公司已经确保选择的供货单位完全能够稳定供应上述所需原料。这些供货商不仅具备高质量的产品和稳定的供货能力，而且与公司已建立了密切的合作关系，为电动滑板车项目提供了可靠的原辅材料供应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供货商的选择是基于其在行业内的声誉、生产能力、质量管理体系以及服务水平等多方面的考量。通过与供货商的深入合作，双方建立了互信互利的伙伴关系，确保了电动滑板车项目正常经营所需原辅材料的高质量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这些供货商不仅能够保障电动滑板车项目的当前需求，而且能够满足 xxx 投资公司今后进一步扩大生产规模的预期要求。公司与供货商之间的战略合作关系意味着在未来扩大规模的同时，供货商将积极响应，提供足够的支持，确保原材料供应链的可持续性和灵活性。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通过这一合理而有力的供应链管理，xxx 投资公司将能够确保电动滑板车项目在原材料采购和供应方面的高效运作，为电动滑板车项目的稳健发展打下坚实基础。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0208"/>
      <w:r>
        <w:rPr>
          <w:rFonts w:ascii="仿宋" w:eastAsia="仿宋" w:hAnsi="仿宋" w:cs="仿宋" w:hint="eastAsia"/>
          <w:sz w:val="28"/>
          <w:lang w:eastAsia="zh-CN"/>
        </w:rPr>
        <w:t>(六)、电动滑板车项目能耗分析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能源类型： 确定电动滑板车项目所使用的主要能源类型，例如电力、天然气、燃油等。了解能源类型将有助于集中分析各种能源的使用情况。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2. 能源消耗量： 收集并记录电动滑板车项目在生产过程中各种能源的消耗量。这可以通过监测设备、能源计量仪器以及相关数据记录来实现。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生产阶段分析： 将能耗分解到不同的生产阶段，以便更具体地了解哪些环节对总能耗贡献最大。这有助于有针对性地采取节能措施。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设备效能： 评估和比较各种生产设备的能源效能。确定是否存在能效较低的设备，以便进行升级或替换，以降低能源消耗。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工艺优化： 通过工艺优化来减少能源浪费。可能的优化措施包括提高设备利用率、优化生产流程、改善产品设计等。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能效改进电动滑板车项目： 考虑实施能效改进电动滑板车项目，例如更换节能设备、采用新的生产技术、改进维护和操作方法等。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再生能源应用： 探索并评估再生能源在电动滑板车项目中的应用可能性。例如，考虑采用太阳能、风能等可再生能源来部分或完全满足能源需求。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8. 员工培训： 培训员工，使其认识到能源节约的重要性，并提供相关的操作和维护指导，以确保设备的有效运行。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定期审查：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建立定期审查机制，对能源使用情况进行评估，及时调整和改进能源管理策略。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10. 法规合规性： 确保电动滑板车项目的能耗活动符合相关法规和环境保护标准。</w:t>
      </w:r>
    </w:p>
    <w:p>
      <w:pPr>
        <w:pStyle w:val="Heading2"/>
        <w:ind w:firstLine="560" w:firstLineChars="200"/>
        <w:rPr>
          <w:rFonts w:ascii="仿宋" w:eastAsia="仿宋" w:hAnsi="仿宋" w:cs="仿宋" w:hint="eastAsia"/>
          <w:sz w:val="28"/>
          <w:lang w:eastAsia="zh-CN"/>
        </w:rPr>
      </w:pPr>
      <w:bookmarkStart w:id="9" w:name="_Toc7621"/>
      <w:r>
        <w:rPr>
          <w:rFonts w:ascii="仿宋" w:eastAsia="仿宋" w:hAnsi="仿宋" w:cs="仿宋" w:hint="eastAsia"/>
          <w:sz w:val="28"/>
          <w:lang w:eastAsia="zh-CN"/>
        </w:rPr>
        <w:t>(七)、环境保护</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电动滑板车项目紧密契合xx区的发展规划，符合该区产业结构调整规划以及国家的产业发展政策。在电动滑板车项目规划中，我们充分考虑了区域的可持续发展需求，确保电动滑板车项目建设不仅符合国家政策，也与当地的产业发展方向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保护环境，我们采取了切实可行的治理措施，严格控制各类污染物的排放，确保电动滑板车项目的生产活动在国家规定的排放标准内。电动滑板车项目建设阶段及运营后，我们将持续监测和管理排放，以确保电动滑板车项目对区域生态环境不会产生明显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方面，我们坚持清洁生产的理念，采用先进的清洁生产工艺，应用清洁原材料，以生产清洁产品为目标。通过这一策略，我们旨在消除和减少污染，实现生产与环境的协调共生。电动滑板车项目建成并投产后，各项环境指标将严格符合国家和地方清洁生产的标准要求，确保电动滑板车项目的运营不仅不损害环境，还有助于地区的生态健康。</w:t>
      </w:r>
    </w:p>
    <w:p>
      <w:pPr>
        <w:pStyle w:val="Heading2"/>
        <w:ind w:firstLine="560" w:firstLineChars="200"/>
        <w:rPr>
          <w:rFonts w:ascii="仿宋" w:eastAsia="仿宋" w:hAnsi="仿宋" w:cs="仿宋" w:hint="eastAsia"/>
          <w:sz w:val="28"/>
          <w:lang w:eastAsia="zh-CN"/>
        </w:rPr>
      </w:pPr>
      <w:bookmarkStart w:id="10" w:name="_Toc24750"/>
      <w:r>
        <w:rPr>
          <w:rFonts w:ascii="仿宋" w:eastAsia="仿宋" w:hAnsi="仿宋" w:cs="仿宋" w:hint="eastAsia"/>
          <w:sz w:val="28"/>
          <w:lang w:eastAsia="zh-CN"/>
        </w:rPr>
        <w:t>(八)、电动滑板车项目建设符合性</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法规合规性：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确保电动滑板车项目的规划和建设符合当地和国家的法规和政策要求。这可能涉及土地使用、环保、建筑规范、安全等方面的法规。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2. 环境影响评价： 进行全面的环境影响评价，确保电动滑板车项目建设和运营不会对周围环境产生负面影响。在评估中，考虑空气、水、土壤质量以及生态系统的保护。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3. 社会责任： 电动滑板车项目建设应考虑社会责任，确保电动滑板车项目对当地社区的影响是积极的。这可能包括就业机会、社区发展电动滑板车项目、文化保护等方面。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安全标准： 遵守相关的安全标准和规范，保障电动滑板车项目建设和运营的人员安全。这包括建筑结构的安全性、设备操作的安全规程等。</w:t>
      </w:r>
    </w:p>
    <w:p>
      <w:pPr>
        <w:ind w:firstLine="560" w:firstLineChars="200"/>
        <w:rPr>
          <w:rFonts w:ascii="仿宋" w:eastAsia="仿宋" w:hAnsi="仿宋" w:cs="仿宋" w:hint="eastAsia"/>
          <w:sz w:val="28"/>
        </w:rPr>
      </w:pPr>
      <w:r>
        <w:rPr>
          <w:rFonts w:ascii="仿宋" w:eastAsia="仿宋" w:hAnsi="仿宋" w:cs="仿宋" w:hint="eastAsia"/>
          <w:sz w:val="28"/>
          <w:lang w:eastAsia="zh-CN"/>
        </w:rPr>
        <w:t>5. 技术规范： 确保电动滑板车项目采用符合行业标准和技术规范的设计和建设。这有助于电动滑板车项目的高效运作和可持续性发展。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 电动滑板车项目建设应考虑可持续性原则，包括资源利用效率、能源消耗、废弃物处理等。采用清洁生产和绿色技术，以降低对环境的影响。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7. 公共参与： 电动滑板车项目建设阶段应开展公共参与，听取相关利益相关者的意见和建议。这有助于解决可能的争议，提高电动滑板车项目在社会中的接受度。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8. 监测和报告： 建立定期监测和报告机制，监控电动滑板车项目的建设和运营过程中的符合性。及时发现和解决潜在的问题。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9. 风险管理： 开展全面的风险评估，确保电动滑板车项目建设和运营过程中的各种风险能够被有效管理和应对。</w:t>
      </w:r>
    </w:p>
    <w:p>
      <w:pPr>
        <w:pStyle w:val="Heading2"/>
        <w:ind w:firstLine="560" w:firstLineChars="200"/>
        <w:rPr>
          <w:rFonts w:ascii="仿宋" w:eastAsia="仿宋" w:hAnsi="仿宋" w:cs="仿宋" w:hint="eastAsia"/>
          <w:sz w:val="28"/>
          <w:lang w:eastAsia="zh-CN"/>
        </w:rPr>
      </w:pPr>
      <w:bookmarkStart w:id="11" w:name="_Toc18726"/>
      <w:r>
        <w:rPr>
          <w:rFonts w:ascii="仿宋" w:eastAsia="仿宋" w:hAnsi="仿宋" w:cs="仿宋" w:hint="eastAsia"/>
          <w:sz w:val="28"/>
          <w:lang w:eastAsia="zh-CN"/>
        </w:rPr>
        <w:t>(九)、电动滑板车项目进度规划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电动滑板车项目的建设期限规划为XX个月，为了确保电动滑板车项目按时高效完成，我们采取了以下措施：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分期分段建设： 将整个电动滑板车项目划分为不同的阶段和段落，实施分期建设。这有助于灵活应对各个阶段的工程挑战，确保电动滑板车项目有序推进。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工期目标分解： 对电动滑板车项目进行工期目标的详细分解，明确各个主体工程的施工期限。通过科学的工期分解，可以更精准地掌握工程进展。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交叉施工安排： 采用适应性的施工安排，使各主体工程的施工期叉开实施。通过合理的交叉施工，最大限度地缩短整体建设周期。</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合理安排设计和采购时间： 承办单位要合理安排设计和采购的时间，确保与施工进度相衔接。设计、采购和设备安装的工作要交叉进行，提高工程进度。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后期工程押后施工： 将投资密度较大的部分工程尽量押后施工，例如其他配套工程等。这有助于合理分配资源，保证电动滑板车项目各方面的平衡发展。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提前进行设计工作：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在技术交流谈判的同时，提前进行设计工作。这样可以在电动滑板车项目正式启动前解决一些技术问题，为后续施工提供有力支持。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提前设计和定货： 针对制造周期较长的设备，提前进行设计工作，并提前定货。确保这些关键设备在需要时能够及时到位，避免因设备制造周期导致的延误。</w:t>
      </w:r>
    </w:p>
    <w:p>
      <w:pPr>
        <w:ind w:firstLine="560" w:firstLineChars="200"/>
        <w:rPr>
          <w:rFonts w:ascii="仿宋" w:eastAsia="仿宋" w:hAnsi="仿宋" w:cs="仿宋" w:hint="eastAsia"/>
          <w:sz w:val="28"/>
        </w:rPr>
      </w:pPr>
      <w:r>
        <w:rPr>
          <w:rFonts w:ascii="仿宋" w:eastAsia="仿宋" w:hAnsi="仿宋" w:cs="仿宋" w:hint="eastAsia"/>
          <w:sz w:val="28"/>
          <w:lang w:eastAsia="zh-CN"/>
        </w:rPr>
        <w:t>8. 超前融资计划： 融资计划应比资金投入计划超前，确保资金的及时投入。在资金计划中留有一定的余地，以防万一情况的发生。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通过以上规划和措施，我们旨在保障电动滑板车项目建设期限的合理安排，最大程度地降低建设周期，确保电动滑板车项目按计划推进。</w:t>
      </w:r>
    </w:p>
    <w:p>
      <w:pPr>
        <w:pStyle w:val="Heading2"/>
        <w:ind w:firstLine="560" w:firstLineChars="200"/>
        <w:rPr>
          <w:rFonts w:ascii="仿宋" w:eastAsia="仿宋" w:hAnsi="仿宋" w:cs="仿宋" w:hint="eastAsia"/>
          <w:sz w:val="28"/>
          <w:lang w:eastAsia="zh-CN"/>
        </w:rPr>
      </w:pPr>
      <w:bookmarkStart w:id="12" w:name="_Toc32208"/>
      <w:r>
        <w:rPr>
          <w:rFonts w:ascii="仿宋" w:eastAsia="仿宋" w:hAnsi="仿宋" w:cs="仿宋" w:hint="eastAsia"/>
          <w:sz w:val="28"/>
          <w:lang w:eastAsia="zh-CN"/>
        </w:rPr>
        <w:t>(十)、投资估算及经济效益分析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电动滑板车项目总投资及资金构成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电动滑板车项目预计总投资为XXXX万元。其中，固定资产投资为XXXX万元，占电动滑板车项目总投资的XX%；流动资金为XXXX万元，占电动滑板车项目总投资的XX%。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截至目前，电动滑板车项目的资金主要由企业自筹。通过内部资金的调动和有效管理，确保电动滑板车项目的正常推进和运作。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电动滑板车项目预期经济效益规划目标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电动滑板车项目达产年的经济效益规划目标如下：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营业收入：XXXX万元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总成本费用：XXXX万元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税金及附加：XXXX万元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利税总额：XXXX万元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税后净利润：XXXX万元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此外，达产年投资利润率为XX%，投资利税率为XX%，投资回报率为XX%，全部投资回收期为XX年。电动滑板车项目还将提供XX个就业职位，为当地就业创造积极影响。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这一经济效益规划目标综合考虑了电动滑板车项目的投资、收入、成本、税收等多个方面，为电动滑板车项目的经济可持续发展提供了明确的指导和目标。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0621"/>
      <w:r>
        <w:rPr>
          <w:rFonts w:ascii="仿宋" w:eastAsia="仿宋" w:hAnsi="仿宋" w:cs="仿宋" w:hint="eastAsia"/>
          <w:sz w:val="28"/>
          <w:lang w:eastAsia="zh-CN"/>
        </w:rPr>
        <w:t>(十一)、报告说明</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报告的详尽分析主要包括以下几个方面：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市场和销售： 对市场需求、竞争格局、潜在客户等进行深入研究，明确电动滑板车项目产品或服务的市场定位和销售策略。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2. 规模和产品： 对电动滑板车项目规模进行科学规划，明确生产的产品或服务种类、特点及市场竞争力。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厂址： 选择适宜的厂址，考虑交通便利性、用地成本、环境因素等，确保电动滑板车项目的顺利运作。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原辅料供应： 确保原辅料的稳定供应，分析供应商的可靠性和成本，以降低生产风险。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工艺技术： 对电动滑板车项目的生产工艺进行细致研究，确保采用先进、高效、可靠的技术，提高生产效率。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设备选择： 经过仔细比较和选择，确定最适合电动滑板车项目需求的生产设备，确保设备的性能和质量符合要求。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人员组织： 确保电动滑板车项目团队结构合理，拥有足够的专业人才，并规划培训计划，以提高员工的工作技能。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8. 实施计划： 制定详细的电动滑板车项目实施计划，明确各阶段的任务和时间节点，确保电动滑板车项目按计划推进。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投资与成本： 确定电动滑板车项目的总投资和各项成本，并进行全面的成本效益分析，确保电动滑板车项目的经济可行性。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效益及风险： 对电动滑板车项目的预期经济效益进行计算和评价，并对潜在风险进行全面分析，为决策者提供风险应对策略。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通过以上分析，报告将为投资决策提供全面的、有据可依的科学依据。其细致入微的论证和评价将使投资方能够清晰地了解电动滑板车项目的各个方面，为未来的投资决策提供有力支持。</w:t>
      </w:r>
    </w:p>
    <w:p>
      <w:pPr>
        <w:pStyle w:val="Heading2"/>
        <w:ind w:firstLine="560" w:firstLineChars="200"/>
        <w:rPr>
          <w:rFonts w:ascii="仿宋" w:eastAsia="仿宋" w:hAnsi="仿宋" w:cs="仿宋" w:hint="eastAsia"/>
          <w:sz w:val="28"/>
          <w:lang w:eastAsia="zh-CN"/>
        </w:rPr>
      </w:pPr>
      <w:bookmarkStart w:id="14" w:name="_Toc5466"/>
      <w:r>
        <w:rPr>
          <w:rFonts w:ascii="仿宋" w:eastAsia="仿宋" w:hAnsi="仿宋" w:cs="仿宋" w:hint="eastAsia"/>
          <w:sz w:val="28"/>
          <w:lang w:eastAsia="zh-CN"/>
        </w:rPr>
        <w:t>(十二)、电动滑板车项目评价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电动滑板车项目评价是对电动滑板车项目进行全面审查和判定的过程，主要包括市场评价、技术评价、财务评价、工程评价、经济评价和环境评价等多个方面。评价的目的是为决策者提供科学的、客观的信息，以确定电动滑板车项目是否值得投资以及如何进行投资。对电动滑板车项目评价各个方面的简要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市场评价： 对电动滑板车项目所在市场的需求、竞争格局、潜在客户等进行评估。通过市场评价，可以确定电动滑板车项目产品或服务的市场定位、销售策略和市场份额。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技术评价： 对电动滑板车项目所采用的生产工艺、设备选择等技术方面进行评估。确保电动滑板车项目采用先进、高效、可靠的技术，以提高生产效率和竞争力。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财务评价： 对电动滑板车项目的资金筹措、成本结构、财务指标等进行评估。通过财务评价，可以明确电动滑板车项目的融资需求、资金运作情况，以及电动滑板车项目的盈利能力和财务健康状况。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工程评价： 对电动滑板车项目的规模、建设周期、工程进度等进行评估。确保电动滑板车项目在工程实施阶段能够按计划进行，减少施工风险。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经济评价： 对电动滑板车项目的经济效益进行计算和评估。包括投资回收期、净现值、内部收益率等指标，以确定电动滑板车项目的经济可行性和投资回报。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环境评价： 对电动滑板车项目可能对环境产生的影响进行评估。确保电动滑板车项目在环保方面符合相关法规和标准，减少对周边环境的负面影响。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电动滑板车项目评价通过对各个方面的全面考量，为决策者提供了关于电动滑板车项目全貌的清晰图景。决策者可以根据评价结果，权衡各个方面的利弊，做出明智的投资决策。评价的结果将直接影响到电动滑板车项目的可持续发展和投资的成功实施。</w:t>
      </w:r>
    </w:p>
    <w:p>
      <w:pPr>
        <w:pStyle w:val="Heading1"/>
        <w:ind w:firstLine="560" w:firstLineChars="200"/>
        <w:rPr>
          <w:rFonts w:ascii="仿宋" w:eastAsia="仿宋" w:hAnsi="仿宋" w:cs="仿宋" w:hint="eastAsia"/>
          <w:sz w:val="28"/>
          <w:lang w:eastAsia="zh-CN"/>
        </w:rPr>
      </w:pPr>
      <w:bookmarkStart w:id="15" w:name="_Toc8797"/>
      <w:r>
        <w:rPr>
          <w:rFonts w:ascii="仿宋" w:eastAsia="仿宋" w:hAnsi="仿宋" w:cs="仿宋" w:hint="eastAsia"/>
          <w:sz w:val="28"/>
          <w:lang w:eastAsia="zh-CN"/>
        </w:rPr>
        <w:t>二、电动滑板车项目选址说明</w:t>
      </w:r>
      <w:bookmarkEnd w:id="15"/>
    </w:p>
    <w:p>
      <w:pPr>
        <w:pStyle w:val="Heading2"/>
        <w:rPr>
          <w:rFonts w:ascii="仿宋" w:eastAsia="仿宋" w:hAnsi="仿宋" w:cs="仿宋" w:hint="eastAsia"/>
          <w:lang w:eastAsia="zh-CN"/>
        </w:rPr>
      </w:pPr>
      <w:bookmarkStart w:id="16" w:name="_Toc29124"/>
      <w:r>
        <w:rPr>
          <w:rFonts w:ascii="仿宋" w:eastAsia="仿宋" w:hAnsi="仿宋" w:cs="仿宋" w:hint="eastAsia"/>
          <w:lang w:eastAsia="zh-CN"/>
        </w:rPr>
        <w:t>(一)、电动滑板车项目选址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电动滑板车项目选址位于XXXX市XXXX区XXXX街道XXXX路，地理位置优越，地势平坦，交通便利。附近有多条主要道路交汇，便于原材料的运输和成品的配送。地理位置的优越性将为电动滑板车项目提供便捷的市场接触和良好的物流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我们将充分考虑用地控制指标，确保电动滑板车项目用地的合规性。经过详细的规划和评估，选址地区的用地性质、容积率、绿化率等指标将被科学确定，以满足电动滑板车项目的发展需求并符合相关法规和环保要求。</w:t>
      </w:r>
    </w:p>
    <w:p>
      <w:pPr>
        <w:pStyle w:val="Heading2"/>
        <w:ind w:firstLine="560" w:firstLineChars="200"/>
        <w:rPr>
          <w:rFonts w:ascii="仿宋" w:eastAsia="仿宋" w:hAnsi="仿宋" w:cs="仿宋" w:hint="eastAsia"/>
          <w:sz w:val="28"/>
          <w:lang w:eastAsia="zh-CN"/>
        </w:rPr>
      </w:pPr>
      <w:bookmarkStart w:id="17" w:name="_Toc17963"/>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选址地区的用地性质被确定为工业用地，以支持电动滑板车项目的生产和运营。确保用地性质符合地方规划，并满足电动滑板车项目的实际需求。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根据地区规划和建设标准，设定合理的容积率。容积率的设定要考虑电动滑板车项目的建筑需求，确保建筑的布局紧凑，用地高效利用。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绿化率：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确保电动滑板车项目选址地区的绿化率符合环保法规的要求。通过科学的绿化设计，提高绿化率，改善周边环境，为员工提供良好的工作生活环境。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18" w:name="_Toc20301"/>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针对电动滑板车项目的实际需求，考虑采用垂直建筑设计，提高建筑的层数，减小占地面积。这将有助于在有限的用地内实现更大的建筑容积。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共享设施：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19" w:name="_Toc30293"/>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电动滑板车项目的原材料运输和成品配送提供了便捷的通道。地理位置的优越性将成为总图布置方案的首要考虑因素，确保电动滑板车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电动滑板车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电动滑板车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电动滑板车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20" w:name="_Toc31145"/>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选址综合评价是对所有选址因素进行全面权衡和评估的过程，包括地理位置、交通便利性、用地控制指标等多个方面。通过科学的评价方法，确保最终选址符合电动滑板车项目的长期发展需求和可行性要求。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电动滑板车项目的成功实施提供战略优势。通过全面利用地理位置，确保电动滑板车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综合评价将充分考虑选址地区的交通便利性。主要道路的交汇、交通流畅性等因素将被纳入考虑范围。通过科学评估交通状况，确保电动滑板车项目的运输通道顺畅，为物流和员工的出行提供良好保障。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用地控制指标是综合评价中的重要组成部分。通过科学制定用地控制指标，明确用地性质、用途、容积率等，确保用地的规划与电动滑板车项目的实际需求相符。这有助于用地的科学利用和可持续性发展。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电动滑板车项目的空间布局合理有序。绿化空间、建筑布局、功能区域划分等因素将在总图布置中得到综合考虑，为电动滑板车项目提供良好的空间环境。</w:t>
      </w:r>
    </w:p>
    <w:p>
      <w:pPr>
        <w:pStyle w:val="Heading1"/>
        <w:ind w:firstLine="560" w:firstLineChars="200"/>
        <w:rPr>
          <w:rFonts w:ascii="仿宋" w:eastAsia="仿宋" w:hAnsi="仿宋" w:cs="仿宋" w:hint="eastAsia"/>
          <w:sz w:val="28"/>
          <w:lang w:eastAsia="zh-CN"/>
        </w:rPr>
      </w:pPr>
      <w:bookmarkStart w:id="21" w:name="_Toc1882"/>
      <w:r>
        <w:rPr>
          <w:rFonts w:ascii="仿宋" w:eastAsia="仿宋" w:hAnsi="仿宋" w:cs="仿宋" w:hint="eastAsia"/>
          <w:sz w:val="28"/>
          <w:lang w:eastAsia="zh-CN"/>
        </w:rPr>
        <w:t>三、建设单位基本信息</w:t>
      </w:r>
      <w:bookmarkEnd w:id="21"/>
    </w:p>
    <w:p>
      <w:pPr>
        <w:pStyle w:val="Heading2"/>
        <w:rPr>
          <w:rFonts w:ascii="仿宋" w:eastAsia="仿宋" w:hAnsi="仿宋" w:cs="仿宋" w:hint="eastAsia"/>
          <w:lang w:eastAsia="zh-CN"/>
        </w:rPr>
      </w:pPr>
      <w:bookmarkStart w:id="22" w:name="_Toc21613"/>
      <w:r>
        <w:rPr>
          <w:rFonts w:ascii="仿宋" w:eastAsia="仿宋" w:hAnsi="仿宋" w:cs="仿宋" w:hint="eastAsia"/>
          <w:lang w:eastAsia="zh-CN"/>
        </w:rPr>
        <w:t>(一)、电动滑板车项目承办单位基本情况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一、电动滑板车项目承办单位基本情况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公司名称：XXXX有限公司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XXXX有限公司是一家多元化的企业服务提供商，专注于为各类企业提供全方位的支持和解决方案。我们的团队由经验丰富的专业人士组成，致力于帮助企业实现业务目标，提升竞争力。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核心业务领域：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企业管理咨询与规划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组织架构优化与流程改善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营销策略与市场拓展</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XXXX有限公司以灵活的服务模式和客户至上的理念为特色。我们注重深入了解客户需求，为其提供定制化的解决方案，助力企业在不断变化的市场中蓬勃发展。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w:t>
      </w:r>
    </w:p>
    <w:p>
      <w:pPr>
        <w:ind w:firstLine="560" w:firstLineChars="200"/>
        <w:rPr>
          <w:rFonts w:ascii="仿宋" w:eastAsia="仿宋" w:hAnsi="仿宋" w:cs="仿宋" w:hint="eastAsia"/>
          <w:sz w:val="28"/>
        </w:rPr>
      </w:pPr>
      <w:r>
        <w:rPr>
          <w:rFonts w:ascii="仿宋" w:eastAsia="仿宋" w:hAnsi="仿宋" w:cs="仿宋" w:hint="eastAsia"/>
          <w:sz w:val="28"/>
          <w:lang w:eastAsia="zh-CN"/>
        </w:rPr>
        <w:t>2010年：XXXX有限公司成立，专注于企业管理咨询服务。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2014年：逐步拓展服务领域，加强组织优化和团队建设方面的实践。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2017年：成功协助多家企业实现业务增长，树立了良好的业界口碑。</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2021年：与各行各业建立战略伙伴关系，共同推动服务领域的发展。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XXXX有限公司的使命是通过提供高效专业的服务，助力客户在竞争激烈的市场中脱颖而出。我们的愿景是成为企业服务领域的领军者，不断创新，为更多企业创造长期价值。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我们诚挚欢迎各界合作伙伴与我们携手，共同推动企业发展，共创美好的未来。</w:t>
      </w:r>
    </w:p>
    <w:p>
      <w:pPr>
        <w:pStyle w:val="Heading2"/>
        <w:ind w:firstLine="560" w:firstLineChars="200"/>
        <w:rPr>
          <w:rFonts w:ascii="仿宋" w:eastAsia="仿宋" w:hAnsi="仿宋" w:cs="仿宋" w:hint="eastAsia"/>
          <w:sz w:val="28"/>
          <w:lang w:eastAsia="zh-CN"/>
        </w:rPr>
      </w:pPr>
      <w:bookmarkStart w:id="23" w:name="_Toc4909"/>
      <w:r>
        <w:rPr>
          <w:rFonts w:ascii="仿宋" w:eastAsia="仿宋" w:hAnsi="仿宋" w:cs="仿宋" w:hint="eastAsia"/>
          <w:sz w:val="28"/>
          <w:lang w:eastAsia="zh-CN"/>
        </w:rPr>
        <w:t>(二)、公司经济效益分析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财务状况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公司的财务状况是评估其经济效益的核心指标之一。关注以下几个方面：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利润状况： 公司近几年的利润状况显示稳健，净利润达到XX万元，毛利润率和净利润率均保持在行业水平之上。</w:t>
      </w:r>
    </w:p>
    <w:p>
      <w:pPr>
        <w:ind w:firstLine="560" w:firstLineChars="200"/>
        <w:rPr>
          <w:rFonts w:ascii="仿宋" w:eastAsia="仿宋" w:hAnsi="仿宋" w:cs="仿宋" w:hint="eastAsia"/>
          <w:sz w:val="28"/>
        </w:rPr>
      </w:pPr>
      <w:r>
        <w:rPr>
          <w:rFonts w:ascii="仿宋" w:eastAsia="仿宋" w:hAnsi="仿宋" w:cs="仿宋" w:hint="eastAsia"/>
          <w:sz w:val="28"/>
          <w:lang w:eastAsia="zh-CN"/>
        </w:rPr>
        <w:t>资产负债表： 公司资产负债表显示资产总额为XX万元，其中流动资产占比较高，负债结构较为健康，具备较强的偿债能力。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市场份额和竞争力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市场份额： 公司在行业内的市场份额为XX%，并且近年来市场份额有所增长，显示出较强的市场竞争力。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客户满意度： 最新的客户满意度调查显示，客户满意度达到XX%，证明公司的产品或服务在市场上受到高度认可。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投资回报率</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投资回报率（ROI）：</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公司的综合投资回报率为XX%，在电动滑板车项目、市场推广和研发等方面的投资取得了良好的回报。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4. 成本结构和效率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成本结构： 公司的成本结构经过优化，生产成本、运营成本和管理成本均得到有效控制，为公司的经济效益提供了有力支持。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 公司的生产效率较高，资源利用率得到有效提升，进一步推动了产能的提高。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环境影响和社会责任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环境和社会责任： 公司积极参与环境友好型和社会责任活动，体现出对可持续发展的关注，为公司形象增色不少。</w:t>
      </w:r>
    </w:p>
    <w:p>
      <w:pPr>
        <w:ind w:firstLine="560" w:firstLineChars="200"/>
        <w:rPr>
          <w:rFonts w:ascii="仿宋" w:eastAsia="仿宋" w:hAnsi="仿宋" w:cs="仿宋" w:hint="eastAsia"/>
          <w:sz w:val="28"/>
        </w:rPr>
      </w:pPr>
      <w:r>
        <w:rPr>
          <w:rFonts w:ascii="仿宋" w:eastAsia="仿宋" w:hAnsi="仿宋" w:cs="仿宋" w:hint="eastAsia"/>
          <w:sz w:val="28"/>
          <w:lang w:eastAsia="zh-CN"/>
        </w:rPr>
        <w:t>6. 行业趋势和风险管理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行业趋势： 公司积极适应行业趋势，关注市场需求和技术变革，有助于提高公司的经济效益。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 公司建立了有效的风险管理体系，对市场、经济和运营风险有明确的防范和控制措施。</w:t>
      </w:r>
    </w:p>
    <w:p>
      <w:pPr>
        <w:pStyle w:val="Heading1"/>
        <w:ind w:firstLine="560" w:firstLineChars="200"/>
        <w:rPr>
          <w:rFonts w:ascii="仿宋" w:eastAsia="仿宋" w:hAnsi="仿宋" w:cs="仿宋" w:hint="eastAsia"/>
          <w:sz w:val="28"/>
          <w:lang w:eastAsia="zh-CN"/>
        </w:rPr>
      </w:pPr>
      <w:bookmarkStart w:id="24" w:name="_Toc2993"/>
      <w:r>
        <w:rPr>
          <w:rFonts w:ascii="仿宋" w:eastAsia="仿宋" w:hAnsi="仿宋" w:cs="仿宋" w:hint="eastAsia"/>
          <w:sz w:val="28"/>
          <w:lang w:eastAsia="zh-CN"/>
        </w:rPr>
        <w:t>四、工艺分析</w:t>
      </w:r>
      <w:bookmarkEnd w:id="24"/>
    </w:p>
    <w:p>
      <w:pPr>
        <w:pStyle w:val="Heading2"/>
        <w:rPr>
          <w:rFonts w:ascii="仿宋" w:eastAsia="仿宋" w:hAnsi="仿宋" w:cs="仿宋" w:hint="eastAsia"/>
          <w:lang w:eastAsia="zh-CN"/>
        </w:rPr>
      </w:pPr>
      <w:bookmarkStart w:id="25" w:name="_Toc20430"/>
      <w:r>
        <w:rPr>
          <w:rFonts w:ascii="仿宋" w:eastAsia="仿宋" w:hAnsi="仿宋" w:cs="仿宋" w:hint="eastAsia"/>
          <w:lang w:eastAsia="zh-CN"/>
        </w:rPr>
        <w:t>(一)、技术管理特点</w:t>
      </w:r>
      <w:bookmarkEnd w:id="25"/>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技术管理在电动滑板车项目中显现出多层面的复杂性和有机性。其系统性突显在对广泛技术领域的全面规划和整合，要求各技术要素相互协调，以确保电动滑板车项目整体协同。这种系统性要求技术管理者在电动滑板车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电动滑板车项目进步的引擎。这种创新力使技术管理不仅仅是问题应对，更是电动滑板车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另一方面，技术管理体现出综合性。它要求在不同领域中进行全面考虑，将各种技术要素有机融合，以实现更高水平和更大范围的效果。技术管理者需要跨领域协调，确保电动滑板车项目技术方案的综合有效性。</w:t>
      </w:r>
    </w:p>
    <w:p>
      <w:pPr>
        <w:pStyle w:val="Heading2"/>
        <w:ind w:firstLine="560" w:firstLineChars="200"/>
        <w:rPr>
          <w:rFonts w:ascii="仿宋" w:eastAsia="仿宋" w:hAnsi="仿宋" w:cs="仿宋" w:hint="eastAsia"/>
          <w:sz w:val="28"/>
          <w:lang w:eastAsia="zh-CN"/>
        </w:rPr>
      </w:pPr>
      <w:bookmarkStart w:id="26" w:name="_Toc22186"/>
      <w:r>
        <w:rPr>
          <w:rFonts w:ascii="仿宋" w:eastAsia="仿宋" w:hAnsi="仿宋" w:cs="仿宋" w:hint="eastAsia"/>
          <w:sz w:val="28"/>
          <w:lang w:eastAsia="zh-CN"/>
        </w:rPr>
        <w:t>(二)、电动滑板车项目工艺技术设计方案</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电动滑板车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在选择工艺设备时，需要考虑其性能、稳定性和可维护性。设备应符合电动滑板车项目的实际需求，并与整个生产流程协同工作，确保设备的使用不成为电动滑板车项目的瓶颈。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27" w:name="_Toc29676"/>
      <w:r>
        <w:rPr>
          <w:rFonts w:ascii="仿宋" w:eastAsia="仿宋" w:hAnsi="仿宋" w:cs="仿宋" w:hint="eastAsia"/>
          <w:sz w:val="28"/>
          <w:lang w:eastAsia="zh-CN"/>
        </w:rPr>
        <w:t>(三)、设备选型方案</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电动滑板车项目投资风险，最大限度地减少总体电动滑板车项目成本。在投资电动滑板车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电动滑板车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电动滑板车项目的生产设备具备最佳性能和效益，以满足电动滑板车项目长期的发展需求。</w:t>
      </w:r>
    </w:p>
    <w:p>
      <w:pPr>
        <w:pStyle w:val="Heading1"/>
        <w:ind w:firstLine="560" w:firstLineChars="200"/>
        <w:rPr>
          <w:rFonts w:ascii="仿宋" w:eastAsia="仿宋" w:hAnsi="仿宋" w:cs="仿宋" w:hint="eastAsia"/>
          <w:sz w:val="28"/>
          <w:lang w:eastAsia="zh-CN"/>
        </w:rPr>
      </w:pPr>
      <w:bookmarkStart w:id="28" w:name="_Toc17498"/>
      <w:r>
        <w:rPr>
          <w:rFonts w:ascii="仿宋" w:eastAsia="仿宋" w:hAnsi="仿宋" w:cs="仿宋" w:hint="eastAsia"/>
          <w:sz w:val="28"/>
          <w:lang w:eastAsia="zh-CN"/>
        </w:rPr>
        <w:t>五、危机管理与应急预案</w:t>
      </w:r>
      <w:bookmarkEnd w:id="28"/>
    </w:p>
    <w:p>
      <w:pPr>
        <w:pStyle w:val="Heading2"/>
        <w:rPr>
          <w:rFonts w:ascii="仿宋" w:eastAsia="仿宋" w:hAnsi="仿宋" w:cs="仿宋" w:hint="eastAsia"/>
          <w:lang w:eastAsia="zh-CN"/>
        </w:rPr>
      </w:pPr>
      <w:bookmarkStart w:id="29" w:name="_Toc24928"/>
      <w:r>
        <w:rPr>
          <w:rFonts w:ascii="仿宋" w:eastAsia="仿宋" w:hAnsi="仿宋" w:cs="仿宋" w:hint="eastAsia"/>
          <w:lang w:eastAsia="zh-CN"/>
        </w:rPr>
        <w:t>(一)、危机预警与监测</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1. 建立监测体系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危机监测体系是有效进行危机预警与监测的首要步骤。这一体系需要全面覆盖外部和内部环境的多个方面，以确保企业能够全面了解潜在的危机因素。外部环境的监测包括政治、经济、社会、技术等方面，而内部环境的监测则需要关注组织内部的运营状况、员工情绪等。</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在建立监测体系时，企业需要采用先进的信息技术和数据分析手段，确保能够实时、准确地收集和分析大量信息。同时，要考虑不同领域的专业监测机构和专业人才的参与，以提高监测体系的专业性和敏感性。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数据收集与分析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数据收集与分析是危机监测的核心环节。企业需要建立高效的数据收集机制，以确保能够获取与企业相关的各类信息。这可能涉及到社交媒体的监测、新闻报道的跟踪、市场调研数据的收集等多方面工作。</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旦数据收集完成，接下来的关键步骤是对数据进行系统分析。这需要企业拥有一支专业的数据分析团队，能够从海量数据中提炼出有价值的信息。数据分析的目标是发现潜在的危机迹象和异常现象，为危机的及时处理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3. 预警机制建立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建立灵敏的预警机制是确保企业能够在危机来临之前获得预警信息的关键。预警机制的建立需要考虑到监测体系的反馈、数据分析的结果以及与外部专业机构的合作。关键的步骤包括：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设定预警指标： 根据数据分析的结果和历史危机事件的经验，确定一系列可作为危机预警指标的关键因素。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建立预警信号： 将确定的预警指标与实际监测结果相结合，建立一套能够发出明确信号的预警系统。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制定应急响应计划： 针对不同级别的预警信号，制定相应的应急响应计划，明确责任人和行动方案。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定期演练： 对预警机制进行定期演练，检验其实际效果，及时调整和改进机制。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预警与监测体系的建立是企业危机管理的基础，它使企业能够在危机爆发前就能够有针对性地采取措施，最大程度地降低潜在风险带来的损失。通过精细化的监测和灵活的应对机制，企业能够更好地应对多变的外部环境，保障组织的稳定和可持续发展。</w:t>
      </w:r>
    </w:p>
    <w:p>
      <w:pPr>
        <w:pStyle w:val="Heading2"/>
        <w:ind w:firstLine="560" w:firstLineChars="200"/>
        <w:rPr>
          <w:rFonts w:ascii="仿宋" w:eastAsia="仿宋" w:hAnsi="仿宋" w:cs="仿宋" w:hint="eastAsia"/>
          <w:sz w:val="28"/>
          <w:lang w:eastAsia="zh-CN"/>
        </w:rPr>
      </w:pPr>
      <w:bookmarkStart w:id="30" w:name="_Toc2699"/>
      <w:r>
        <w:rPr>
          <w:rFonts w:ascii="仿宋" w:eastAsia="仿宋" w:hAnsi="仿宋" w:cs="仿宋" w:hint="eastAsia"/>
          <w:sz w:val="28"/>
          <w:lang w:eastAsia="zh-CN"/>
        </w:rPr>
        <w:t>(二)、应急预案与危机响应</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1. 预案制定</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应急预案的制定是为了在危机发生时提供清晰的指导和规范行动。预案需要覆盖各个可能出现危机的领域，确保在面对不同类型的紧急情况时能够迅速做出正确反应。制定应急预案的关键步骤包括：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综合性规划： 制定一份全面而综合的应急预案，覆盖从人员疏散到资源调配、从危机指挥到协同合作等多个方面。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 在制定预案前进行全面的风险评估，明确可能面临的各类威胁，以便有针对性地制定应对方案。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 预案的制定需要多方面的参与，包括安全专家、卫生专业人员、法务顾问等，确保综合性和专业性。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 预案需要根据组织的变化和外部环境的变动进行定期更新，保持其时效性和适应性。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危机演练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定期组织危机演练是验证应急预案的有效性和可行性的关键手段。通过模拟真实危机情境，组织成员能够更好地理解应对程序，提高危机时的应对能力。危机演练的关键步骤包括：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制定演练计划： 设定演练目标、场景、参与人员和时间表，确保演练的全面性和实效性。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模拟真实情境： 在演练中模拟真实危机情境，包括人员伤亡、资源不足、信息不准确等各种可能的困难。</w:t>
      </w:r>
    </w:p>
    <w:p>
      <w:pPr>
        <w:ind w:firstLine="560" w:firstLineChars="200"/>
        <w:rPr>
          <w:rFonts w:ascii="仿宋" w:eastAsia="仿宋" w:hAnsi="仿宋" w:cs="仿宋" w:hint="eastAsia"/>
          <w:sz w:val="28"/>
        </w:rPr>
      </w:pPr>
      <w:r>
        <w:rPr>
          <w:rFonts w:ascii="仿宋" w:eastAsia="仿宋" w:hAnsi="仿宋" w:cs="仿宋" w:hint="eastAsia"/>
          <w:sz w:val="28"/>
          <w:lang w:eastAsia="zh-CN"/>
        </w:rPr>
        <w:t>评估演练结果： 对演练过程进行全面评估，发现问题和不足，为后续的改进提供依据。</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定期调整： 根据演练的结果，及时对应急预案进行调整和完善，确保其实用性和灵活性。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指挥体系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建立明确的指挥体系是危机发生时能够迅速做出决策、协调资源的关键。指挥体系的构建需要确保信息流通畅，责任分工明确，决策迅速而准确。建立指挥体系的关键步骤包括：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明确层级： 制定清晰的指挥层级，确保在危机发生时能够迅速形成统一的指挥架构。</w:t>
      </w:r>
    </w:p>
    <w:p>
      <w:pPr>
        <w:ind w:firstLine="560" w:firstLineChars="200"/>
        <w:rPr>
          <w:rFonts w:ascii="仿宋" w:eastAsia="仿宋" w:hAnsi="仿宋" w:cs="仿宋" w:hint="eastAsia"/>
          <w:sz w:val="28"/>
        </w:rPr>
      </w:pPr>
      <w:r>
        <w:rPr>
          <w:rFonts w:ascii="仿宋" w:eastAsia="仿宋" w:hAnsi="仿宋" w:cs="仿宋" w:hint="eastAsia"/>
          <w:sz w:val="28"/>
          <w:lang w:eastAsia="zh-CN"/>
        </w:rPr>
        <w:t>角色分工： 确定每个指挥层级的角色和职责，以便在紧急情况下各司其职，协同工作。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信息流动： 建立快速、准确的信息传递机制，确保决策者能够及时获取所需信息。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紧急决策培训： 对指挥层级的成员进行紧急决策的培训，提高其在危机时的决策效率。</w:t>
      </w:r>
    </w:p>
    <w:p>
      <w:pPr>
        <w:pStyle w:val="Heading2"/>
        <w:ind w:firstLine="560" w:firstLineChars="200"/>
        <w:rPr>
          <w:rFonts w:ascii="仿宋" w:eastAsia="仿宋" w:hAnsi="仿宋" w:cs="仿宋" w:hint="eastAsia"/>
          <w:sz w:val="28"/>
          <w:lang w:eastAsia="zh-CN"/>
        </w:rPr>
      </w:pPr>
      <w:bookmarkStart w:id="31" w:name="_Toc19651"/>
      <w:r>
        <w:rPr>
          <w:rFonts w:ascii="仿宋" w:eastAsia="仿宋" w:hAnsi="仿宋" w:cs="仿宋" w:hint="eastAsia"/>
          <w:sz w:val="28"/>
          <w:lang w:eastAsia="zh-CN"/>
        </w:rPr>
        <w:t>(三)、危机沟通与舆情控制</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1. 沟通计划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制定完善的危机沟通计划是确保在紧急情况下能够迅速、有序地传递信息的前提。沟通计划需要包括明确的沟通渠道、信息发布时机、沟通对象等关键元素。关键步骤包括：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建立沟通团队： 成立专门的危机沟通团队，包括公关专业人士、法务顾问等，确保具备危机时的敏感性和专业性。</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危机信息归类： 对危机信息进行分类，确定哪些信息可以及时公开，哪些需要谨慎处理。</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选择沟通渠道： 根据危机的性质和影响，选择最合适的沟通渠道，包括媒体发布、社交媒体、公司网站等。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信息发布时机： 在危机发生后及时发布信息，但确保信息的准确性和完整性，避免过早或过晚发布导致误解。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2. 信息透明</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危机发生时，保持信息的透明度是建立信任和减轻公众焦虑的关键。透明沟通需要展示组织的负责任态度，积极回应公众关切。关键步骤包括：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真实情况公开： 在信息发布中坚持真实、客观的原则，对危机的真实情况进行公开。</w:t>
      </w:r>
    </w:p>
    <w:p>
      <w:pPr>
        <w:ind w:firstLine="560" w:firstLineChars="200"/>
        <w:rPr>
          <w:rFonts w:ascii="仿宋" w:eastAsia="仿宋" w:hAnsi="仿宋" w:cs="仿宋" w:hint="eastAsia"/>
          <w:sz w:val="28"/>
        </w:rPr>
      </w:pPr>
      <w:r>
        <w:rPr>
          <w:rFonts w:ascii="仿宋" w:eastAsia="仿宋" w:hAnsi="仿宋" w:cs="仿宋" w:hint="eastAsia"/>
          <w:sz w:val="28"/>
          <w:lang w:eastAsia="zh-CN"/>
        </w:rPr>
        <w:t>不隐瞒问题： 如有错误或疏忽，勇于承认，并及时采取纠正措施，避免信息隐瞒引发更大危机。</w:t>
      </w:r>
    </w:p>
    <w:p>
      <w:pPr>
        <w:ind w:firstLine="560" w:firstLineChars="200"/>
        <w:rPr>
          <w:rFonts w:ascii="仿宋" w:eastAsia="仿宋" w:hAnsi="仿宋" w:cs="仿宋" w:hint="eastAsia"/>
          <w:sz w:val="28"/>
        </w:rPr>
      </w:pPr>
      <w:r>
        <w:rPr>
          <w:rFonts w:ascii="仿宋" w:eastAsia="仿宋" w:hAnsi="仿宋" w:cs="仿宋" w:hint="eastAsia"/>
          <w:sz w:val="28"/>
          <w:lang w:eastAsia="zh-CN"/>
        </w:rPr>
        <w:t>接受采访和回应： 主动接受媒体采访，回应公众关切，积极参与危机舆论引导。</w:t>
      </w:r>
    </w:p>
    <w:p>
      <w:pPr>
        <w:ind w:firstLine="560" w:firstLineChars="200"/>
        <w:rPr>
          <w:rFonts w:ascii="仿宋" w:eastAsia="仿宋" w:hAnsi="仿宋" w:cs="仿宋" w:hint="eastAsia"/>
          <w:sz w:val="28"/>
        </w:rPr>
      </w:pPr>
      <w:r>
        <w:rPr>
          <w:rFonts w:ascii="仿宋" w:eastAsia="仿宋" w:hAnsi="仿宋" w:cs="仿宋" w:hint="eastAsia"/>
          <w:sz w:val="28"/>
          <w:lang w:eastAsia="zh-CN"/>
        </w:rPr>
        <w:t>3. 舆情监测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舆情监测是对社会舆论动态的及时了解和调整的关键环节。通过舆情监测，企业可以更好地把握公众的态度和情感，有针对性地调整沟通策略。关键步骤包括：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设立监测机制： 建立舆情监测系统，覆盖主流媒体、社交媒体、网络论坛等多个渠道，全面了解舆情动向。</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情感分析： 对舆情进行情感分析，了解公众的情感倾向，有针对性地调整信息发布策略。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即时回应： 对于涉及企业的谣言或误解，及时进行回应和澄清，防止虚假信息传播。</w:t>
      </w:r>
    </w:p>
    <w:p>
      <w:pPr>
        <w:ind w:firstLine="560" w:firstLineChars="200"/>
        <w:rPr>
          <w:rFonts w:ascii="仿宋" w:eastAsia="仿宋" w:hAnsi="仿宋" w:cs="仿宋" w:hint="eastAsia"/>
          <w:sz w:val="28"/>
        </w:rPr>
      </w:pPr>
      <w:r>
        <w:rPr>
          <w:rFonts w:ascii="仿宋" w:eastAsia="仿宋" w:hAnsi="仿宋" w:cs="仿宋" w:hint="eastAsia"/>
          <w:sz w:val="28"/>
          <w:lang w:eastAsia="zh-CN"/>
        </w:rPr>
        <w:t>4. 危机后教训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危机后教训的总结和改进是危机沟通的闭环。通过反思危机沟通过程，企业可以更好地准备未来可能发生的危机，提升危机沟通的水平。关键步骤包括：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总结经验教训： 对危机沟通过程进行深入总结，明确优点和不足之处。</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改进沟通策略： 根据总结的教训，调整和改进危机沟通策略，提高应对危机的能力。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培训沟通团队： 将总结的经验教训纳入危机沟通团队的培训体系，提高团队的专业水平。</w:t>
      </w:r>
    </w:p>
    <w:p>
      <w:pPr>
        <w:pStyle w:val="Heading2"/>
        <w:ind w:firstLine="560" w:firstLineChars="200"/>
        <w:rPr>
          <w:rFonts w:ascii="仿宋" w:eastAsia="仿宋" w:hAnsi="仿宋" w:cs="仿宋" w:hint="eastAsia"/>
          <w:sz w:val="28"/>
          <w:lang w:eastAsia="zh-CN"/>
        </w:rPr>
      </w:pPr>
      <w:bookmarkStart w:id="32" w:name="_Toc20897"/>
      <w:r>
        <w:rPr>
          <w:rFonts w:ascii="仿宋" w:eastAsia="仿宋" w:hAnsi="仿宋" w:cs="仿宋" w:hint="eastAsia"/>
          <w:sz w:val="28"/>
          <w:lang w:eastAsia="zh-CN"/>
        </w:rPr>
        <w:t>(四)、危机后教训与改进</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1. 总结经验教训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在危机发生后，对整个危机处理过程进行全面、深入的总结是确保企业能够吸取经验教训的首要步骤。关键方面包括：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问题识别： 确定危机处理过程中出现的问题，包括内部失误、外部压力、公众反应等方面。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决策评估： 对危机管理团队的决策进行客观评估，确定哪些决策起到了积极作用，哪些需要调整和改进。</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资源利用：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评估危机期间各类资源的利用效率，包括人力、物力、信息等。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改进管理策略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基于总结的经验教训，制定并实施改进危机管理策略是确保企业下次危机能够更好应对的关键一环。关键方面包括：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修订危机预案： 根据危机中暴露的问题和不足，对危机预案进行修订和升级，确保其更具实效性和适应性。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加强团队培训： 针对危机管理团队，开展专业培训，提高成员的应变能力、决策水平和团队协同能力。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升级技术支持： 结合危机处理中出现的技术问题，考虑引入更先进的技术手段，提升信息收集和处理的效率。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提高沟通效果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危机时的沟通效果直接关系到公众对企业的认知和态度。通过改进沟通策略，企业可以更好地引导舆论、维护声誉。关键方面包括：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提升透明度： 加强信息透明度，及时、准确地向公众传递危机信息，减少信息不对称。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加强社交媒体管理： 提升在社交媒体上的管理水平，积极参与互动，防范谣言传播，维护正面形象。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改进危机沟通团队： 对危机沟通团队进行定期培训，提高团队的危机沟通策略和危机公关技巧。</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定期演练与检验</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为确保改进措施的有效性，企业需要定期组织危机演练，并对演练结果进行检验和评估。关键方面包括：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演练目标明确： 制定明确的演练目标，包括测试预案可行性、团队协同效果等。</w:t>
      </w:r>
    </w:p>
    <w:p>
      <w:pPr>
        <w:ind w:firstLine="560" w:firstLineChars="200"/>
        <w:rPr>
          <w:rFonts w:ascii="仿宋" w:eastAsia="仿宋" w:hAnsi="仿宋" w:cs="仿宋" w:hint="eastAsia"/>
          <w:sz w:val="28"/>
        </w:rPr>
      </w:pPr>
      <w:r>
        <w:rPr>
          <w:rFonts w:ascii="仿宋" w:eastAsia="仿宋" w:hAnsi="仿宋" w:cs="仿宋" w:hint="eastAsia"/>
          <w:sz w:val="28"/>
          <w:lang w:eastAsia="zh-CN"/>
        </w:rPr>
        <w:t>多方参与演练： 邀请外部专业机构参与演练，提供客观的评价和建议。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演练结果反馈： 对演练结果进行深入分析，识别问题和不足，为下一轮改进提供依据。</w:t>
      </w:r>
    </w:p>
    <w:p>
      <w:pPr>
        <w:pStyle w:val="Heading1"/>
        <w:ind w:firstLine="560" w:firstLineChars="200"/>
        <w:rPr>
          <w:rFonts w:ascii="仿宋" w:eastAsia="仿宋" w:hAnsi="仿宋" w:cs="仿宋" w:hint="eastAsia"/>
          <w:sz w:val="28"/>
          <w:lang w:eastAsia="zh-CN"/>
        </w:rPr>
      </w:pPr>
      <w:bookmarkStart w:id="33" w:name="_Toc4715"/>
      <w:r>
        <w:rPr>
          <w:rFonts w:ascii="仿宋" w:eastAsia="仿宋" w:hAnsi="仿宋" w:cs="仿宋" w:hint="eastAsia"/>
          <w:sz w:val="28"/>
          <w:lang w:eastAsia="zh-CN"/>
        </w:rPr>
        <w:t>六、投资背景及必要性分析</w:t>
      </w:r>
      <w:bookmarkEnd w:id="33"/>
    </w:p>
    <w:p>
      <w:pPr>
        <w:pStyle w:val="Heading2"/>
        <w:rPr>
          <w:rFonts w:ascii="仿宋" w:eastAsia="仿宋" w:hAnsi="仿宋" w:cs="仿宋" w:hint="eastAsia"/>
          <w:lang w:eastAsia="zh-CN"/>
        </w:rPr>
      </w:pPr>
      <w:bookmarkStart w:id="34" w:name="_Toc3085"/>
      <w:r>
        <w:rPr>
          <w:rFonts w:ascii="仿宋" w:eastAsia="仿宋" w:hAnsi="仿宋" w:cs="仿宋" w:hint="eastAsia"/>
          <w:lang w:eastAsia="zh-CN"/>
        </w:rPr>
        <w:t>(一)、电动滑板车项目承办单位背景分析</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5" w:name="_Toc11410"/>
      <w:r>
        <w:rPr>
          <w:rFonts w:ascii="仿宋" w:eastAsia="仿宋" w:hAnsi="仿宋" w:cs="仿宋" w:hint="eastAsia"/>
          <w:sz w:val="28"/>
          <w:lang w:eastAsia="zh-CN"/>
        </w:rPr>
        <w:t>(二)、产业政策及发展规划</w:t>
      </w:r>
      <w:bookmarkEnd w:id="35"/>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政府政策关注：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 人才培养： 公司将注重人才培养和引进，建立完善的人才梯队。通过培训和激励机制，激发员工的创新潜力，为公司的可持续发展提供人才支持。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7. 国际市场拓展： 公司将积极响应国家政策，拓展国际市场。通过与国际同行合作、参与国际展会等方式，提升公司在国际市场的竞争力。</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通过制定科学合理的产业政策和发展规划，XX有限公司将能够更好地适应外部环境的变化，确保企业在行业中稳健发展，为实施电动滑板车项目提供坚实支持。</w:t>
      </w:r>
    </w:p>
    <w:p>
      <w:pPr>
        <w:pStyle w:val="Heading2"/>
        <w:ind w:firstLine="560" w:firstLineChars="200"/>
        <w:rPr>
          <w:rFonts w:ascii="仿宋" w:eastAsia="仿宋" w:hAnsi="仿宋" w:cs="仿宋" w:hint="eastAsia"/>
          <w:sz w:val="28"/>
          <w:lang w:eastAsia="zh-CN"/>
        </w:rPr>
      </w:pPr>
      <w:bookmarkStart w:id="36" w:name="_Toc7794"/>
      <w:r>
        <w:rPr>
          <w:rFonts w:ascii="仿宋" w:eastAsia="仿宋" w:hAnsi="仿宋" w:cs="仿宋" w:hint="eastAsia"/>
          <w:sz w:val="28"/>
          <w:lang w:eastAsia="zh-CN"/>
        </w:rPr>
        <w:t>(三)、鼓励中小企业发展</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1. 融资支持： 通过建立专门的中小企业融资渠道，提供低息贷款、创业担保贷款、风险投资等融资工具，帮助中小企业解决融资难题，推动其良性发展。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技术创新支持： 鼓励中小企业进行技术创新，设立专项资金支持科技研发电动滑板车项目。提供创新券、科技补贴等奖励措施，推动中小企业提升技术水平，增强市场竞争力。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税收优惠政策： 制定税收政策，对中小企业给予适当的减免税收优惠，降低其经营成本。例如，减免企业所得税、增值税减免、研发费用税前扣除等政策。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创业培训和咨询服务： 提供免费或低成本的创业培训和咨询服务，帮助中小企业提升管理水平、市场拓展能力，降低创业风险。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市场准入便利化： 简化中小企业市场准入手续，降低市场准入门槛。减少行政审批环节，提高创业和经营的便利性，激发中小企业的创业热情。</w:t>
      </w:r>
    </w:p>
    <w:p>
      <w:pPr>
        <w:ind w:firstLine="560" w:firstLineChars="200"/>
        <w:rPr>
          <w:rFonts w:ascii="仿宋" w:eastAsia="仿宋" w:hAnsi="仿宋" w:cs="仿宋" w:hint="eastAsia"/>
          <w:sz w:val="28"/>
        </w:rPr>
      </w:pPr>
      <w:r>
        <w:rPr>
          <w:rFonts w:ascii="仿宋" w:eastAsia="仿宋" w:hAnsi="仿宋" w:cs="仿宋" w:hint="eastAsia"/>
          <w:sz w:val="28"/>
          <w:lang w:eastAsia="zh-CN"/>
        </w:rPr>
        <w:t>6. 国际合作与对外贸易支持： 鼓励中小企业参与国际市场竞争，提供国际市场开拓的支持政策。为中小企业提供国际合作平台，促进对外贸易合作。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7. 人才引进和培养： 实施人才引进计划，为中小企业引进高层次、高技能的专业人才。同时，通过培训计划提升中小企业员工的综合素质。</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绿色可持续发展：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鼓励中小企业采用绿色生产方式，推动可持续发展。制定环保和绿色产业的相关政策，引导中小企业逐步实现绿色转型。</w:t>
      </w:r>
    </w:p>
    <w:p>
      <w:pPr>
        <w:pStyle w:val="Heading2"/>
        <w:ind w:firstLine="560" w:firstLineChars="200"/>
        <w:rPr>
          <w:rFonts w:ascii="仿宋" w:eastAsia="仿宋" w:hAnsi="仿宋" w:cs="仿宋" w:hint="eastAsia"/>
          <w:sz w:val="28"/>
          <w:lang w:eastAsia="zh-CN"/>
        </w:rPr>
      </w:pPr>
      <w:bookmarkStart w:id="37" w:name="_Toc7030"/>
      <w:r>
        <w:rPr>
          <w:rFonts w:ascii="仿宋" w:eastAsia="仿宋" w:hAnsi="仿宋" w:cs="仿宋" w:hint="eastAsia"/>
          <w:sz w:val="28"/>
          <w:lang w:eastAsia="zh-CN"/>
        </w:rPr>
        <w:t>(四)、宏观经济形势分析</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首先，我国的GDP增长率表现强劲。根据最新的统计数据，上一季度我国的GDP增速达到了X.X%，显示出经济持续增长的势头。这一增长主要得益于消费升级、科技创新以及政府采取的积极财政政策，为企业提供了更广阔的市场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通货膨胀率保持在合理水平。尽管在全球范围内存在一些通货膨胀的压力，但我国通过有效的宏观调控，成功地保持了通货膨胀率在目标范围内。这有助于维护货币的稳定，为企业提供了更加可控的经营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失业率方面，尽管受到疫情等因素的影响，失业率有所上升，但政府积极采取就业刺激政策，通过扩大内需、促进创业等方式，努力缓解就业压力，为社会提供更多就业机会。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在财政政策方面，政府加大了对基础设施建设和高技术产业的投入，通过提高政府支出来刺激经济增长。这为相关产业提供了更多的发展机会，也有望带动更多中小企业的壮大。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货币政策上，央行继续实施稳健的货币政策，保持流动性合理充裕。这有助于支持企业的融资需求，降低融资成本，推动实体经济的发展。</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国际贸易方面，我国积极参与全球贸易体系，加强与多个国家的合作。同时，我国继续推进贸易便利化和开放政策，为企业提供更广泛的市场和更多的合作机会。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总体而言，我国的宏观经济形势呈现出积极的趋势，为企业提供了丰富的发展机遇。然而，也需要企业密切关注全球经济环境的变化，灵活调整经营策略，以更好地应对不确定性因素，确保稳健发展。</w:t>
      </w:r>
    </w:p>
    <w:p>
      <w:pPr>
        <w:pStyle w:val="Heading2"/>
        <w:ind w:firstLine="560" w:firstLineChars="200"/>
        <w:rPr>
          <w:rFonts w:ascii="仿宋" w:eastAsia="仿宋" w:hAnsi="仿宋" w:cs="仿宋" w:hint="eastAsia"/>
          <w:sz w:val="28"/>
          <w:lang w:eastAsia="zh-CN"/>
        </w:rPr>
      </w:pPr>
      <w:bookmarkStart w:id="38" w:name="_Toc1454"/>
      <w:r>
        <w:rPr>
          <w:rFonts w:ascii="仿宋" w:eastAsia="仿宋" w:hAnsi="仿宋" w:cs="仿宋" w:hint="eastAsia"/>
          <w:sz w:val="28"/>
          <w:lang w:eastAsia="zh-CN"/>
        </w:rPr>
        <w:t>(五)、区域经济发展概况</w:t>
      </w:r>
      <w:bookmarkEnd w:id="38"/>
    </w:p>
    <w:p>
      <w:pPr>
        <w:ind w:firstLine="560" w:firstLineChars="200"/>
        <w:rPr>
          <w:rFonts w:ascii="仿宋" w:eastAsia="仿宋" w:hAnsi="仿宋" w:cs="仿宋" w:hint="eastAsia"/>
          <w:sz w:val="28"/>
        </w:rPr>
      </w:pPr>
      <w:r>
        <w:rPr>
          <w:rFonts w:ascii="仿宋" w:eastAsia="仿宋" w:hAnsi="仿宋" w:cs="仿宋" w:hint="eastAsia"/>
          <w:sz w:val="28"/>
          <w:lang w:eastAsia="zh-CN"/>
        </w:rPr>
        <w:t>一、地理位置及资源优势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该区域位于XXX地区，具有得天独厚的地理位置优势。地理位置的便利性对区域的经济发展起到积极的推动作用，有利于物流、贸易和人员流动。</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该区域拥有丰富的自然资源，如XXX、XXX等，为产业发展提供了坚实的基础。这些资源的合理开发利用是该区域经济可持续发展的重要保障。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二、产业结构及特色产业</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该区域的产业结构呈现出多元化的特点。传统产业与新兴产业相结合，形成了较为完善的产业体系。特别是XXX领域的发展相对较为突出，成为该区域的特色产业之一。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新兴产业方面，科技创新、高端制造等领域逐渐崭露头角，为该区域经济注入了新的活力。政府对新兴产业的扶持政策也进一步促进了这些领域的发展。</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三、投资环境及政策支持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该区域的投资环境相对较好。政府通过一系列政策和措施鼓励企业投资兴业，提供税收优惠、用地支持等政策，吸引了一批知名企业在此设立生产基地或研发中心。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政府还积极推动营商环境的改善，简化行政手续，提高服务效率，降低企业运营成本，为投资者提供更便利的发展环境。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四、基础设施建设及城市化水平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该区域的基础设施建设相对完善。交通网络、能源供应、信息技术等基础设施水平较高，为企业提供了便捷的生产和生活条件。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城市化水平逐渐提升，城市规划与建设得到有效推动。新建的城市区域吸引了大量人口流入，形成了人口、产业、文化等多方面的融合效应。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五、社会服务水平及人才储备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该区域的社会服务水平相对较高，教育、医疗、文化等领域得到了有效的支持和提升。这为企业提供了更好的人才保障和劳动力素质。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人才储备方面，该区域培养了一批高素质的专业人才，为企业的技术创新和管理提供了强有力的支持。同时，政府还采取措施吸引外部优秀人才，形成了人才资源的集聚效应。</w:t>
      </w:r>
    </w:p>
    <w:p>
      <w:pPr>
        <w:ind w:firstLine="560" w:firstLineChars="200"/>
        <w:rPr>
          <w:rFonts w:ascii="仿宋" w:eastAsia="仿宋" w:hAnsi="仿宋" w:cs="仿宋" w:hint="eastAsia"/>
          <w:sz w:val="28"/>
        </w:rPr>
      </w:pPr>
      <w:r>
        <w:rPr>
          <w:rFonts w:ascii="仿宋" w:eastAsia="仿宋" w:hAnsi="仿宋" w:cs="仿宋" w:hint="eastAsia"/>
          <w:sz w:val="28"/>
          <w:lang w:eastAsia="zh-CN"/>
        </w:rPr>
        <w:t>六、环境保护与可持续发展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该区域注重环境保护和可持续发展。政府出台了一系列环保政策，推动企业进行清洁生产，加强资源利用效率，努力实现经济增长与环境保护的良性互动。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8" w:history="1">
        <w:r>
          <w:rPr>
            <w:rFonts w:ascii="SimSun" w:eastAsia="SimSun" w:hAnsi="SimSun" w:cs="SimSun"/>
            <w:b/>
            <w:bCs/>
            <w:color w:val="0000EE"/>
            <w:kern w:val="0"/>
            <w:sz w:val="30"/>
            <w:szCs w:val="30"/>
            <w:u w:val="single" w:color="0000EE"/>
          </w:rPr>
          <w:t>https://d.book118.com/617163120101006052</w:t>
        </w:r>
      </w:hyperlink>
    </w:p>
    <w:p>
      <w:pPr>
        <w:ind w:firstLine="560" w:firstLineChars="200"/>
        <w:rPr>
          <w:rFonts w:ascii="仿宋" w:eastAsia="仿宋" w:hAnsi="仿宋" w:cs="仿宋" w:hint="eastAsia"/>
          <w:sz w:val="28"/>
        </w:rPr>
      </w:pPr>
    </w:p>
    <w:sectPr>
      <w:headerReference w:type="default" r:id="rId79"/>
      <w:footerReference w:type="default" r:id="rId80"/>
      <w:type w:val="nextPage"/>
      <w:pgSz w:w="11906" w:h="16838"/>
      <w:pgMar w:top="1440" w:right="1800" w:bottom="1440" w:left="1800" w:header="851" w:footer="992" w:gutter="0"/>
      <w:pgNumType w:start="3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电动滑板车项目概述报告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BC6984"/>
    <w:rsid w:val="1DBC69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yperlink" Target="https://d.book118.com/617163120101006052" TargetMode="External" /><Relationship Id="rId79" Type="http://schemas.openxmlformats.org/officeDocument/2006/relationships/header" Target="header38.xml" /><Relationship Id="rId8" Type="http://schemas.openxmlformats.org/officeDocument/2006/relationships/header" Target="header3.xml" /><Relationship Id="rId80" Type="http://schemas.openxmlformats.org/officeDocument/2006/relationships/footer" Target="footer38.xml" /><Relationship Id="rId81" Type="http://schemas.openxmlformats.org/officeDocument/2006/relationships/theme" Target="theme/theme1.xml" /><Relationship Id="rId82" Type="http://schemas.openxmlformats.org/officeDocument/2006/relationships/styles" Target="styles.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2024-01-20T09:49:00Z</dcterms:created>
  <dcterms:modified xsi:type="dcterms:W3CDTF">2024-01-20T09:49:31Z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D77091334E81421C9062DB0C3E7250BA_11</vt:lpwstr>
  </property>
  <property fmtid="{D5CDD505-2E9C-101B-9397-08002B2CF9AE}" pid="3" name="KSOProductBuildVer">
    <vt:lpwstr>2052-12.1.0.16120</vt:lpwstr>
  </property>
</Properties>
</file>