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12" w:lineRule="auto"/>
        <w:rPr>
          <w:rFonts w:ascii="Arial"/>
          <w:sz w:val="21"/>
        </w:rPr>
      </w:pPr>
      <w:r>
        <w:pict>
          <v:rect id="_x0000_s1025" style="width:161.7pt;height:14.2pt;margin-top:639.43pt;margin-left:384.67pt;mso-position-horizontal-relative:page;mso-position-vertical-relative:page;position:absolute;z-index:251666432" o:allowincell="f" filled="t" fillcolor="#005bac" stroked="f"/>
        </w:pict>
      </w: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4879213</wp:posOffset>
            </wp:positionH>
            <wp:positionV relativeFrom="page">
              <wp:posOffset>2129282</wp:posOffset>
            </wp:positionV>
            <wp:extent cx="2053081" cy="762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3081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5244020</wp:posOffset>
            </wp:positionH>
            <wp:positionV relativeFrom="page">
              <wp:posOffset>2990152</wp:posOffset>
            </wp:positionV>
            <wp:extent cx="1460055" cy="857503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60055" cy="8575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5036947</wp:posOffset>
            </wp:positionH>
            <wp:positionV relativeFrom="page">
              <wp:posOffset>3932555</wp:posOffset>
            </wp:positionV>
            <wp:extent cx="229107" cy="232282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9107" cy="232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5752083</wp:posOffset>
            </wp:positionH>
            <wp:positionV relativeFrom="page">
              <wp:posOffset>3921887</wp:posOffset>
            </wp:positionV>
            <wp:extent cx="219710" cy="24295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710" cy="2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5392547</wp:posOffset>
            </wp:positionH>
            <wp:positionV relativeFrom="page">
              <wp:posOffset>3926586</wp:posOffset>
            </wp:positionV>
            <wp:extent cx="228980" cy="238251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80" cy="238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6479032</wp:posOffset>
            </wp:positionH>
            <wp:positionV relativeFrom="page">
              <wp:posOffset>3932555</wp:posOffset>
            </wp:positionV>
            <wp:extent cx="228980" cy="232282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80" cy="232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8" w:line="218" w:lineRule="auto"/>
        <w:ind w:left="7496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9.7pt;height:15.85pt;margin-top:2.9pt;margin-left:276.09pt;position:absolute;z-index:251660288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2" w:lineRule="auto"/>
                    <w:ind w:left="20"/>
                    <w:rPr>
                      <w:sz w:val="24"/>
                      <w:szCs w:val="24"/>
                    </w:rPr>
                  </w:pPr>
                  <w:r>
                    <w:rPr>
                      <w:color w:val="FFFFFF"/>
                      <w:spacing w:val="-2"/>
                      <w:sz w:val="24"/>
                      <w:szCs w:val="24"/>
                      <w14:textOutline w14:w="4354">
                        <w14:solidFill>
                          <w14:srgbClr w14:val="FFFFFF"/>
                        </w14:solidFill>
                        <w14:prstDash w14:val="solid"/>
                        <w14:miter w14:lim="10"/>
                      </w14:textOutline>
                    </w:rPr>
                    <w:t>建筑装饰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7257</wp:posOffset>
            </wp:positionH>
            <wp:positionV relativeFrom="paragraph">
              <wp:posOffset>-96072</wp:posOffset>
            </wp:positionV>
            <wp:extent cx="6286205" cy="418684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86205" cy="418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pacing w:val="-7"/>
          <w:sz w:val="24"/>
          <w:szCs w:val="24"/>
          <w14:textOutline w14:w="4354">
            <w14:solidFill>
              <w14:srgbClr w14:val="FFFFFF"/>
            </w14:solidFill>
            <w14:prstDash w14:val="solid"/>
            <w14:miter w14:lim="10"/>
          </w14:textOutline>
        </w:rPr>
        <w:t>发布时间：</w:t>
      </w:r>
      <w:r>
        <w:rPr>
          <w:color w:val="FFFFFF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FFFF"/>
          <w:spacing w:val="-7"/>
          <w:sz w:val="24"/>
          <w:szCs w:val="24"/>
        </w:rPr>
        <w:t>2024-01-10</w:t>
      </w:r>
    </w:p>
    <w:p>
      <w:pPr>
        <w:spacing w:line="218" w:lineRule="exact"/>
      </w:pPr>
    </w:p>
    <w:p>
      <w:pPr>
        <w:spacing w:line="218" w:lineRule="exact"/>
        <w:sectPr>
          <w:headerReference w:type="default" r:id="rId11"/>
          <w:footerReference w:type="default" r:id="rId12"/>
          <w:pgSz w:w="11907" w:h="16839"/>
          <w:pgMar w:top="1221" w:right="979" w:bottom="1082" w:left="991" w:header="566" w:footer="820" w:gutter="0"/>
          <w:cols w:num="1" w:space="708" w:equalWidth="0">
            <w:col w:w="9936" w:space="0"/>
          </w:cols>
        </w:sectPr>
      </w:pPr>
    </w:p>
    <w:p>
      <w:pPr>
        <w:pStyle w:val="BodyText"/>
        <w:spacing w:before="77" w:line="232" w:lineRule="auto"/>
        <w:ind w:left="35"/>
        <w:rPr>
          <w:sz w:val="21"/>
          <w:szCs w:val="21"/>
        </w:rPr>
      </w:pPr>
      <w:r>
        <w:rPr>
          <w:spacing w:val="-1"/>
          <w:sz w:val="21"/>
          <w:szCs w:val="21"/>
        </w:rPr>
        <w:t>证券研究报告</w:t>
      </w:r>
      <w:r>
        <w:rPr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/  </w:t>
      </w:r>
      <w:r>
        <w:rPr>
          <w:spacing w:val="-1"/>
          <w:sz w:val="21"/>
          <w:szCs w:val="21"/>
        </w:rPr>
        <w:t>行业深度报告</w:t>
      </w:r>
    </w:p>
    <w:p>
      <w:pPr>
        <w:pStyle w:val="BodyText"/>
        <w:spacing w:before="225" w:line="218" w:lineRule="auto"/>
        <w:ind w:left="37"/>
        <w:rPr>
          <w:sz w:val="31"/>
          <w:szCs w:val="31"/>
        </w:rPr>
      </w:pPr>
      <w:r>
        <w:rPr>
          <w:spacing w:val="10"/>
          <w:sz w:val="31"/>
          <w:szCs w:val="31"/>
          <w14:textOutline w14:w="5791">
            <w14:solidFill>
              <w14:srgbClr w14:val="000000"/>
            </w14:solidFill>
            <w14:prstDash w14:val="solid"/>
            <w14:miter w14:lim="10"/>
          </w14:textOutline>
        </w:rPr>
        <w:t>基建彰显韧性，央企再迎新篇</w:t>
      </w:r>
    </w:p>
    <w:p>
      <w:pPr>
        <w:pStyle w:val="BodyText"/>
        <w:spacing w:before="79" w:line="204" w:lineRule="auto"/>
        <w:ind w:left="3392"/>
        <w:rPr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>---</w:t>
      </w:r>
      <w:r>
        <w:rPr>
          <w:sz w:val="21"/>
          <w:szCs w:val="2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建筑装饰行业</w:t>
      </w:r>
      <w:r>
        <w:rPr>
          <w:spacing w:val="-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2024 </w:t>
      </w:r>
      <w:r>
        <w:rPr>
          <w:sz w:val="21"/>
          <w:szCs w:val="2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年投资策略</w:t>
      </w:r>
    </w:p>
    <w:tbl>
      <w:tblPr>
        <w:tblStyle w:val="TableNormal"/>
        <w:tblW w:w="6541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017"/>
        <w:gridCol w:w="668"/>
        <w:gridCol w:w="672"/>
        <w:gridCol w:w="668"/>
        <w:gridCol w:w="668"/>
        <w:gridCol w:w="668"/>
        <w:gridCol w:w="668"/>
        <w:gridCol w:w="667"/>
        <w:gridCol w:w="845"/>
      </w:tblGrid>
      <w:tr>
        <w:tblPrEx>
          <w:tblW w:w="6541" w:type="dxa"/>
          <w:tblInd w:w="14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10369"/>
        </w:trPr>
        <w:tc>
          <w:tcPr>
            <w:tcW w:w="6541" w:type="dxa"/>
            <w:gridSpan w:val="9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pStyle w:val="TableText"/>
              <w:spacing w:before="38" w:line="217" w:lineRule="auto"/>
              <w:ind w:left="19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14:textOutline w14:w="4354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报告摘要：</w:t>
            </w:r>
          </w:p>
          <w:p>
            <w:pPr>
              <w:pStyle w:val="TableText"/>
              <w:spacing w:before="204" w:line="238" w:lineRule="auto"/>
              <w:ind w:left="18" w:right="1" w:firstLine="6"/>
              <w:jc w:val="both"/>
            </w:pPr>
            <w:r>
              <w:rPr>
                <w:spacing w:val="-1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建筑板块前三季度业绩不及预期。公司层面</w:t>
            </w:r>
            <w:r>
              <w:rPr>
                <w:spacing w:val="-2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，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2023 </w:t>
            </w:r>
            <w:r>
              <w:rPr>
                <w:spacing w:val="-2"/>
              </w:rPr>
              <w:t>年前三季度营收累计</w:t>
            </w:r>
            <w:r>
              <w:t xml:space="preserve"> </w:t>
            </w:r>
            <w:r>
              <w:rPr>
                <w:spacing w:val="1"/>
              </w:rPr>
              <w:t>同比</w:t>
            </w:r>
            <w:r>
              <w:rPr>
                <w:rFonts w:ascii="Times New Roman" w:eastAsia="Times New Roman" w:hAnsi="Times New Roman" w:cs="Times New Roman"/>
                <w:spacing w:val="1"/>
              </w:rPr>
              <w:t>+7.2%</w:t>
            </w:r>
            <w:r>
              <w:rPr>
                <w:rFonts w:ascii="Times New Roman" w:eastAsia="Times New Roman" w:hAnsi="Times New Roman" w:cs="Times New Roman"/>
                <w:spacing w:val="-28"/>
              </w:rPr>
              <w:t xml:space="preserve"> </w:t>
            </w:r>
            <w:r>
              <w:rPr>
                <w:spacing w:val="1"/>
              </w:rPr>
              <w:t>，单季度同比</w:t>
            </w:r>
            <w:r>
              <w:rPr>
                <w:rFonts w:ascii="Times New Roman" w:eastAsia="Times New Roman" w:hAnsi="Times New Roman" w:cs="Times New Roman"/>
                <w:spacing w:val="1"/>
              </w:rPr>
              <w:t>+8.1%</w:t>
            </w:r>
            <w:r>
              <w:rPr>
                <w:rFonts w:ascii="Times New Roman" w:eastAsia="Times New Roman" w:hAnsi="Times New Roman" w:cs="Times New Roman"/>
                <w:spacing w:val="-28"/>
              </w:rPr>
              <w:t xml:space="preserve"> </w:t>
            </w:r>
            <w:r>
              <w:rPr>
                <w:spacing w:val="1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+</w:t>
            </w:r>
            <w:r>
              <w:rPr>
                <w:rFonts w:ascii="Times New Roman" w:eastAsia="Times New Roman" w:hAnsi="Times New Roman" w:cs="Times New Roman"/>
              </w:rPr>
              <w:t>6.3%</w:t>
            </w:r>
            <w:r>
              <w:rPr>
                <w:rFonts w:ascii="Times New Roman" w:eastAsia="Times New Roman" w:hAnsi="Times New Roman" w:cs="Times New Roman"/>
                <w:spacing w:val="-28"/>
              </w:rPr>
              <w:t xml:space="preserve"> </w:t>
            </w:r>
            <w:r>
              <w:t>、</w:t>
            </w:r>
            <w:r>
              <w:rPr>
                <w:rFonts w:ascii="Times New Roman" w:eastAsia="Times New Roman" w:hAnsi="Times New Roman" w:cs="Times New Roman"/>
              </w:rPr>
              <w:t>+7.2%</w:t>
            </w:r>
            <w:r>
              <w:t>；归母净利润累计同比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+3.0%</w:t>
            </w:r>
            <w:r>
              <w:rPr>
                <w:rFonts w:ascii="Times New Roman" w:eastAsia="Times New Roman" w:hAnsi="Times New Roman" w:cs="Times New Roman"/>
                <w:spacing w:val="-23"/>
              </w:rPr>
              <w:t xml:space="preserve"> </w:t>
            </w:r>
            <w:r>
              <w:rPr>
                <w:spacing w:val="-1"/>
              </w:rPr>
              <w:t>，单季度同比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+14.5%</w:t>
            </w:r>
            <w:r>
              <w:rPr>
                <w:rFonts w:ascii="Times New Roman" w:eastAsia="Times New Roman" w:hAnsi="Times New Roman" w:cs="Times New Roman"/>
                <w:spacing w:val="-28"/>
              </w:rPr>
              <w:t xml:space="preserve"> </w:t>
            </w:r>
            <w:r>
              <w:rPr>
                <w:spacing w:val="-1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+0.3%</w:t>
            </w:r>
            <w:r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r>
              <w:rPr>
                <w:spacing w:val="-1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-4.5%</w:t>
            </w:r>
            <w:r>
              <w:rPr>
                <w:spacing w:val="-1"/>
              </w:rPr>
              <w:t>；业绩增速阶梯式下降，主</w:t>
            </w:r>
            <w:r>
              <w:t xml:space="preserve"> </w:t>
            </w:r>
            <w:r>
              <w:rPr>
                <w:spacing w:val="-3"/>
              </w:rPr>
              <w:t>要系基建链资金承压、地产链需求走弱。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其中，国际工程板块受益海外</w:t>
            </w:r>
            <w:r>
              <w:t xml:space="preserve"> </w:t>
            </w:r>
            <w:r>
              <w:rPr>
                <w:spacing w:val="-9"/>
              </w:rPr>
              <w:t>需求复苏，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业绩表现亮眼，归母净利润累计同比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+25.8%</w:t>
            </w:r>
            <w:r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>
              <w:rPr>
                <w:spacing w:val="-9"/>
              </w:rPr>
              <w:t>。</w:t>
            </w:r>
            <w:r>
              <w:rPr>
                <w:spacing w:val="-9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产业层面，</w:t>
            </w:r>
            <w:r>
              <w:rPr>
                <w:spacing w:val="46"/>
              </w:rPr>
              <w:t xml:space="preserve"> </w:t>
            </w:r>
            <w:r>
              <w:rPr>
                <w:spacing w:val="-9"/>
              </w:rPr>
              <w:t>截</w:t>
            </w:r>
            <w:r>
              <w:t xml:space="preserve"> </w:t>
            </w:r>
            <w:r>
              <w:rPr>
                <w:spacing w:val="-3"/>
              </w:rPr>
              <w:t>止</w:t>
            </w:r>
            <w:r>
              <w:rPr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2023</w:t>
            </w:r>
            <w:r>
              <w:rPr>
                <w:rFonts w:ascii="Times New Roman" w:eastAsia="Times New Roman" w:hAnsi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-3"/>
              </w:rPr>
              <w:t>年</w:t>
            </w:r>
            <w:r>
              <w:rPr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r>
              <w:rPr>
                <w:spacing w:val="-3"/>
              </w:rPr>
              <w:t>月，固定资产投资完成累计同比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+2.9%</w:t>
            </w:r>
            <w:r>
              <w:rPr>
                <w:rFonts w:ascii="Times New Roman" w:eastAsia="Times New Roman" w:hAnsi="Times New Roman" w:cs="Times New Roman"/>
                <w:spacing w:val="-28"/>
              </w:rPr>
              <w:t xml:space="preserve"> </w:t>
            </w:r>
            <w:r>
              <w:rPr>
                <w:spacing w:val="-3"/>
              </w:rPr>
              <w:t>。其中，基建、房</w:t>
            </w:r>
            <w:r>
              <w:t xml:space="preserve"> </w:t>
            </w:r>
            <w:r>
              <w:rPr>
                <w:spacing w:val="-1"/>
              </w:rPr>
              <w:t>地产开发、制造业投资累计同比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+8.0%</w:t>
            </w:r>
            <w:r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r>
              <w:rPr>
                <w:spacing w:val="-2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-9.4%</w:t>
            </w:r>
            <w:r>
              <w:rPr>
                <w:rFonts w:ascii="Times New Roman" w:eastAsia="Times New Roman" w:hAnsi="Times New Roman" w:cs="Times New Roman"/>
                <w:spacing w:val="-30"/>
              </w:rPr>
              <w:t xml:space="preserve"> </w:t>
            </w:r>
            <w:r>
              <w:rPr>
                <w:spacing w:val="-2"/>
              </w:rPr>
              <w:t>、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+6.3%</w:t>
            </w:r>
            <w:r>
              <w:rPr>
                <w:spacing w:val="-2"/>
              </w:rPr>
              <w:t>。</w:t>
            </w:r>
          </w:p>
          <w:p>
            <w:pPr>
              <w:pStyle w:val="TableText"/>
              <w:spacing w:before="165" w:line="213" w:lineRule="auto"/>
              <w:ind w:left="18"/>
            </w:pPr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展望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2024  </w:t>
            </w:r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年，基建链彰显韧性，地产链亦有望触底反弹。短期来看：</w:t>
            </w:r>
          </w:p>
          <w:p>
            <w:pPr>
              <w:pStyle w:val="TableText"/>
              <w:spacing w:before="30" w:line="235" w:lineRule="auto"/>
              <w:ind w:left="13" w:firstLine="16"/>
              <w:jc w:val="both"/>
            </w:pPr>
            <w:r>
              <w:rPr>
                <w:spacing w:val="-5"/>
              </w:rPr>
              <w:t>万亿特别国债已下达两批项目清单，</w:t>
            </w:r>
            <w:r>
              <w:rPr>
                <w:spacing w:val="-57"/>
              </w:rPr>
              <w:t xml:space="preserve"> </w:t>
            </w:r>
            <w:r>
              <w:rPr>
                <w:spacing w:val="-5"/>
              </w:rPr>
              <w:t>涉及资金超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8000 </w:t>
            </w:r>
            <w:r>
              <w:rPr>
                <w:spacing w:val="-5"/>
              </w:rPr>
              <w:t>亿元，专项债提前</w:t>
            </w:r>
            <w:r>
              <w:t xml:space="preserve"> </w:t>
            </w:r>
            <w:r>
              <w:rPr>
                <w:spacing w:val="-4"/>
              </w:rPr>
              <w:t>批资金亦有望于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2024</w:t>
            </w:r>
            <w:r>
              <w:rPr>
                <w:rFonts w:ascii="Times New Roman" w:eastAsia="Times New Roman" w:hAnsi="Times New Roman" w:cs="Times New Roman"/>
                <w:spacing w:val="19"/>
                <w:w w:val="101"/>
              </w:rPr>
              <w:t xml:space="preserve"> </w:t>
            </w:r>
            <w:r>
              <w:rPr>
                <w:spacing w:val="-4"/>
              </w:rPr>
              <w:t>年</w:t>
            </w:r>
            <w:r>
              <w:rPr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30"/>
                <w:w w:val="101"/>
              </w:rPr>
              <w:t xml:space="preserve"> </w:t>
            </w:r>
            <w:r>
              <w:rPr>
                <w:spacing w:val="-4"/>
              </w:rPr>
              <w:t>月落地；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2024</w:t>
            </w:r>
            <w:r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>
              <w:rPr>
                <w:spacing w:val="-4"/>
              </w:rPr>
              <w:t>年上半年，基建</w:t>
            </w:r>
            <w:r>
              <w:rPr>
                <w:spacing w:val="-5"/>
              </w:rPr>
              <w:t>链将支撑建筑</w:t>
            </w:r>
            <w:r>
              <w:t xml:space="preserve"> </w:t>
            </w:r>
            <w:r>
              <w:rPr>
                <w:spacing w:val="-3"/>
              </w:rPr>
              <w:t>业保持较高景气度。</w:t>
            </w:r>
            <w:r>
              <w:rPr>
                <w:spacing w:val="-3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中长期来看：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1</w:t>
            </w:r>
            <w:r>
              <w:rPr>
                <w:spacing w:val="-3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）</w:t>
            </w:r>
            <w:r>
              <w:rPr>
                <w:spacing w:val="-3"/>
              </w:rPr>
              <w:t>地产链销售、新开工等环节已深度</w:t>
            </w:r>
            <w:r>
              <w:rPr>
                <w:spacing w:val="4"/>
              </w:rPr>
              <w:t xml:space="preserve"> </w:t>
            </w:r>
            <w:r>
              <w:rPr>
                <w:spacing w:val="-9"/>
              </w:rPr>
              <w:t>调整，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</w:rPr>
              <w:t>政策博弈重心聚焦一线城市，</w:t>
            </w:r>
            <w:r>
              <w:rPr>
                <w:spacing w:val="-28"/>
              </w:rPr>
              <w:t xml:space="preserve"> </w:t>
            </w:r>
            <w:r>
              <w:rPr>
                <w:spacing w:val="-9"/>
              </w:rPr>
              <w:t>政策力度已达高位，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2024 </w:t>
            </w:r>
            <w:r>
              <w:rPr>
                <w:spacing w:val="-9"/>
              </w:rPr>
              <w:t>年需求有</w:t>
            </w:r>
            <w:r>
              <w:t xml:space="preserve"> </w:t>
            </w:r>
            <w:r>
              <w:rPr>
                <w:spacing w:val="-3"/>
              </w:rPr>
              <w:t>望走出低谷。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2</w:t>
            </w:r>
            <w:r>
              <w:rPr>
                <w:spacing w:val="-3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）</w:t>
            </w:r>
            <w:r>
              <w:rPr>
                <w:spacing w:val="-3"/>
              </w:rPr>
              <w:t>万亿国债开启中央加杠杆预期，中央财政同时具备加杠</w:t>
            </w:r>
            <w:r>
              <w:rPr>
                <w:spacing w:val="4"/>
              </w:rPr>
              <w:t xml:space="preserve"> </w:t>
            </w:r>
            <w:r>
              <w:t>杆能力及意愿，经济复苏动能偏弱背景下财</w:t>
            </w:r>
            <w:r>
              <w:rPr>
                <w:spacing w:val="-1"/>
              </w:rPr>
              <w:t>政政策或超预期。</w:t>
            </w:r>
          </w:p>
          <w:p>
            <w:pPr>
              <w:pStyle w:val="TableText"/>
              <w:spacing w:before="187" w:line="237" w:lineRule="auto"/>
              <w:ind w:left="15" w:firstLine="8"/>
            </w:pPr>
            <w:r>
              <w:rPr>
                <w:spacing w:val="-8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建筑央企再迎新篇。（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>1</w:t>
            </w:r>
            <w:r>
              <w:rPr>
                <w:spacing w:val="-8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）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</w:rPr>
              <w:t xml:space="preserve">ROE </w:t>
            </w:r>
            <w:r>
              <w:rPr>
                <w:spacing w:val="-8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及市占率稳步提升。</w:t>
            </w:r>
            <w:r>
              <w:rPr>
                <w:spacing w:val="-8"/>
              </w:rPr>
              <w:t>建筑业呈现项目综合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化、资金财政化的发展趋势，更为考验建设方的资质积累</w:t>
            </w:r>
            <w:r>
              <w:rPr>
                <w:spacing w:val="-3"/>
              </w:rPr>
              <w:t>和产业布局纵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深，资金要素亦加速向政府端汇集。建筑央企依托市场资源、资</w:t>
            </w:r>
            <w:r>
              <w:rPr>
                <w:spacing w:val="-7"/>
              </w:rPr>
              <w:t>金成本、</w:t>
            </w:r>
            <w:r>
              <w:t xml:space="preserve"> </w:t>
            </w:r>
            <w:r>
              <w:rPr>
                <w:spacing w:val="-2"/>
              </w:rPr>
              <w:t>产业布局等多维度优势抢占优质项目，经营质量实现稳中</w:t>
            </w:r>
            <w:r>
              <w:rPr>
                <w:spacing w:val="-3"/>
              </w:rPr>
              <w:t>向好。一方面</w:t>
            </w:r>
            <w:r>
              <w:rPr>
                <w:spacing w:val="-3"/>
              </w:rPr>
              <w:t xml:space="preserve"> </w:t>
            </w:r>
            <w:r>
              <w:rPr>
                <w:spacing w:val="-9"/>
              </w:rPr>
              <w:t>反映为市占率稳步提升；另一方面反映为“十四五”时期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</w:rPr>
              <w:t xml:space="preserve">ROE </w:t>
            </w:r>
            <w:r>
              <w:rPr>
                <w:spacing w:val="-9"/>
              </w:rPr>
              <w:t>企稳向上。</w:t>
            </w:r>
            <w:r>
              <w:t xml:space="preserve"> </w:t>
            </w:r>
            <w:r>
              <w:rPr>
                <w:spacing w:val="-12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2"/>
              </w:rPr>
              <w:t>2</w:t>
            </w:r>
            <w:r>
              <w:rPr>
                <w:spacing w:val="-12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）新一轮国企改革聚焦“公司治理”、“并购重组”。</w:t>
            </w:r>
            <w:r>
              <w:rPr>
                <w:spacing w:val="-12"/>
              </w:rPr>
              <w:t>一是中国交</w:t>
            </w:r>
            <w:r>
              <w:rPr>
                <w:spacing w:val="-13"/>
              </w:rPr>
              <w:t>建、</w:t>
            </w:r>
            <w:r>
              <w:t xml:space="preserve">  </w:t>
            </w:r>
            <w:r>
              <w:rPr>
                <w:spacing w:val="-5"/>
              </w:rPr>
              <w:t>中钢国际等实施股票激励计划，业绩指引具备挑战</w:t>
            </w:r>
            <w:r>
              <w:rPr>
                <w:spacing w:val="-6"/>
              </w:rPr>
              <w:t>性。二是“一利五率</w:t>
            </w:r>
            <w:r>
              <w:rPr>
                <w:spacing w:val="-6"/>
              </w:rPr>
              <w:t xml:space="preserve">  </w:t>
            </w:r>
            <w:r>
              <w:rPr>
                <w:spacing w:val="-2"/>
              </w:rPr>
              <w:t>聚焦现金流管控，中材国际等优化分红政策，股息率具备</w:t>
            </w:r>
            <w:r>
              <w:rPr>
                <w:spacing w:val="-3"/>
              </w:rPr>
              <w:t>吸引力。三是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中钢国际等有望参与资产整合。</w:t>
            </w:r>
          </w:p>
          <w:p>
            <w:pPr>
              <w:pStyle w:val="TableText"/>
              <w:spacing w:before="181" w:line="226" w:lineRule="auto"/>
              <w:ind w:left="20" w:firstLine="3"/>
            </w:pPr>
            <w:r>
              <w:rPr>
                <w:spacing w:val="-5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投资建议：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我们坚定看好</w:t>
            </w:r>
            <w:r>
              <w:rPr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2024  </w:t>
            </w:r>
            <w:r>
              <w:rPr>
                <w:spacing w:val="-5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年经济复苏行情，建筑装饰板块聚焦财</w:t>
            </w:r>
            <w:r>
              <w:rPr>
                <w:spacing w:val="-5"/>
              </w:rPr>
              <w:t xml:space="preserve"> </w:t>
            </w:r>
            <w:r>
              <w:rPr>
                <w:spacing w:val="-9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政发力稳增长、顺周期、国企改革三大主线，</w:t>
            </w:r>
            <w:r>
              <w:rPr>
                <w:spacing w:val="-9"/>
              </w:rPr>
              <w:t xml:space="preserve"> </w:t>
            </w:r>
            <w:r>
              <w:rPr>
                <w:spacing w:val="-9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重点推</w:t>
            </w:r>
            <w:r>
              <w:rPr>
                <w:spacing w:val="-10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荐和关注建筑央企。</w:t>
            </w:r>
          </w:p>
          <w:p>
            <w:pPr>
              <w:pStyle w:val="TableText"/>
              <w:spacing w:before="28" w:line="236" w:lineRule="auto"/>
              <w:ind w:left="16" w:firstLine="20"/>
              <w:jc w:val="both"/>
            </w:pPr>
            <w:r>
              <w:rPr>
                <w:spacing w:val="-6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1</w:t>
            </w:r>
            <w:r>
              <w:rPr>
                <w:spacing w:val="-6"/>
              </w:rPr>
              <w:t>）财政发力稳增长：万亿特殊国债贡献基建资金增量，并开启中央财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政加杠杆预期，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经济复苏动能偏弱背景下财政</w:t>
            </w:r>
            <w:r>
              <w:rPr>
                <w:spacing w:val="-6"/>
              </w:rPr>
              <w:t>发力或超预期，推荐低估</w:t>
            </w:r>
            <w:r>
              <w:rPr>
                <w:spacing w:val="-6"/>
              </w:rPr>
              <w:t xml:space="preserve"> </w:t>
            </w:r>
            <w:r>
              <w:t>值建筑龙头</w:t>
            </w:r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中国建筑</w:t>
            </w:r>
            <w:r>
              <w:t>、</w:t>
            </w:r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中国中铁</w:t>
            </w:r>
            <w:r>
              <w:t>、</w:t>
            </w:r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中国铁建</w:t>
            </w:r>
            <w:r>
              <w:t>、</w:t>
            </w:r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中国交建</w:t>
            </w:r>
            <w:r>
              <w:t>、</w:t>
            </w:r>
            <w:r>
              <w:rPr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中国电建</w:t>
            </w:r>
            <w:r>
              <w:t>等。</w:t>
            </w:r>
            <w:r>
              <w:rPr>
                <w:spacing w:val="13"/>
              </w:rPr>
              <w:t xml:space="preserve"> </w:t>
            </w:r>
            <w:r>
              <w:rPr>
                <w:spacing w:val="-10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2</w:t>
            </w:r>
            <w:r>
              <w:rPr>
                <w:spacing w:val="-10"/>
              </w:rPr>
              <w:t>）顺周期：</w:t>
            </w:r>
            <w:r>
              <w:rPr>
                <w:spacing w:val="-33"/>
              </w:rPr>
              <w:t xml:space="preserve"> </w:t>
            </w:r>
            <w:r>
              <w:rPr>
                <w:spacing w:val="-10"/>
              </w:rPr>
              <w:t>随复苏动能积蓄，</w:t>
            </w:r>
            <w:r>
              <w:rPr>
                <w:spacing w:val="-24"/>
              </w:rPr>
              <w:t xml:space="preserve"> </w:t>
            </w:r>
            <w:r>
              <w:rPr>
                <w:spacing w:val="-10"/>
              </w:rPr>
              <w:t>宏观经济有望回暖，专业工程标的具备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弹性，推荐</w:t>
            </w:r>
            <w:r>
              <w:rPr>
                <w:spacing w:val="-5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中国化学</w:t>
            </w:r>
            <w:r>
              <w:rPr>
                <w:spacing w:val="-5"/>
              </w:rPr>
              <w:t>、</w:t>
            </w:r>
            <w:r>
              <w:rPr>
                <w:spacing w:val="-5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中材国际</w:t>
            </w:r>
            <w:r>
              <w:rPr>
                <w:spacing w:val="-5"/>
              </w:rPr>
              <w:t>、</w:t>
            </w:r>
            <w:r>
              <w:rPr>
                <w:spacing w:val="-5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中国中冶</w:t>
            </w:r>
            <w:r>
              <w:rPr>
                <w:spacing w:val="-5"/>
              </w:rPr>
              <w:t>、</w:t>
            </w:r>
            <w:r>
              <w:rPr>
                <w:spacing w:val="-5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中</w:t>
            </w:r>
            <w:r>
              <w:rPr>
                <w:spacing w:val="-6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国海诚</w:t>
            </w:r>
            <w:r>
              <w:rPr>
                <w:spacing w:val="-6"/>
              </w:rPr>
              <w:t>等。（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3</w:t>
            </w:r>
            <w:r>
              <w:rPr>
                <w:spacing w:val="-6"/>
              </w:rPr>
              <w:t>）国企改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革：新一轮国企改革以公司治理、并购重组为抓手推进</w:t>
            </w:r>
            <w:r>
              <w:rPr>
                <w:spacing w:val="-3"/>
              </w:rPr>
              <w:t>上市公司质量提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升，推荐</w:t>
            </w:r>
            <w:r>
              <w:rPr>
                <w:spacing w:val="-4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中钢国际</w:t>
            </w:r>
            <w:r>
              <w:rPr>
                <w:spacing w:val="-4"/>
              </w:rPr>
              <w:t>等。</w:t>
            </w:r>
          </w:p>
          <w:p>
            <w:pPr>
              <w:pStyle w:val="TableText"/>
              <w:spacing w:before="160" w:line="267" w:lineRule="auto"/>
              <w:ind w:left="45" w:right="5" w:hanging="26"/>
              <w:rPr>
                <w:sz w:val="15"/>
                <w:szCs w:val="15"/>
              </w:rPr>
            </w:pPr>
            <w:r>
              <w:rPr>
                <w:spacing w:val="-12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风险提示：</w:t>
            </w:r>
            <w:r>
              <w:rPr>
                <w:spacing w:val="86"/>
              </w:rPr>
              <w:t xml:space="preserve"> </w:t>
            </w:r>
            <w:r>
              <w:rPr>
                <w:spacing w:val="-12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国改推进不及预期，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地产销售复苏不及预期，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  <w14:textOutline w14:w="3831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境外经营风险</w:t>
            </w:r>
            <w:r>
              <w:t xml:space="preserve"> </w:t>
            </w:r>
            <w:r>
              <w:rPr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重点公司主要财务数据</w:t>
            </w:r>
          </w:p>
        </w:tc>
      </w:tr>
      <w:tr>
        <w:tblPrEx>
          <w:tblW w:w="6541" w:type="dxa"/>
          <w:tblInd w:w="14" w:type="dxa"/>
          <w:tblLayout w:type="fixed"/>
        </w:tblPrEx>
        <w:trPr>
          <w:trHeight w:val="244"/>
        </w:trPr>
        <w:tc>
          <w:tcPr>
            <w:tcW w:w="1017" w:type="dxa"/>
            <w:vMerge w:val="restart"/>
            <w:tcBorders>
              <w:top w:val="single" w:sz="2" w:space="0" w:color="005BAC"/>
              <w:bottom w:val="nil"/>
            </w:tcBorders>
            <w:vAlign w:val="top"/>
          </w:tcPr>
          <w:p>
            <w:pPr>
              <w:pStyle w:val="TableText"/>
              <w:spacing w:before="191" w:line="221" w:lineRule="auto"/>
              <w:ind w:left="230"/>
              <w:rPr>
                <w:sz w:val="15"/>
                <w:szCs w:val="15"/>
              </w:rPr>
            </w:pPr>
            <w:r>
              <w:rPr>
                <w:spacing w:val="-1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重点公司</w:t>
            </w:r>
          </w:p>
        </w:tc>
        <w:tc>
          <w:tcPr>
            <w:tcW w:w="668" w:type="dxa"/>
            <w:vMerge w:val="restart"/>
            <w:tcBorders>
              <w:top w:val="single" w:sz="2" w:space="0" w:color="005BAC"/>
              <w:bottom w:val="nil"/>
            </w:tcBorders>
            <w:vAlign w:val="top"/>
          </w:tcPr>
          <w:p>
            <w:pPr>
              <w:pStyle w:val="TableText"/>
              <w:spacing w:before="191" w:line="225" w:lineRule="auto"/>
              <w:ind w:left="190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现价</w:t>
            </w:r>
          </w:p>
        </w:tc>
        <w:tc>
          <w:tcPr>
            <w:tcW w:w="4011" w:type="dxa"/>
            <w:gridSpan w:val="6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4" w:line="187" w:lineRule="auto"/>
              <w:ind w:left="86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5"/>
                <w:szCs w:val="15"/>
              </w:rPr>
              <w:t>EPS</w:t>
            </w:r>
            <w:r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</w:rPr>
              <w:t xml:space="preserve">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5"/>
                <w:szCs w:val="15"/>
              </w:rPr>
              <w:t>PE</w:t>
            </w:r>
          </w:p>
        </w:tc>
        <w:tc>
          <w:tcPr>
            <w:tcW w:w="845" w:type="dxa"/>
            <w:vMerge w:val="restart"/>
            <w:tcBorders>
              <w:top w:val="single" w:sz="2" w:space="0" w:color="005BAC"/>
              <w:bottom w:val="nil"/>
            </w:tcBorders>
            <w:vAlign w:val="top"/>
          </w:tcPr>
          <w:p>
            <w:pPr>
              <w:pStyle w:val="TableText"/>
              <w:spacing w:before="191" w:line="217" w:lineRule="auto"/>
              <w:ind w:left="290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  <w14:textOutline w14:w="2743">
                  <w14:solidFill>
                    <w14:srgbClr w14:val="000000"/>
                  </w14:solidFill>
                  <w14:prstDash w14:val="solid"/>
                  <w14:miter w14:lim="10"/>
                </w14:textOutline>
              </w:rPr>
              <w:t>评级</w:t>
            </w:r>
          </w:p>
        </w:tc>
      </w:tr>
      <w:tr>
        <w:tblPrEx>
          <w:tblW w:w="6541" w:type="dxa"/>
          <w:tblInd w:w="14" w:type="dxa"/>
          <w:tblLayout w:type="fixed"/>
        </w:tblPrEx>
        <w:trPr>
          <w:trHeight w:val="244"/>
        </w:trPr>
        <w:tc>
          <w:tcPr>
            <w:tcW w:w="1017" w:type="dxa"/>
            <w:vMerge/>
            <w:tcBorders>
              <w:top w:val="nil"/>
              <w:bottom w:val="single" w:sz="2" w:space="0" w:color="005BAC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Merge/>
            <w:tcBorders>
              <w:top w:val="nil"/>
              <w:bottom w:val="single" w:sz="2" w:space="0" w:color="005BAC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72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5" w:line="187" w:lineRule="auto"/>
              <w:ind w:left="14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5"/>
                <w:szCs w:val="15"/>
              </w:rPr>
              <w:t>2023E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5" w:line="187" w:lineRule="auto"/>
              <w:ind w:left="13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5"/>
                <w:szCs w:val="15"/>
              </w:rPr>
              <w:t>2024E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5" w:line="187" w:lineRule="auto"/>
              <w:ind w:left="13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5"/>
                <w:szCs w:val="15"/>
              </w:rPr>
              <w:t>2025E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5" w:line="187" w:lineRule="auto"/>
              <w:ind w:left="13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5"/>
                <w:szCs w:val="15"/>
              </w:rPr>
              <w:t>2023E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5" w:line="187" w:lineRule="auto"/>
              <w:ind w:left="13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5"/>
                <w:szCs w:val="15"/>
              </w:rPr>
              <w:t>2024E</w:t>
            </w:r>
          </w:p>
        </w:tc>
        <w:tc>
          <w:tcPr>
            <w:tcW w:w="667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5" w:line="187" w:lineRule="auto"/>
              <w:ind w:left="13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5"/>
                <w:szCs w:val="15"/>
              </w:rPr>
              <w:t>2025E</w:t>
            </w:r>
          </w:p>
        </w:tc>
        <w:tc>
          <w:tcPr>
            <w:tcW w:w="845" w:type="dxa"/>
            <w:vMerge/>
            <w:tcBorders>
              <w:top w:val="nil"/>
              <w:bottom w:val="single" w:sz="2" w:space="0" w:color="005BAC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6541" w:type="dxa"/>
          <w:tblInd w:w="14" w:type="dxa"/>
          <w:tblLayout w:type="fixed"/>
        </w:tblPrEx>
        <w:trPr>
          <w:trHeight w:val="245"/>
        </w:trPr>
        <w:tc>
          <w:tcPr>
            <w:tcW w:w="1017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pStyle w:val="TableText"/>
              <w:spacing w:before="68" w:line="205" w:lineRule="auto"/>
              <w:ind w:left="244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中国建筑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6" w:line="187" w:lineRule="auto"/>
              <w:ind w:left="205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5"/>
                <w:szCs w:val="15"/>
              </w:rPr>
              <w:t>4.77</w:t>
            </w:r>
          </w:p>
        </w:tc>
        <w:tc>
          <w:tcPr>
            <w:tcW w:w="672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6" w:line="187" w:lineRule="auto"/>
              <w:ind w:left="22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5"/>
                <w:szCs w:val="15"/>
              </w:rPr>
              <w:t>1.37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6" w:line="187" w:lineRule="auto"/>
              <w:ind w:left="2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5"/>
                <w:szCs w:val="15"/>
              </w:rPr>
              <w:t>1.53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6" w:line="187" w:lineRule="auto"/>
              <w:ind w:left="21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5"/>
                <w:szCs w:val="15"/>
              </w:rPr>
              <w:t>1.74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6" w:line="187" w:lineRule="auto"/>
              <w:ind w:left="20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>3.48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6" w:line="187" w:lineRule="auto"/>
              <w:ind w:left="20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>3.12</w:t>
            </w:r>
          </w:p>
        </w:tc>
        <w:tc>
          <w:tcPr>
            <w:tcW w:w="667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6" w:line="187" w:lineRule="auto"/>
              <w:ind w:left="20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5"/>
                <w:szCs w:val="15"/>
              </w:rPr>
              <w:t>2.74</w:t>
            </w:r>
          </w:p>
        </w:tc>
        <w:tc>
          <w:tcPr>
            <w:tcW w:w="845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pStyle w:val="TableText"/>
              <w:spacing w:before="68" w:line="205" w:lineRule="auto"/>
              <w:ind w:left="296"/>
              <w:rPr>
                <w:sz w:val="15"/>
                <w:szCs w:val="15"/>
              </w:rPr>
            </w:pPr>
            <w:r>
              <w:rPr>
                <w:spacing w:val="-3"/>
                <w:sz w:val="15"/>
                <w:szCs w:val="15"/>
              </w:rPr>
              <w:t>买入</w:t>
            </w:r>
          </w:p>
        </w:tc>
      </w:tr>
      <w:tr>
        <w:tblPrEx>
          <w:tblW w:w="6541" w:type="dxa"/>
          <w:tblInd w:w="14" w:type="dxa"/>
          <w:tblLayout w:type="fixed"/>
        </w:tblPrEx>
        <w:trPr>
          <w:trHeight w:val="244"/>
        </w:trPr>
        <w:tc>
          <w:tcPr>
            <w:tcW w:w="1017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pStyle w:val="TableText"/>
              <w:spacing w:before="68" w:line="204" w:lineRule="auto"/>
              <w:ind w:left="244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中国中铁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5" w:line="187" w:lineRule="auto"/>
              <w:ind w:left="20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>5.73</w:t>
            </w:r>
          </w:p>
        </w:tc>
        <w:tc>
          <w:tcPr>
            <w:tcW w:w="672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5" w:line="187" w:lineRule="auto"/>
              <w:ind w:left="221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5"/>
                <w:szCs w:val="15"/>
              </w:rPr>
              <w:t>1.43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5" w:line="187" w:lineRule="auto"/>
              <w:ind w:left="2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5"/>
                <w:szCs w:val="15"/>
              </w:rPr>
              <w:t>1.61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5" w:line="187" w:lineRule="auto"/>
              <w:ind w:left="21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5"/>
                <w:szCs w:val="15"/>
              </w:rPr>
              <w:t>1.82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5" w:line="187" w:lineRule="auto"/>
              <w:ind w:left="203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5"/>
                <w:szCs w:val="15"/>
              </w:rPr>
              <w:t>4.01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5" w:line="187" w:lineRule="auto"/>
              <w:ind w:left="20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>3.56</w:t>
            </w:r>
          </w:p>
        </w:tc>
        <w:tc>
          <w:tcPr>
            <w:tcW w:w="667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5" w:line="187" w:lineRule="auto"/>
              <w:ind w:left="20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>3.15</w:t>
            </w:r>
          </w:p>
        </w:tc>
        <w:tc>
          <w:tcPr>
            <w:tcW w:w="845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pStyle w:val="TableText"/>
              <w:spacing w:before="68" w:line="204" w:lineRule="auto"/>
              <w:ind w:left="296"/>
              <w:rPr>
                <w:sz w:val="15"/>
                <w:szCs w:val="15"/>
              </w:rPr>
            </w:pPr>
            <w:r>
              <w:rPr>
                <w:spacing w:val="-3"/>
                <w:sz w:val="15"/>
                <w:szCs w:val="15"/>
              </w:rPr>
              <w:t>买入</w:t>
            </w:r>
          </w:p>
        </w:tc>
      </w:tr>
      <w:tr>
        <w:tblPrEx>
          <w:tblW w:w="6541" w:type="dxa"/>
          <w:tblInd w:w="14" w:type="dxa"/>
          <w:tblLayout w:type="fixed"/>
        </w:tblPrEx>
        <w:trPr>
          <w:trHeight w:val="247"/>
        </w:trPr>
        <w:tc>
          <w:tcPr>
            <w:tcW w:w="1017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pStyle w:val="TableText"/>
              <w:spacing w:before="70" w:line="205" w:lineRule="auto"/>
              <w:ind w:left="244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中国铁建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8" w:line="187" w:lineRule="auto"/>
              <w:ind w:left="20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>7.51</w:t>
            </w:r>
          </w:p>
        </w:tc>
        <w:tc>
          <w:tcPr>
            <w:tcW w:w="672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8" w:line="187" w:lineRule="auto"/>
              <w:ind w:left="20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5"/>
                <w:szCs w:val="15"/>
              </w:rPr>
              <w:t>2.15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8" w:line="187" w:lineRule="auto"/>
              <w:ind w:left="202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5"/>
                <w:szCs w:val="15"/>
              </w:rPr>
              <w:t>2.48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8" w:line="187" w:lineRule="auto"/>
              <w:ind w:left="20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5"/>
                <w:szCs w:val="15"/>
              </w:rPr>
              <w:t>2.78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8" w:line="187" w:lineRule="auto"/>
              <w:ind w:left="20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>3.49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8" w:line="187" w:lineRule="auto"/>
              <w:ind w:left="20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>3.03</w:t>
            </w:r>
          </w:p>
        </w:tc>
        <w:tc>
          <w:tcPr>
            <w:tcW w:w="667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8" w:line="187" w:lineRule="auto"/>
              <w:ind w:left="20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5"/>
                <w:szCs w:val="15"/>
              </w:rPr>
              <w:t>2.70</w:t>
            </w:r>
          </w:p>
        </w:tc>
        <w:tc>
          <w:tcPr>
            <w:tcW w:w="845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pStyle w:val="TableText"/>
              <w:spacing w:before="70" w:line="205" w:lineRule="auto"/>
              <w:ind w:left="290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>增持</w:t>
            </w:r>
          </w:p>
        </w:tc>
      </w:tr>
      <w:tr>
        <w:tblPrEx>
          <w:tblW w:w="6541" w:type="dxa"/>
          <w:tblInd w:w="14" w:type="dxa"/>
          <w:tblLayout w:type="fixed"/>
        </w:tblPrEx>
        <w:trPr>
          <w:trHeight w:val="245"/>
        </w:trPr>
        <w:tc>
          <w:tcPr>
            <w:tcW w:w="1017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pStyle w:val="TableText"/>
              <w:spacing w:before="68" w:line="205" w:lineRule="auto"/>
              <w:ind w:left="244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中国化学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6" w:line="187" w:lineRule="auto"/>
              <w:ind w:left="20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>6.24</w:t>
            </w:r>
          </w:p>
        </w:tc>
        <w:tc>
          <w:tcPr>
            <w:tcW w:w="672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6" w:line="187" w:lineRule="auto"/>
              <w:ind w:left="20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>0.97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6" w:line="187" w:lineRule="auto"/>
              <w:ind w:left="2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5"/>
                <w:szCs w:val="15"/>
              </w:rPr>
              <w:t>1.18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6" w:line="187" w:lineRule="auto"/>
              <w:ind w:left="21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5"/>
                <w:szCs w:val="15"/>
              </w:rPr>
              <w:t>1.36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6" w:line="187" w:lineRule="auto"/>
              <w:ind w:left="20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>6.43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6" w:line="187" w:lineRule="auto"/>
              <w:ind w:left="20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>5.29</w:t>
            </w:r>
          </w:p>
        </w:tc>
        <w:tc>
          <w:tcPr>
            <w:tcW w:w="667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6" w:line="187" w:lineRule="auto"/>
              <w:ind w:left="204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5"/>
                <w:szCs w:val="15"/>
              </w:rPr>
              <w:t>4.59</w:t>
            </w:r>
          </w:p>
        </w:tc>
        <w:tc>
          <w:tcPr>
            <w:tcW w:w="845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pStyle w:val="TableText"/>
              <w:spacing w:before="68" w:line="205" w:lineRule="auto"/>
              <w:ind w:left="296"/>
              <w:rPr>
                <w:sz w:val="15"/>
                <w:szCs w:val="15"/>
              </w:rPr>
            </w:pPr>
            <w:r>
              <w:rPr>
                <w:spacing w:val="-3"/>
                <w:sz w:val="15"/>
                <w:szCs w:val="15"/>
              </w:rPr>
              <w:t>买入</w:t>
            </w:r>
          </w:p>
        </w:tc>
      </w:tr>
      <w:tr>
        <w:tblPrEx>
          <w:tblW w:w="6541" w:type="dxa"/>
          <w:tblInd w:w="14" w:type="dxa"/>
          <w:tblLayout w:type="fixed"/>
        </w:tblPrEx>
        <w:trPr>
          <w:trHeight w:val="249"/>
        </w:trPr>
        <w:tc>
          <w:tcPr>
            <w:tcW w:w="1017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pStyle w:val="TableText"/>
              <w:spacing w:before="68" w:line="210" w:lineRule="auto"/>
              <w:ind w:left="244"/>
              <w:rPr>
                <w:sz w:val="15"/>
                <w:szCs w:val="15"/>
              </w:rPr>
            </w:pPr>
            <w:r>
              <w:rPr>
                <w:spacing w:val="-5"/>
                <w:sz w:val="15"/>
                <w:szCs w:val="15"/>
              </w:rPr>
              <w:t>中材国际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5" w:line="187" w:lineRule="auto"/>
              <w:ind w:left="20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>9.83</w:t>
            </w:r>
          </w:p>
        </w:tc>
        <w:tc>
          <w:tcPr>
            <w:tcW w:w="672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5" w:line="187" w:lineRule="auto"/>
              <w:ind w:left="20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>0.99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5" w:line="187" w:lineRule="auto"/>
              <w:ind w:left="21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5"/>
                <w:szCs w:val="15"/>
              </w:rPr>
              <w:t>1.14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5" w:line="187" w:lineRule="auto"/>
              <w:ind w:left="21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5"/>
                <w:szCs w:val="15"/>
              </w:rPr>
              <w:t>1.26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5" w:line="187" w:lineRule="auto"/>
              <w:ind w:left="206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>9.93</w:t>
            </w:r>
          </w:p>
        </w:tc>
        <w:tc>
          <w:tcPr>
            <w:tcW w:w="668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5" w:line="187" w:lineRule="auto"/>
              <w:ind w:left="209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5"/>
                <w:szCs w:val="15"/>
              </w:rPr>
              <w:t>8.62</w:t>
            </w:r>
          </w:p>
        </w:tc>
        <w:tc>
          <w:tcPr>
            <w:tcW w:w="667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spacing w:before="95" w:line="187" w:lineRule="auto"/>
              <w:ind w:left="207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5"/>
                <w:szCs w:val="15"/>
              </w:rPr>
              <w:t>7.80</w:t>
            </w:r>
          </w:p>
        </w:tc>
        <w:tc>
          <w:tcPr>
            <w:tcW w:w="845" w:type="dxa"/>
            <w:tcBorders>
              <w:top w:val="single" w:sz="2" w:space="0" w:color="005BAC"/>
              <w:bottom w:val="single" w:sz="2" w:space="0" w:color="005BAC"/>
            </w:tcBorders>
            <w:vAlign w:val="top"/>
          </w:tcPr>
          <w:p>
            <w:pPr>
              <w:pStyle w:val="TableText"/>
              <w:spacing w:before="68" w:line="210" w:lineRule="auto"/>
              <w:ind w:left="296"/>
              <w:rPr>
                <w:sz w:val="15"/>
                <w:szCs w:val="15"/>
              </w:rPr>
            </w:pPr>
            <w:r>
              <w:rPr>
                <w:spacing w:val="-3"/>
                <w:sz w:val="15"/>
                <w:szCs w:val="15"/>
              </w:rPr>
              <w:t>买入</w:t>
            </w: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pacing w:line="14" w:lineRule="auto"/>
        <w:rPr>
          <w:rFonts w:ascii="Arial"/>
          <w:sz w:val="2"/>
        </w:rPr>
        <w:sectPr>
          <w:headerReference w:type="default" r:id="rId13"/>
          <w:footerReference w:type="default" r:id="rId14"/>
          <w:type w:val="continuous"/>
          <w:pgSz w:w="11907" w:h="16839"/>
          <w:pgMar w:top="1221" w:right="979" w:bottom="1082" w:left="991" w:header="566" w:footer="820" w:gutter="0"/>
          <w:pgNumType w:start="2"/>
          <w:cols w:num="2" w:space="708" w:equalWidth="0">
            <w:col w:w="6593" w:space="100"/>
            <w:col w:w="3243" w:space="0"/>
          </w:cols>
        </w:sect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69" w:line="220" w:lineRule="auto"/>
        <w:ind w:left="905"/>
        <w:rPr>
          <w:sz w:val="36"/>
          <w:szCs w:val="36"/>
        </w:rPr>
      </w:pPr>
      <w:r>
        <w:rPr>
          <w:spacing w:val="-3"/>
          <w:sz w:val="36"/>
          <w:szCs w:val="36"/>
          <w14:textOutline w14:w="6531">
            <w14:solidFill>
              <w14:srgbClr w14:val="000000"/>
            </w14:solidFill>
            <w14:prstDash w14:val="solid"/>
            <w14:miter w14:lim="10"/>
          </w14:textOutline>
        </w:rPr>
        <w:t>优于大势</w:t>
      </w:r>
    </w:p>
    <w:p>
      <w:pPr>
        <w:spacing w:line="244" w:lineRule="auto"/>
        <w:rPr>
          <w:rFonts w:ascii="Arial"/>
          <w:sz w:val="21"/>
        </w:rPr>
      </w:pPr>
    </w:p>
    <w:p>
      <w:pPr>
        <w:pStyle w:val="BodyText"/>
        <w:spacing w:before="59" w:line="229" w:lineRule="auto"/>
        <w:ind w:left="853"/>
        <w:rPr>
          <w:sz w:val="18"/>
          <w:szCs w:val="18"/>
        </w:rPr>
      </w:pPr>
      <w:r>
        <w:rPr>
          <w:spacing w:val="-1"/>
          <w:sz w:val="18"/>
          <w:szCs w:val="18"/>
        </w:rPr>
        <w:t>上次评级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:</w:t>
      </w:r>
      <w:r>
        <w:rPr>
          <w:spacing w:val="-1"/>
          <w:sz w:val="18"/>
          <w:szCs w:val="18"/>
        </w:rPr>
        <w:t>优于大势</w:t>
      </w:r>
    </w:p>
    <w:p>
      <w:pPr>
        <w:spacing w:line="291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pStyle w:val="BodyText"/>
        <w:spacing w:line="293" w:lineRule="exact"/>
        <w:ind w:firstLine="9"/>
      </w:pPr>
      <w:r>
        <w:rPr>
          <w:position w:val="-5"/>
        </w:rPr>
        <w:pict>
          <v:shape id="_x0000_i1027" type="#_x0000_t202" style="width:161.7pt;height:14.65pt;mso-position-horizontal-relative:char;mso-position-vertical-relative:line" filled="t" fillcolor="#005bac" stroked="f">
            <o:lock v:ext="edit" aspectratio="f"/>
            <v:textbox inset="0,0,0,0">
              <w:txbxContent>
                <w:p>
                  <w:pPr>
                    <w:spacing w:before="42" w:line="226" w:lineRule="auto"/>
                    <w:ind w:left="14"/>
                    <w:rPr>
                      <w:rFonts w:ascii="KaiTi" w:eastAsia="KaiTi" w:hAnsi="KaiTi" w:cs="KaiTi"/>
                      <w:sz w:val="19"/>
                      <w:szCs w:val="19"/>
                    </w:rPr>
                  </w:pPr>
                  <w:r>
                    <w:rPr>
                      <w:rFonts w:ascii="KaiTi" w:eastAsia="KaiTi" w:hAnsi="KaiTi" w:cs="KaiTi"/>
                      <w:color w:val="FFFFFF"/>
                      <w:spacing w:val="9"/>
                      <w:sz w:val="19"/>
                      <w:szCs w:val="19"/>
                    </w:rPr>
                    <w:t>历史收益率曲线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241" w:line="213" w:lineRule="auto"/>
        <w:ind w:left="473"/>
        <w:rPr>
          <w:rFonts w:ascii="Times New Roman" w:eastAsia="Times New Roman" w:hAnsi="Times New Roman" w:cs="Times New Roman"/>
        </w:rPr>
      </w:pPr>
      <w:r>
        <w:rPr>
          <w:position w:val="3"/>
        </w:rPr>
        <w:drawing>
          <wp:inline distT="0" distB="0" distL="0" distR="0">
            <wp:extent cx="272415" cy="2857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2415" cy="2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52"/>
        </w:rPr>
        <w:t xml:space="preserve"> </w:t>
      </w:r>
      <w:r>
        <w:rPr>
          <w:spacing w:val="-2"/>
        </w:rPr>
        <w:t>建筑装饰</w:t>
      </w:r>
      <w:r>
        <w:rPr>
          <w:spacing w:val="6"/>
        </w:rPr>
        <w:t xml:space="preserve">  </w:t>
      </w:r>
      <w:r>
        <w:rPr>
          <w:strike/>
          <w:spacing w:val="6"/>
        </w:rPr>
        <w:t xml:space="preserve">     </w:t>
      </w:r>
      <w:r>
        <w:rPr>
          <w:spacing w:val="-42"/>
        </w:rPr>
        <w:t xml:space="preserve"> </w:t>
      </w:r>
      <w:r>
        <w:rPr>
          <w:spacing w:val="-2"/>
        </w:rPr>
        <w:t>沪深</w:t>
      </w:r>
      <w:r>
        <w:rPr>
          <w:rFonts w:ascii="Times New Roman" w:eastAsia="Times New Roman" w:hAnsi="Times New Roman" w:cs="Times New Roman"/>
          <w:spacing w:val="-2"/>
        </w:rPr>
        <w:t>300</w:t>
      </w:r>
    </w:p>
    <w:p>
      <w:pPr>
        <w:spacing w:before="208" w:line="223" w:lineRule="exact"/>
        <w:ind w:left="1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2"/>
          <w:position w:val="7"/>
          <w:sz w:val="16"/>
          <w:szCs w:val="16"/>
        </w:rPr>
        <w:t>30%</w:t>
      </w:r>
    </w:p>
    <w:p>
      <w:pPr>
        <w:spacing w:line="186" w:lineRule="auto"/>
        <w:ind w:left="15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20%</w:t>
      </w:r>
    </w:p>
    <w:p>
      <w:pPr>
        <w:spacing w:before="80" w:line="187" w:lineRule="auto"/>
        <w:ind w:left="173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6"/>
          <w:sz w:val="16"/>
          <w:szCs w:val="16"/>
        </w:rPr>
        <w:t>10%</w:t>
      </w:r>
    </w:p>
    <w:p>
      <w:pPr>
        <w:spacing w:before="79" w:line="187" w:lineRule="auto"/>
        <w:ind w:left="23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0%</w:t>
      </w:r>
    </w:p>
    <w:p>
      <w:pPr>
        <w:spacing w:before="79" w:line="187" w:lineRule="auto"/>
        <w:ind w:left="10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-10%</w:t>
      </w:r>
    </w:p>
    <w:p>
      <w:pPr>
        <w:spacing w:before="79" w:line="187" w:lineRule="auto"/>
        <w:ind w:left="10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-20%</w:t>
      </w:r>
    </w:p>
    <w:p>
      <w:pPr>
        <w:spacing w:before="79" w:line="187" w:lineRule="auto"/>
        <w:ind w:left="10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-30%</w:t>
      </w:r>
    </w:p>
    <w:p>
      <w:pPr>
        <w:spacing w:before="55" w:line="425" w:lineRule="exact"/>
        <w:ind w:firstLine="1890"/>
      </w:pPr>
      <w:r>
        <w:rPr>
          <w:position w:val="-8"/>
        </w:rPr>
        <w:drawing>
          <wp:inline distT="0" distB="0" distL="0" distR="0">
            <wp:extent cx="261238" cy="26987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1238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0"/>
      </w:pPr>
    </w:p>
    <w:tbl>
      <w:tblPr>
        <w:tblStyle w:val="TableNormal0"/>
        <w:tblW w:w="3208" w:type="dxa"/>
        <w:tblInd w:w="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132"/>
        <w:gridCol w:w="822"/>
        <w:gridCol w:w="693"/>
        <w:gridCol w:w="561"/>
      </w:tblGrid>
      <w:tr>
        <w:tblPrEx>
          <w:tblW w:w="3208" w:type="dxa"/>
          <w:tblInd w:w="2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616"/>
        </w:trPr>
        <w:tc>
          <w:tcPr>
            <w:tcW w:w="1132" w:type="dxa"/>
            <w:vAlign w:val="top"/>
          </w:tcPr>
          <w:p>
            <w:pPr>
              <w:pStyle w:val="TableText"/>
              <w:spacing w:line="245" w:lineRule="auto"/>
              <w:ind w:left="3" w:right="219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涨跌幅（</w:t>
            </w:r>
            <w:r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%</w:t>
            </w:r>
            <w:r>
              <w:rPr>
                <w:spacing w:val="-5"/>
                <w:sz w:val="16"/>
                <w:szCs w:val="16"/>
              </w:rPr>
              <w:t>）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绝对收益</w:t>
            </w:r>
          </w:p>
          <w:p>
            <w:pPr>
              <w:pStyle w:val="TableText"/>
              <w:spacing w:before="31" w:line="173" w:lineRule="auto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相对收益</w:t>
            </w:r>
          </w:p>
        </w:tc>
        <w:tc>
          <w:tcPr>
            <w:tcW w:w="822" w:type="dxa"/>
            <w:vAlign w:val="top"/>
          </w:tcPr>
          <w:p>
            <w:pPr>
              <w:spacing w:before="31" w:line="228" w:lineRule="exact"/>
              <w:ind w:left="40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3"/>
                <w:position w:val="7"/>
                <w:sz w:val="16"/>
                <w:szCs w:val="16"/>
              </w:rPr>
              <w:t>1M</w:t>
            </w:r>
          </w:p>
          <w:p>
            <w:pPr>
              <w:spacing w:line="186" w:lineRule="auto"/>
              <w:ind w:left="3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16"/>
                <w:szCs w:val="16"/>
              </w:rPr>
              <w:t>1%</w:t>
            </w:r>
          </w:p>
          <w:p>
            <w:pPr>
              <w:spacing w:before="82" w:line="157" w:lineRule="auto"/>
              <w:ind w:left="3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2%</w:t>
            </w:r>
          </w:p>
        </w:tc>
        <w:tc>
          <w:tcPr>
            <w:tcW w:w="693" w:type="dxa"/>
            <w:vAlign w:val="top"/>
          </w:tcPr>
          <w:p>
            <w:pPr>
              <w:spacing w:before="31" w:line="228" w:lineRule="exact"/>
              <w:ind w:left="30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position w:val="7"/>
                <w:sz w:val="16"/>
                <w:szCs w:val="16"/>
              </w:rPr>
              <w:t>3M</w:t>
            </w:r>
          </w:p>
          <w:p>
            <w:pPr>
              <w:spacing w:line="186" w:lineRule="auto"/>
              <w:ind w:left="2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-9%</w:t>
            </w:r>
          </w:p>
          <w:p>
            <w:pPr>
              <w:spacing w:before="82" w:line="157" w:lineRule="auto"/>
              <w:ind w:left="2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1%</w:t>
            </w:r>
          </w:p>
        </w:tc>
        <w:tc>
          <w:tcPr>
            <w:tcW w:w="561" w:type="dxa"/>
            <w:vAlign w:val="top"/>
          </w:tcPr>
          <w:p>
            <w:pPr>
              <w:spacing w:before="31" w:line="250" w:lineRule="auto"/>
              <w:ind w:left="170" w:firstLine="105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10%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8%</w:t>
            </w:r>
          </w:p>
        </w:tc>
      </w:tr>
    </w:tbl>
    <w:p>
      <w:pPr>
        <w:spacing w:line="390" w:lineRule="auto"/>
        <w:rPr>
          <w:rFonts w:ascii="Arial"/>
          <w:sz w:val="21"/>
        </w:rPr>
      </w:pPr>
    </w:p>
    <w:p>
      <w:pPr>
        <w:pStyle w:val="BodyText"/>
        <w:spacing w:line="283" w:lineRule="exact"/>
      </w:pPr>
      <w:r>
        <w:rPr>
          <w:position w:val="-5"/>
        </w:rPr>
        <w:pict>
          <v:shape id="_x0000_i1028" type="#_x0000_t202" style="width:161.7pt;height:14.2pt;mso-position-horizontal-relative:char;mso-position-vertical-relative:line" filled="t" fillcolor="#005bac" stroked="f">
            <o:lock v:ext="edit" aspectratio="f"/>
            <v:textbox inset="0,0,0,0">
              <w:txbxContent>
                <w:p>
                  <w:pPr>
                    <w:spacing w:before="42" w:line="231" w:lineRule="auto"/>
                    <w:ind w:left="119"/>
                    <w:rPr>
                      <w:rFonts w:ascii="KaiTi" w:eastAsia="KaiTi" w:hAnsi="KaiTi" w:cs="KaiTi"/>
                      <w:sz w:val="19"/>
                      <w:szCs w:val="19"/>
                    </w:rPr>
                  </w:pPr>
                  <w:r>
                    <w:rPr>
                      <w:rFonts w:ascii="KaiTi" w:eastAsia="KaiTi" w:hAnsi="KaiTi" w:cs="KaiTi"/>
                      <w:color w:val="FFFFFF"/>
                      <w:spacing w:val="6"/>
                      <w:sz w:val="19"/>
                      <w:szCs w:val="19"/>
                    </w:rPr>
                    <w:t>行业数据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23" w:line="223" w:lineRule="auto"/>
        <w:ind w:left="114"/>
        <w:rPr>
          <w:rFonts w:ascii="Times New Roman" w:eastAsia="Times New Roman" w:hAnsi="Times New Roman" w:cs="Times New Roman"/>
        </w:rPr>
      </w:pPr>
      <w:r>
        <w:rPr>
          <w:spacing w:val="-3"/>
        </w:rPr>
        <w:t>成分股数量（只）</w:t>
      </w:r>
      <w:r>
        <w:rPr>
          <w:spacing w:val="2"/>
        </w:rPr>
        <w:t xml:space="preserve">                   </w:t>
      </w:r>
      <w:r>
        <w:rPr>
          <w:rFonts w:ascii="Times New Roman" w:eastAsia="Times New Roman" w:hAnsi="Times New Roman" w:cs="Times New Roman"/>
          <w:spacing w:val="-3"/>
          <w:position w:val="-1"/>
        </w:rPr>
        <w:t>163</w:t>
      </w:r>
    </w:p>
    <w:p>
      <w:pPr>
        <w:pStyle w:val="BodyText"/>
        <w:spacing w:before="34" w:line="220" w:lineRule="auto"/>
        <w:ind w:left="123"/>
        <w:rPr>
          <w:rFonts w:ascii="Times New Roman" w:eastAsia="Times New Roman" w:hAnsi="Times New Roman" w:cs="Times New Roman"/>
        </w:rPr>
      </w:pPr>
      <w:r>
        <w:rPr>
          <w:spacing w:val="-8"/>
        </w:rPr>
        <w:t>总市值（亿）</w:t>
      </w:r>
      <w:r>
        <w:rPr>
          <w:spacing w:val="1"/>
        </w:rPr>
        <w:t xml:space="preserve">                      </w:t>
      </w:r>
      <w:r>
        <w:rPr>
          <w:rFonts w:ascii="Times New Roman" w:eastAsia="Times New Roman" w:hAnsi="Times New Roman" w:cs="Times New Roman"/>
          <w:spacing w:val="-8"/>
        </w:rPr>
        <w:t>15973</w:t>
      </w:r>
    </w:p>
    <w:p>
      <w:pPr>
        <w:pStyle w:val="BodyText"/>
        <w:spacing w:before="38" w:line="220" w:lineRule="auto"/>
        <w:ind w:left="120"/>
        <w:rPr>
          <w:rFonts w:ascii="Times New Roman" w:eastAsia="Times New Roman" w:hAnsi="Times New Roman" w:cs="Times New Roman"/>
        </w:rPr>
      </w:pPr>
      <w:r>
        <w:rPr>
          <w:spacing w:val="-8"/>
        </w:rPr>
        <w:t>流通市值（亿）</w:t>
      </w:r>
      <w:r>
        <w:rPr>
          <w:spacing w:val="1"/>
        </w:rPr>
        <w:t xml:space="preserve">                     </w:t>
      </w:r>
      <w:r>
        <w:rPr>
          <w:rFonts w:ascii="Times New Roman" w:eastAsia="Times New Roman" w:hAnsi="Times New Roman" w:cs="Times New Roman"/>
          <w:spacing w:val="-8"/>
        </w:rPr>
        <w:t>6441</w:t>
      </w:r>
    </w:p>
    <w:p>
      <w:pPr>
        <w:pStyle w:val="BodyText"/>
        <w:spacing w:before="35" w:line="218" w:lineRule="auto"/>
        <w:ind w:left="116"/>
        <w:rPr>
          <w:rFonts w:ascii="Times New Roman" w:eastAsia="Times New Roman" w:hAnsi="Times New Roman" w:cs="Times New Roman"/>
        </w:rPr>
      </w:pPr>
      <w:r>
        <w:rPr>
          <w:spacing w:val="-7"/>
        </w:rPr>
        <w:t>市盈率（倍）</w:t>
      </w:r>
      <w:r>
        <w:rPr>
          <w:spacing w:val="2"/>
        </w:rPr>
        <w:t xml:space="preserve">                       </w:t>
      </w:r>
      <w:r>
        <w:rPr>
          <w:rFonts w:ascii="Times New Roman" w:eastAsia="Times New Roman" w:hAnsi="Times New Roman" w:cs="Times New Roman"/>
          <w:spacing w:val="-7"/>
        </w:rPr>
        <w:t>9.33</w:t>
      </w:r>
    </w:p>
    <w:p>
      <w:pPr>
        <w:pStyle w:val="BodyText"/>
        <w:spacing w:before="40" w:line="218" w:lineRule="auto"/>
        <w:ind w:left="116"/>
        <w:rPr>
          <w:rFonts w:ascii="Times New Roman" w:eastAsia="Times New Roman" w:hAnsi="Times New Roman" w:cs="Times New Roman"/>
        </w:rPr>
      </w:pPr>
      <w:r>
        <w:rPr>
          <w:spacing w:val="-7"/>
        </w:rPr>
        <w:t>市净率（倍）</w:t>
      </w:r>
      <w:r>
        <w:rPr>
          <w:spacing w:val="2"/>
        </w:rPr>
        <w:t xml:space="preserve">                       </w:t>
      </w:r>
      <w:r>
        <w:rPr>
          <w:rFonts w:ascii="Times New Roman" w:eastAsia="Times New Roman" w:hAnsi="Times New Roman" w:cs="Times New Roman"/>
          <w:spacing w:val="-7"/>
        </w:rPr>
        <w:t>0.73</w:t>
      </w:r>
    </w:p>
    <w:p>
      <w:pPr>
        <w:pStyle w:val="BodyText"/>
        <w:spacing w:before="36" w:line="223" w:lineRule="auto"/>
        <w:ind w:left="114"/>
        <w:rPr>
          <w:rFonts w:ascii="Times New Roman" w:eastAsia="Times New Roman" w:hAnsi="Times New Roman" w:cs="Times New Roman"/>
        </w:rPr>
      </w:pPr>
      <w:r>
        <w:rPr>
          <w:spacing w:val="-5"/>
        </w:rPr>
        <w:t>成分股总营收（亿）</w:t>
      </w:r>
      <w:r>
        <w:t xml:space="preserve">                </w:t>
      </w:r>
      <w:r>
        <w:rPr>
          <w:rFonts w:ascii="Times New Roman" w:eastAsia="Times New Roman" w:hAnsi="Times New Roman" w:cs="Times New Roman"/>
          <w:spacing w:val="-5"/>
        </w:rPr>
        <w:t>84734</w:t>
      </w:r>
    </w:p>
    <w:p>
      <w:pPr>
        <w:pStyle w:val="BodyText"/>
        <w:spacing w:before="34" w:line="220" w:lineRule="auto"/>
        <w:ind w:left="114"/>
        <w:rPr>
          <w:rFonts w:ascii="Times New Roman" w:eastAsia="Times New Roman" w:hAnsi="Times New Roman" w:cs="Times New Roman"/>
        </w:rPr>
      </w:pPr>
      <w:r>
        <w:rPr>
          <w:spacing w:val="-5"/>
        </w:rPr>
        <w:t>成分股总净利润（亿）</w:t>
      </w:r>
      <w:r>
        <w:rPr>
          <w:spacing w:val="-5"/>
        </w:rPr>
        <w:t xml:space="preserve">                </w:t>
      </w:r>
      <w:r>
        <w:rPr>
          <w:rFonts w:ascii="Times New Roman" w:eastAsia="Times New Roman" w:hAnsi="Times New Roman" w:cs="Times New Roman"/>
          <w:spacing w:val="-5"/>
          <w:position w:val="-1"/>
        </w:rPr>
        <w:t>1832</w:t>
      </w:r>
    </w:p>
    <w:p>
      <w:pPr>
        <w:pStyle w:val="BodyText"/>
        <w:spacing w:before="38" w:line="230" w:lineRule="auto"/>
        <w:ind w:left="114"/>
        <w:rPr>
          <w:rFonts w:ascii="Times New Roman" w:eastAsia="Times New Roman" w:hAnsi="Times New Roman" w:cs="Times New Roman"/>
        </w:rPr>
      </w:pPr>
      <w:r>
        <w:rPr>
          <w:spacing w:val="-3"/>
        </w:rPr>
        <w:t>成分股资产负债率（</w:t>
      </w:r>
      <w:r>
        <w:rPr>
          <w:rFonts w:ascii="Times New Roman" w:eastAsia="Times New Roman" w:hAnsi="Times New Roman" w:cs="Times New Roman"/>
          <w:spacing w:val="-3"/>
        </w:rPr>
        <w:t>%</w:t>
      </w:r>
      <w:r>
        <w:rPr>
          <w:spacing w:val="-3"/>
        </w:rPr>
        <w:t>）</w:t>
      </w:r>
      <w:r>
        <w:rPr>
          <w:spacing w:val="4"/>
        </w:rPr>
        <w:t xml:space="preserve">            </w:t>
      </w:r>
      <w:r>
        <w:rPr>
          <w:rFonts w:ascii="Times New Roman" w:eastAsia="Times New Roman" w:hAnsi="Times New Roman" w:cs="Times New Roman"/>
          <w:spacing w:val="-3"/>
        </w:rPr>
        <w:t>74.92</w:t>
      </w:r>
    </w:p>
    <w:p>
      <w:pPr>
        <w:spacing w:line="363" w:lineRule="auto"/>
        <w:rPr>
          <w:rFonts w:ascii="Arial"/>
          <w:sz w:val="21"/>
        </w:rPr>
      </w:pPr>
    </w:p>
    <w:p>
      <w:pPr>
        <w:pStyle w:val="BodyText"/>
        <w:spacing w:before="1" w:line="285" w:lineRule="exact"/>
        <w:ind w:firstLine="9"/>
      </w:pPr>
      <w:r>
        <w:rPr>
          <w:position w:val="-5"/>
        </w:rPr>
        <w:pict>
          <v:shape id="_x0000_i1029" type="#_x0000_t202" style="width:161.7pt;height:14.3pt;mso-position-horizontal-relative:char;mso-position-vertical-relative:line" filled="t" fillcolor="#005bac" stroked="f">
            <o:lock v:ext="edit" aspectratio="f"/>
            <v:textbox inset="0,0,0,0">
              <w:txbxContent>
                <w:p>
                  <w:pPr>
                    <w:spacing w:before="56" w:line="231" w:lineRule="auto"/>
                    <w:ind w:left="20"/>
                    <w:rPr>
                      <w:rFonts w:ascii="KaiTi" w:eastAsia="KaiTi" w:hAnsi="KaiTi" w:cs="KaiTi"/>
                      <w:sz w:val="19"/>
                      <w:szCs w:val="19"/>
                    </w:rPr>
                  </w:pPr>
                  <w:r>
                    <w:rPr>
                      <w:rFonts w:ascii="KaiTi" w:eastAsia="KaiTi" w:hAnsi="KaiTi" w:cs="KaiTi"/>
                      <w:color w:val="FFFFFF"/>
                      <w:spacing w:val="7"/>
                      <w:sz w:val="19"/>
                      <w:szCs w:val="19"/>
                    </w:rPr>
                    <w:t>相关报告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76" w:line="218" w:lineRule="auto"/>
        <w:ind w:left="21"/>
      </w:pPr>
      <w:r>
        <w:t>《重视基建央企中特估机遇》</w:t>
      </w:r>
    </w:p>
    <w:p>
      <w:pPr>
        <w:pStyle w:val="BodyText"/>
        <w:spacing w:before="152" w:line="314" w:lineRule="auto"/>
        <w:ind w:left="21" w:right="8" w:firstLine="2472"/>
        <w:jc w:val="both"/>
      </w:pPr>
      <w:r>
        <w:rPr>
          <w:rFonts w:ascii="Times New Roman" w:eastAsia="Times New Roman" w:hAnsi="Times New Roman" w:cs="Times New Roman"/>
          <w:spacing w:val="-1"/>
        </w:rPr>
        <w:t>--20230606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t>《继续看多基建央国企，建筑光伏领域期待突</w:t>
      </w:r>
      <w:r>
        <w:rPr>
          <w:spacing w:val="11"/>
        </w:rPr>
        <w:t xml:space="preserve"> </w:t>
      </w:r>
      <w:r>
        <w:t>破》</w:t>
      </w:r>
    </w:p>
    <w:p>
      <w:pPr>
        <w:spacing w:before="151" w:line="187" w:lineRule="auto"/>
        <w:ind w:right="7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--20230103</w:t>
      </w: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pStyle w:val="BodyText"/>
        <w:spacing w:before="59" w:line="217" w:lineRule="auto"/>
        <w:ind w:left="27"/>
        <w:rPr>
          <w:sz w:val="18"/>
          <w:szCs w:val="18"/>
        </w:rPr>
      </w:pPr>
      <w:r>
        <w:rPr>
          <w:color w:val="005BAC"/>
          <w:sz w:val="18"/>
          <w:szCs w:val="18"/>
          <w:u w:val="single" w:color="005BAC"/>
          <w14:textOutline w14:w="3265">
            <w14:solidFill>
              <w14:srgbClr w14:val="005BAC"/>
            </w14:solidFill>
            <w14:prstDash w14:val="solid"/>
            <w14:miter w14:lim="10"/>
          </w14:textOutline>
        </w:rPr>
        <w:t>证券分析师：王小勇</w:t>
      </w:r>
    </w:p>
    <w:p>
      <w:pPr>
        <w:pStyle w:val="BodyText"/>
        <w:spacing w:before="45" w:line="218" w:lineRule="auto"/>
        <w:ind w:left="29"/>
        <w:rPr>
          <w:rFonts w:ascii="Times New Roman" w:eastAsia="Times New Roman" w:hAnsi="Times New Roman" w:cs="Times New Roman"/>
        </w:rPr>
      </w:pPr>
      <w:r>
        <w:rPr>
          <w:spacing w:val="-4"/>
        </w:rPr>
        <w:t>执业证书编号：</w:t>
      </w:r>
      <w:r>
        <w:rPr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S0550519100002</w:t>
      </w:r>
    </w:p>
    <w:p>
      <w:pPr>
        <w:spacing w:before="77" w:line="191" w:lineRule="auto"/>
        <w:ind w:left="2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0755-33975865</w:t>
      </w:r>
      <w:r>
        <w:rPr>
          <w:rFonts w:ascii="Times New Roman" w:eastAsia="Times New Roman" w:hAnsi="Times New Roman" w:cs="Times New Roman"/>
          <w:spacing w:val="4"/>
          <w:sz w:val="16"/>
          <w:szCs w:val="16"/>
        </w:rPr>
        <w:t xml:space="preserve">      </w:t>
      </w:r>
      <w:r>
        <w:rPr>
          <w:rFonts w:ascii="Times New Roman" w:eastAsia="Times New Roman" w:hAnsi="Times New Roman" w:cs="Times New Roman"/>
          <w:sz w:val="16"/>
          <w:szCs w:val="16"/>
        </w:rPr>
        <w:t>wangxiaoy@n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esc.cn</w:t>
      </w:r>
    </w:p>
    <w:p>
      <w:pPr>
        <w:pStyle w:val="BodyText"/>
        <w:spacing w:before="142" w:line="224" w:lineRule="auto"/>
        <w:ind w:left="23"/>
        <w:rPr>
          <w:sz w:val="18"/>
          <w:szCs w:val="18"/>
        </w:rPr>
      </w:pPr>
      <w:r>
        <w:rPr>
          <w:color w:val="005BAC"/>
          <w:spacing w:val="-15"/>
          <w:sz w:val="18"/>
          <w:szCs w:val="18"/>
          <w:u w:val="single" w:color="005BAC"/>
          <w14:textOutline w14:w="3265">
            <w14:solidFill>
              <w14:srgbClr w14:val="005BAC"/>
            </w14:solidFill>
            <w14:prstDash w14:val="solid"/>
            <w14:miter w14:lim="10"/>
          </w14:textOutline>
        </w:rPr>
        <w:t>研究助理：</w:t>
      </w:r>
      <w:r>
        <w:rPr>
          <w:color w:val="005BAC"/>
          <w:spacing w:val="26"/>
          <w:sz w:val="18"/>
          <w:szCs w:val="18"/>
          <w:u w:val="single" w:color="auto"/>
        </w:rPr>
        <w:t xml:space="preserve"> </w:t>
      </w:r>
      <w:r>
        <w:rPr>
          <w:color w:val="005BAC"/>
          <w:spacing w:val="-15"/>
          <w:sz w:val="18"/>
          <w:szCs w:val="18"/>
          <w:u w:val="single" w:color="005BAC"/>
          <w14:textOutline w14:w="3265">
            <w14:solidFill>
              <w14:srgbClr w14:val="005BAC"/>
            </w14:solidFill>
            <w14:prstDash w14:val="solid"/>
            <w14:miter w14:lim="10"/>
          </w14:textOutline>
        </w:rPr>
        <w:t>张凯</w:t>
      </w:r>
    </w:p>
    <w:p>
      <w:pPr>
        <w:pStyle w:val="BodyText"/>
        <w:spacing w:before="38" w:line="218" w:lineRule="auto"/>
        <w:ind w:left="29"/>
        <w:rPr>
          <w:rFonts w:ascii="Times New Roman" w:eastAsia="Times New Roman" w:hAnsi="Times New Roman" w:cs="Times New Roman"/>
        </w:rPr>
      </w:pPr>
      <w:r>
        <w:rPr>
          <w:spacing w:val="-4"/>
        </w:rPr>
        <w:t>执业证书编号：</w:t>
      </w:r>
      <w:r>
        <w:rPr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S0550123070014</w:t>
      </w:r>
    </w:p>
    <w:p>
      <w:pPr>
        <w:spacing w:before="77" w:line="191" w:lineRule="auto"/>
        <w:ind w:left="4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15623230676          zhangkai@nesc.cn</w:t>
      </w:r>
    </w:p>
    <w:p>
      <w:pPr>
        <w:spacing w:line="191" w:lineRule="auto"/>
        <w:rPr>
          <w:rFonts w:ascii="Times New Roman" w:eastAsia="Times New Roman" w:hAnsi="Times New Roman" w:cs="Times New Roman"/>
          <w:sz w:val="16"/>
          <w:szCs w:val="16"/>
        </w:rPr>
        <w:sectPr>
          <w:headerReference w:type="default" r:id="rId17"/>
          <w:footerReference w:type="default" r:id="rId18"/>
          <w:type w:val="nextPage"/>
          <w:pgSz w:w="11907" w:h="16839"/>
          <w:pgMar w:top="1221" w:right="979" w:bottom="1082" w:left="991" w:header="566" w:footer="820" w:gutter="0"/>
          <w:pgNumType w:start="3"/>
          <w:cols w:num="2" w:space="708" w:equalWidth="0">
            <w:col w:w="6593" w:space="100"/>
            <w:col w:w="3243" w:space="0"/>
          </w:cols>
          <w:titlePg w:val="0"/>
        </w:sectPr>
      </w:pPr>
    </w:p>
    <w:sdt>
      <w:sdtPr>
        <w:rPr>
          <w:rFonts w:ascii="Arial" w:eastAsia="Arial" w:hAnsi="Arial" w:cs="Arial"/>
          <w:sz w:val="21"/>
          <w:szCs w:val="21"/>
        </w:rPr>
        <w:id w:val="522787918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8"/>
          <w:szCs w:val="28"/>
        </w:rPr>
      </w:sdtEndPr>
      <w:sdtContent>
        <w:p>
          <w:pPr>
            <w:pStyle w:val="BodyText"/>
            <w:spacing w:before="259" w:line="219" w:lineRule="auto"/>
            <w:ind w:left="4603"/>
            <w:rPr>
              <w:sz w:val="36"/>
              <w:szCs w:val="36"/>
            </w:rPr>
          </w:pPr>
          <w:r>
            <w:rPr>
              <w:spacing w:val="-47"/>
              <w:sz w:val="36"/>
              <w:szCs w:val="36"/>
              <w14:textOutline w14:w="65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spacing w:val="41"/>
              <w:sz w:val="36"/>
              <w:szCs w:val="36"/>
            </w:rPr>
            <w:t xml:space="preserve"> </w:t>
          </w:r>
          <w:r>
            <w:rPr>
              <w:spacing w:val="-47"/>
              <w:sz w:val="36"/>
              <w:szCs w:val="36"/>
              <w14:textOutline w14:w="65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pStyle w:val="BodyText"/>
            <w:tabs>
              <w:tab w:val="right" w:leader="dot" w:pos="9885"/>
            </w:tabs>
            <w:spacing w:before="25" w:line="227" w:lineRule="auto"/>
            <w:ind w:left="47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 xml:space="preserve">1.         </w:t>
          </w:r>
          <w:r>
            <w:rPr>
              <w:sz w:val="28"/>
              <w:szCs w:val="28"/>
              <w14:textOutline w14:w="509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行情复盘：估值阶段性提振，业绩端前高后低</w:t>
          </w:r>
          <w:r>
            <w:rPr>
              <w:sz w:val="28"/>
              <w:szCs w:val="28"/>
            </w:rPr>
            <w:tab/>
          </w:r>
          <w:hyperlink w:anchor="bookmark1" w:history="1"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8"/>
                <w:szCs w:val="28"/>
              </w:rPr>
              <w:t>4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5" w:line="212" w:lineRule="auto"/>
            <w:ind w:left="56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1.1.        </w:t>
          </w:r>
          <w:r>
            <w:rPr>
              <w:sz w:val="24"/>
              <w:szCs w:val="24"/>
            </w:rPr>
            <w:t>市场表现：行业估值</w:t>
          </w:r>
          <w:r>
            <w:rPr>
              <w:spacing w:val="-1"/>
              <w:sz w:val="24"/>
              <w:szCs w:val="24"/>
            </w:rPr>
            <w:t>获阶段性提振，国际工程引领建筑行情</w:t>
          </w:r>
          <w:r>
            <w:rPr>
              <w:spacing w:val="-54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2" w:history="1"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4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36" w:line="212" w:lineRule="auto"/>
            <w:ind w:left="56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pacing w:val="-1"/>
              <w:sz w:val="24"/>
              <w:szCs w:val="24"/>
            </w:rPr>
            <w:t xml:space="preserve">1.2.        </w:t>
          </w:r>
          <w:r>
            <w:rPr>
              <w:spacing w:val="-1"/>
              <w:sz w:val="24"/>
              <w:szCs w:val="24"/>
            </w:rPr>
            <w:t>业绩表现：营收规模稳健增长，业绩增速有所放缓</w:t>
          </w:r>
          <w:r>
            <w:rPr>
              <w:spacing w:val="-37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3" w:history="1"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>7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38" w:line="227" w:lineRule="auto"/>
            <w:ind w:left="35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bCs/>
              <w:spacing w:val="1"/>
              <w:sz w:val="28"/>
              <w:szCs w:val="28"/>
            </w:rPr>
            <w:t xml:space="preserve">2.         </w:t>
          </w:r>
          <w:r>
            <w:rPr>
              <w:spacing w:val="1"/>
              <w:sz w:val="28"/>
              <w:szCs w:val="28"/>
              <w14:textOutline w14:w="509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建筑行业：基建链将彰显韧性，地产链亦有</w:t>
          </w:r>
          <w:r>
            <w:rPr>
              <w:sz w:val="28"/>
              <w:szCs w:val="28"/>
              <w14:textOutline w14:w="509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望触底反弹</w:t>
          </w:r>
          <w:r>
            <w:rPr>
              <w:sz w:val="28"/>
              <w:szCs w:val="28"/>
            </w:rPr>
            <w:tab/>
          </w:r>
          <w:hyperlink w:anchor="bookmark4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8"/>
                <w:szCs w:val="28"/>
              </w:rPr>
              <w:t>10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6" w:line="212" w:lineRule="auto"/>
            <w:ind w:left="33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2.1.        </w:t>
          </w:r>
          <w:r>
            <w:rPr>
              <w:sz w:val="24"/>
              <w:szCs w:val="24"/>
            </w:rPr>
            <w:t>特别国债开启中央加杠杆预期，基建投资将彰显韧性</w:t>
          </w:r>
          <w:r>
            <w:rPr>
              <w:spacing w:val="-48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r>
            <w:rPr>
              <w:spacing w:val="-67"/>
              <w:sz w:val="24"/>
              <w:szCs w:val="24"/>
            </w:rPr>
            <w:t xml:space="preserve"> </w:t>
          </w:r>
          <w:hyperlink w:anchor="bookmark5" w:history="1"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11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34" w:line="212" w:lineRule="auto"/>
            <w:ind w:left="33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2.2.        </w:t>
          </w:r>
          <w:r>
            <w:rPr>
              <w:sz w:val="24"/>
              <w:szCs w:val="24"/>
            </w:rPr>
            <w:t>房地产政策层层加码，城中村贡献需求增量</w:t>
          </w:r>
          <w:r>
            <w:rPr>
              <w:spacing w:val="-49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r>
            <w:rPr>
              <w:spacing w:val="-76"/>
              <w:sz w:val="24"/>
              <w:szCs w:val="24"/>
            </w:rPr>
            <w:t xml:space="preserve"> </w:t>
          </w:r>
          <w:hyperlink w:anchor="bookmark6" w:history="1"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17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39" w:line="227" w:lineRule="auto"/>
            <w:ind w:left="33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bCs/>
              <w:spacing w:val="-3"/>
              <w:sz w:val="28"/>
              <w:szCs w:val="28"/>
            </w:rPr>
            <w:t xml:space="preserve">3.         </w:t>
          </w:r>
          <w:r>
            <w:rPr>
              <w:spacing w:val="-3"/>
              <w:sz w:val="28"/>
              <w:szCs w:val="28"/>
              <w14:textOutline w14:w="509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建筑央企：新一轮国改乘势而起，</w:t>
          </w:r>
          <w:r>
            <w:rPr>
              <w:spacing w:val="-3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8"/>
              <w:szCs w:val="28"/>
            </w:rPr>
            <w:t>ROE</w:t>
          </w:r>
          <w:r>
            <w:rPr>
              <w:rFonts w:ascii="Times New Roman" w:eastAsia="Times New Roman" w:hAnsi="Times New Roman" w:cs="Times New Roman"/>
              <w:b/>
              <w:bCs/>
              <w:spacing w:val="10"/>
              <w:sz w:val="28"/>
              <w:szCs w:val="28"/>
            </w:rPr>
            <w:t xml:space="preserve"> </w:t>
          </w:r>
          <w:r>
            <w:rPr>
              <w:spacing w:val="-3"/>
              <w:sz w:val="28"/>
              <w:szCs w:val="28"/>
              <w14:textOutline w14:w="509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及市占率稳</w:t>
          </w:r>
          <w:r>
            <w:rPr>
              <w:spacing w:val="-4"/>
              <w:sz w:val="28"/>
              <w:szCs w:val="28"/>
              <w14:textOutline w14:w="509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步提升</w:t>
          </w:r>
          <w:r>
            <w:rPr>
              <w:sz w:val="28"/>
              <w:szCs w:val="28"/>
            </w:rPr>
            <w:tab/>
          </w:r>
          <w:hyperlink w:anchor="bookmark7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8"/>
                <w:szCs w:val="28"/>
              </w:rPr>
              <w:t>20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5" w:line="214" w:lineRule="auto"/>
            <w:ind w:left="38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pacing w:val="-2"/>
              <w:sz w:val="24"/>
              <w:szCs w:val="24"/>
            </w:rPr>
            <w:t>3.1.</w:t>
          </w:r>
          <w:r>
            <w:rPr>
              <w:rFonts w:ascii="Times New Roman" w:eastAsia="Times New Roman" w:hAnsi="Times New Roman" w:cs="Times New Roman"/>
              <w:spacing w:val="6"/>
              <w:sz w:val="24"/>
              <w:szCs w:val="24"/>
            </w:rPr>
            <w:t xml:space="preserve">        </w:t>
          </w:r>
          <w:r>
            <w:rPr>
              <w:spacing w:val="-2"/>
              <w:sz w:val="24"/>
              <w:szCs w:val="24"/>
            </w:rPr>
            <w:t>以公司治理、并购重组为抓手深入推进国企</w:t>
          </w:r>
          <w:r>
            <w:rPr>
              <w:spacing w:val="-3"/>
              <w:sz w:val="24"/>
              <w:szCs w:val="24"/>
            </w:rPr>
            <w:t>改革</w:t>
          </w:r>
          <w:r>
            <w:rPr>
              <w:spacing w:val="-49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8" w:history="1"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20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34" w:line="212" w:lineRule="auto"/>
            <w:ind w:left="38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3.2.        </w:t>
          </w:r>
          <w:r>
            <w:rPr>
              <w:sz w:val="24"/>
              <w:szCs w:val="24"/>
            </w:rPr>
            <w:t>把握行业结构性机遇，经营质量稳步提升</w:t>
          </w:r>
          <w:r>
            <w:rPr>
              <w:spacing w:val="-53"/>
              <w:sz w:val="24"/>
              <w:szCs w:val="24"/>
            </w:rPr>
            <w:t xml:space="preserve"> </w:t>
          </w:r>
          <w:r>
            <w:rPr>
              <w:sz w:val="24"/>
              <w:szCs w:val="24"/>
            </w:rPr>
            <w:tab/>
          </w:r>
          <w:hyperlink w:anchor="bookmark9" w:history="1"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24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40" w:line="232" w:lineRule="auto"/>
            <w:ind w:left="35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</w:rPr>
            <w:t xml:space="preserve">4.         </w:t>
          </w:r>
          <w:r>
            <w:rPr>
              <w:sz w:val="28"/>
              <w:szCs w:val="28"/>
              <w14:textOutline w14:w="509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投资建议及重点标的</w:t>
          </w:r>
          <w:r>
            <w:rPr>
              <w:spacing w:val="-61"/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ab/>
          </w:r>
          <w:hyperlink w:anchor="bookmark10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8"/>
                <w:szCs w:val="28"/>
              </w:rPr>
              <w:t>28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0" w:line="237" w:lineRule="auto"/>
            <w:ind w:left="38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bCs/>
              <w:spacing w:val="-2"/>
              <w:sz w:val="28"/>
              <w:szCs w:val="28"/>
            </w:rPr>
            <w:t>5.</w:t>
          </w:r>
          <w:r>
            <w:rPr>
              <w:rFonts w:ascii="Times New Roman" w:eastAsia="Times New Roman" w:hAnsi="Times New Roman" w:cs="Times New Roman"/>
              <w:b/>
              <w:bCs/>
              <w:spacing w:val="2"/>
              <w:sz w:val="28"/>
              <w:szCs w:val="28"/>
            </w:rPr>
            <w:t xml:space="preserve">         </w:t>
          </w:r>
          <w:r>
            <w:rPr>
              <w:spacing w:val="-2"/>
              <w:sz w:val="28"/>
              <w:szCs w:val="28"/>
              <w14:textOutline w14:w="509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风险提示</w:t>
          </w:r>
          <w:r>
            <w:rPr>
              <w:spacing w:val="-62"/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ab/>
          </w:r>
          <w:hyperlink w:anchor="bookmark11" w:history="1"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sz w:val="28"/>
                <w:szCs w:val="28"/>
              </w:rPr>
              <w:t>29</w:t>
            </w:r>
          </w:hyperlink>
        </w:p>
      </w:sdtContent>
    </w:sdt>
    <w:p>
      <w:pPr>
        <w:spacing w:line="317" w:lineRule="auto"/>
        <w:rPr>
          <w:rFonts w:ascii="Arial"/>
          <w:sz w:val="21"/>
        </w:rPr>
      </w:pPr>
    </w:p>
    <w:p>
      <w:pPr>
        <w:spacing w:line="317" w:lineRule="auto"/>
        <w:rPr>
          <w:rFonts w:ascii="Arial"/>
          <w:sz w:val="21"/>
        </w:rPr>
      </w:pPr>
    </w:p>
    <w:sdt>
      <w:sdtPr>
        <w:rPr>
          <w:rFonts w:ascii="KaiTi" w:eastAsia="KaiTi" w:hAnsi="KaiTi" w:cs="KaiTi"/>
          <w:sz w:val="28"/>
          <w:szCs w:val="28"/>
        </w:rPr>
        <w:id w:val="1561012415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1"/>
          <w:szCs w:val="21"/>
        </w:rPr>
      </w:sdtEndPr>
      <w:sdtContent>
        <w:p>
          <w:pPr>
            <w:pStyle w:val="BodyText"/>
            <w:spacing w:before="91" w:line="219" w:lineRule="auto"/>
            <w:ind w:left="4442"/>
            <w:rPr>
              <w:sz w:val="28"/>
              <w:szCs w:val="28"/>
            </w:rPr>
          </w:pPr>
          <w:r>
            <w:rPr>
              <w:spacing w:val="-10"/>
              <w:sz w:val="28"/>
              <w:szCs w:val="28"/>
              <w14:textOutline w14:w="5094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图表目录</w:t>
          </w:r>
        </w:p>
        <w:p>
          <w:pPr>
            <w:pStyle w:val="BodyText"/>
            <w:tabs>
              <w:tab w:val="right" w:leader="dot" w:pos="9885"/>
            </w:tabs>
            <w:spacing w:before="23" w:line="227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4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4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4"/>
              <w:sz w:val="21"/>
              <w:szCs w:val="21"/>
            </w:rPr>
            <w:t>1</w:t>
          </w:r>
          <w:r>
            <w:rPr>
              <w:spacing w:val="-4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</w:t>
          </w:r>
          <w:r>
            <w:rPr>
              <w:rFonts w:ascii="Times New Roman" w:eastAsia="Times New Roman" w:hAnsi="Times New Roman" w:cs="Times New Roman"/>
              <w:b/>
              <w:bCs/>
              <w:spacing w:val="-4"/>
              <w:sz w:val="21"/>
              <w:szCs w:val="21"/>
            </w:rPr>
            <w:t xml:space="preserve">2023 </w:t>
          </w:r>
          <w:r>
            <w:rPr>
              <w:spacing w:val="-4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年建筑装饰（</w:t>
          </w:r>
          <w:r>
            <w:rPr>
              <w:rFonts w:ascii="Times New Roman" w:eastAsia="Times New Roman" w:hAnsi="Times New Roman" w:cs="Times New Roman"/>
              <w:b/>
              <w:bCs/>
              <w:spacing w:val="-4"/>
              <w:sz w:val="21"/>
              <w:szCs w:val="21"/>
            </w:rPr>
            <w:t>SW</w:t>
          </w:r>
          <w:r>
            <w:rPr>
              <w:spacing w:val="-4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）、沪深</w:t>
          </w:r>
          <w:r>
            <w:rPr>
              <w:spacing w:val="-34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4"/>
              <w:sz w:val="21"/>
              <w:szCs w:val="21"/>
            </w:rPr>
            <w:t xml:space="preserve">300 </w:t>
          </w:r>
          <w:r>
            <w:rPr>
              <w:spacing w:val="-4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及万得全</w:t>
          </w:r>
          <w:r>
            <w:rPr>
              <w:spacing w:val="-53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4"/>
              <w:sz w:val="21"/>
              <w:szCs w:val="21"/>
            </w:rPr>
            <w:t xml:space="preserve">A </w:t>
          </w:r>
          <w:r>
            <w:rPr>
              <w:spacing w:val="-4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指数收益</w:t>
          </w:r>
          <w:r>
            <w:rPr>
              <w:spacing w:val="-50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50"/>
              <w:sz w:val="21"/>
              <w:szCs w:val="21"/>
            </w:rPr>
            <w:t xml:space="preserve"> </w:t>
          </w:r>
          <w:hyperlink w:anchor="bookmark1" w:history="1"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3" w:line="227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2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 xml:space="preserve">2023 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年建筑装饰（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SW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）指数</w:t>
          </w:r>
          <w:r>
            <w:rPr>
              <w:spacing w:val="-40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PE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（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1"/>
              <w:szCs w:val="21"/>
            </w:rPr>
            <w:t>TTM</w:t>
          </w: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）及</w:t>
          </w:r>
          <w:r>
            <w:rPr>
              <w:spacing w:val="-49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1"/>
              <w:szCs w:val="21"/>
            </w:rPr>
            <w:t>EPS</w:t>
          </w:r>
          <w:r>
            <w:rPr>
              <w:rFonts w:ascii="Times New Roman" w:eastAsia="Times New Roman" w:hAnsi="Times New Roman" w:cs="Times New Roman"/>
              <w:b/>
              <w:bCs/>
              <w:sz w:val="21"/>
              <w:szCs w:val="21"/>
            </w:rPr>
            <w:tab/>
          </w:r>
          <w:r>
            <w:rPr>
              <w:rFonts w:ascii="Times New Roman" w:eastAsia="Times New Roman" w:hAnsi="Times New Roman" w:cs="Times New Roman"/>
              <w:b/>
              <w:bCs/>
              <w:spacing w:val="5"/>
              <w:sz w:val="21"/>
              <w:szCs w:val="21"/>
            </w:rPr>
            <w:t xml:space="preserve"> </w:t>
          </w:r>
          <w:hyperlink w:anchor="bookmark12" w:history="1"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5" w:line="227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3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 xml:space="preserve">2023 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年建筑装饰（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SW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）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PE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（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TTM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）比较</w:t>
          </w:r>
          <w:r>
            <w:rPr>
              <w:spacing w:val="-65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8"/>
              <w:sz w:val="21"/>
              <w:szCs w:val="21"/>
            </w:rPr>
            <w:t xml:space="preserve"> </w:t>
          </w:r>
          <w:hyperlink w:anchor="bookmark13" w:history="1"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3" w:line="227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3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3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1"/>
              <w:szCs w:val="21"/>
            </w:rPr>
            <w:t>4</w:t>
          </w:r>
          <w:r>
            <w:rPr>
              <w:spacing w:val="-3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1"/>
              <w:szCs w:val="21"/>
            </w:rPr>
            <w:t xml:space="preserve">2023 </w:t>
          </w:r>
          <w:r>
            <w:rPr>
              <w:spacing w:val="-3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年建筑装饰（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1"/>
              <w:szCs w:val="21"/>
            </w:rPr>
            <w:t>SW</w:t>
          </w:r>
          <w:r>
            <w:rPr>
              <w:spacing w:val="-3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）</w:t>
          </w:r>
          <w:r>
            <w:rPr>
              <w:rFonts w:ascii="Times New Roman" w:eastAsia="Times New Roman" w:hAnsi="Times New Roman" w:cs="Times New Roman"/>
              <w:b/>
              <w:bCs/>
              <w:spacing w:val="-3"/>
              <w:sz w:val="21"/>
              <w:szCs w:val="21"/>
            </w:rPr>
            <w:t>EPS</w:t>
          </w:r>
          <w:r>
            <w:rPr>
              <w:rFonts w:ascii="Times New Roman" w:eastAsia="Times New Roman" w:hAnsi="Times New Roman" w:cs="Times New Roman"/>
              <w:b/>
              <w:bCs/>
              <w:spacing w:val="43"/>
              <w:w w:val="101"/>
              <w:sz w:val="21"/>
              <w:szCs w:val="21"/>
            </w:rPr>
            <w:t xml:space="preserve"> </w:t>
          </w:r>
          <w:r>
            <w:rPr>
              <w:spacing w:val="-3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比较</w:t>
          </w:r>
          <w:r>
            <w:rPr>
              <w:sz w:val="21"/>
              <w:szCs w:val="21"/>
            </w:rPr>
            <w:tab/>
          </w:r>
          <w:r>
            <w:rPr>
              <w:spacing w:val="-48"/>
              <w:sz w:val="21"/>
              <w:szCs w:val="21"/>
            </w:rPr>
            <w:t xml:space="preserve"> </w:t>
          </w:r>
          <w:hyperlink w:anchor="bookmark14" w:history="1"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5" w:line="232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5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 xml:space="preserve">2023 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年建筑（申万）二级行业市场</w:t>
          </w: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表现</w:t>
          </w:r>
          <w:r>
            <w:rPr>
              <w:spacing w:val="-44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7"/>
              <w:sz w:val="21"/>
              <w:szCs w:val="21"/>
            </w:rPr>
            <w:t xml:space="preserve"> </w:t>
          </w:r>
          <w:hyperlink w:anchor="bookmark15" w:history="1"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8" w:line="232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6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 xml:space="preserve">2023 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年建筑（申万）三级行业市场</w:t>
          </w: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表现</w:t>
          </w:r>
          <w:r>
            <w:rPr>
              <w:spacing w:val="-44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7"/>
              <w:sz w:val="21"/>
              <w:szCs w:val="21"/>
            </w:rPr>
            <w:t xml:space="preserve"> </w:t>
          </w:r>
          <w:hyperlink w:anchor="bookmark16" w:history="1"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9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z w:val="21"/>
              <w:szCs w:val="21"/>
            </w:rPr>
            <w:t>7</w:t>
          </w: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：中国固定资产投资完成额、建筑业总产值及新签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合同额累计同比</w:t>
          </w:r>
          <w:r>
            <w:rPr>
              <w:spacing w:val="-49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8"/>
              <w:sz w:val="21"/>
              <w:szCs w:val="21"/>
            </w:rPr>
            <w:t xml:space="preserve"> </w:t>
          </w:r>
          <w:hyperlink w:anchor="bookmark17" w:history="1"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7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0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2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1"/>
              <w:szCs w:val="21"/>
            </w:rPr>
            <w:t>8</w:t>
          </w: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：建筑板块累计营收及同比增速</w:t>
          </w:r>
          <w:r>
            <w:rPr>
              <w:spacing w:val="-41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8"/>
              <w:sz w:val="21"/>
              <w:szCs w:val="21"/>
            </w:rPr>
            <w:t xml:space="preserve"> </w:t>
          </w:r>
          <w:hyperlink w:anchor="bookmark18" w:history="1"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7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9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9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：建筑板块单季度营收及同比增速</w:t>
          </w:r>
          <w:r>
            <w:rPr>
              <w:spacing w:val="-56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8"/>
              <w:sz w:val="21"/>
              <w:szCs w:val="21"/>
            </w:rPr>
            <w:t xml:space="preserve"> </w:t>
          </w:r>
          <w:hyperlink w:anchor="bookmark19" w:history="1"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7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2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10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：建筑板块累计归母净利润及同比增速</w:t>
          </w:r>
          <w:r>
            <w:rPr>
              <w:spacing w:val="-50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8"/>
              <w:sz w:val="21"/>
              <w:szCs w:val="21"/>
            </w:rPr>
            <w:t xml:space="preserve"> </w:t>
          </w:r>
          <w:hyperlink w:anchor="bookmark20" w:history="1"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8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0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11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：建筑板块单季度归母净利润及同</w:t>
          </w: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比增速</w:t>
          </w:r>
          <w:r>
            <w:rPr>
              <w:sz w:val="21"/>
              <w:szCs w:val="21"/>
            </w:rPr>
            <w:tab/>
          </w:r>
          <w:r>
            <w:rPr>
              <w:spacing w:val="-48"/>
              <w:sz w:val="21"/>
              <w:szCs w:val="21"/>
            </w:rPr>
            <w:t xml:space="preserve"> </w:t>
          </w:r>
          <w:hyperlink w:anchor="bookmark21" w:history="1"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8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2" w:line="227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12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 xml:space="preserve">2023 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年建筑装饰（申万）板块净利率结构拆分</w:t>
          </w:r>
          <w:r>
            <w:rPr>
              <w:spacing w:val="-37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8"/>
              <w:sz w:val="21"/>
              <w:szCs w:val="21"/>
            </w:rPr>
            <w:t xml:space="preserve"> </w:t>
          </w:r>
          <w:hyperlink w:anchor="bookmark22" w:history="1"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8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3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13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：建筑子行业累计营收同比增速</w:t>
          </w:r>
          <w:r>
            <w:rPr>
              <w:spacing w:val="-56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8"/>
              <w:sz w:val="21"/>
              <w:szCs w:val="21"/>
            </w:rPr>
            <w:t xml:space="preserve"> </w:t>
          </w:r>
          <w:hyperlink w:anchor="bookmark23" w:history="1"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9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2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14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：建筑子行业单季度营收同比增速</w:t>
          </w:r>
          <w:r>
            <w:rPr>
              <w:spacing w:val="-54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8"/>
              <w:sz w:val="21"/>
              <w:szCs w:val="21"/>
            </w:rPr>
            <w:t xml:space="preserve"> </w:t>
          </w:r>
          <w:hyperlink w:anchor="bookmark24" w:history="1"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9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0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15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：建筑子行业累计归母净利润同比增速</w:t>
          </w:r>
          <w:r>
            <w:rPr>
              <w:spacing w:val="-50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8"/>
              <w:sz w:val="21"/>
              <w:szCs w:val="21"/>
            </w:rPr>
            <w:t xml:space="preserve"> </w:t>
          </w:r>
          <w:hyperlink w:anchor="bookmark25" w:history="1"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9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2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  <w:sectPr>
              <w:headerReference w:type="default" r:id="rId19"/>
              <w:footerReference w:type="default" r:id="rId20"/>
              <w:pgSz w:w="11907" w:h="16839"/>
              <w:pgMar w:top="1195" w:right="919" w:bottom="1082" w:left="991" w:header="566" w:footer="810" w:gutter="0"/>
              <w:pgNumType w:start="4"/>
              <w:cols w:space="708"/>
            </w:sectPr>
          </w:pP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16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：建筑子行业单季度归母净利润同比增速</w:t>
          </w:r>
          <w:r>
            <w:rPr>
              <w:spacing w:val="-47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8"/>
              <w:sz w:val="21"/>
              <w:szCs w:val="21"/>
            </w:rPr>
            <w:t xml:space="preserve"> </w:t>
          </w:r>
          <w:hyperlink w:anchor="bookmark26" w:history="1"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9</w:t>
            </w:r>
          </w:hyperlink>
        </w:p>
      </w:sdtContent>
    </w:sdt>
    <w:sdt>
      <w:sdtPr>
        <w:rPr>
          <w:rFonts w:ascii="KaiTi" w:eastAsia="KaiTi" w:hAnsi="KaiTi" w:cs="KaiTi"/>
          <w:sz w:val="28"/>
          <w:szCs w:val="28"/>
        </w:rPr>
        <w:id w:val="65125528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1"/>
          <w:szCs w:val="21"/>
        </w:rPr>
      </w:sdtEndPr>
      <w:sdtContent>
        <w:p>
          <w:pPr>
            <w:pStyle w:val="BodyText"/>
            <w:tabs>
              <w:tab w:val="right" w:leader="dot" w:pos="9885"/>
            </w:tabs>
            <w:spacing w:before="9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17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：基础设施建设、房地产开发及制造业投资累计同比</w:t>
          </w:r>
          <w:r>
            <w:rPr>
              <w:spacing w:val="-36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0"/>
              <w:sz w:val="21"/>
              <w:szCs w:val="21"/>
            </w:rPr>
            <w:t xml:space="preserve"> </w:t>
          </w:r>
          <w:hyperlink w:anchor="bookmark27" w:history="1"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1"/>
                <w:szCs w:val="21"/>
              </w:rPr>
              <w:t>10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2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18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：基建固定资产投资完成额累计同比及结构拆分</w:t>
          </w:r>
          <w:r>
            <w:rPr>
              <w:spacing w:val="-41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hyperlink w:anchor="bookmark28" w:history="1"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>11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0" w:line="232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8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8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8"/>
              <w:sz w:val="21"/>
              <w:szCs w:val="21"/>
            </w:rPr>
            <w:t>19</w:t>
          </w:r>
          <w:r>
            <w:rPr>
              <w:spacing w:val="-8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：中国地方政府新增专项债（亿元）</w:t>
          </w:r>
          <w:r>
            <w:rPr>
              <w:spacing w:val="88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hyperlink w:anchor="bookmark29" w:history="1"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>11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0" w:line="232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20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：中国地方政府新增专项债各季度发行进度</w:t>
          </w:r>
          <w:r>
            <w:rPr>
              <w:spacing w:val="-45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hyperlink w:anchor="bookmark30" w:history="1"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11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7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z w:val="21"/>
              <w:szCs w:val="21"/>
            </w:rPr>
            <w:t>21</w:t>
          </w: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：交通运输、农林水事务、城乡社区事务领域公共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财政支出累计同比</w:t>
          </w:r>
          <w:r>
            <w:rPr>
              <w:spacing w:val="-47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0"/>
              <w:sz w:val="21"/>
              <w:szCs w:val="21"/>
            </w:rPr>
            <w:t xml:space="preserve"> </w:t>
          </w:r>
          <w:hyperlink w:anchor="bookmark31" w:history="1"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1"/>
                <w:szCs w:val="21"/>
              </w:rPr>
              <w:t>12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2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2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1"/>
              <w:szCs w:val="21"/>
            </w:rPr>
            <w:t>22</w:t>
          </w: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：中国公共财政收支累计同比</w:t>
          </w:r>
          <w:r>
            <w:rPr>
              <w:spacing w:val="-41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0"/>
              <w:sz w:val="21"/>
              <w:szCs w:val="21"/>
            </w:rPr>
            <w:t xml:space="preserve"> </w:t>
          </w:r>
          <w:hyperlink w:anchor="bookmark32" w:history="1"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1"/>
                <w:szCs w:val="21"/>
              </w:rPr>
              <w:t>12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9" w:line="235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2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1"/>
              <w:szCs w:val="21"/>
            </w:rPr>
            <w:t>23</w:t>
          </w: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：基建领域公共财政支出</w:t>
          </w:r>
          <w:r>
            <w:rPr>
              <w:spacing w:val="-38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1"/>
              <w:szCs w:val="21"/>
            </w:rPr>
            <w:t>TTM</w:t>
          </w:r>
          <w:r>
            <w:rPr>
              <w:rFonts w:ascii="Times New Roman" w:eastAsia="Times New Roman" w:hAnsi="Times New Roman" w:cs="Times New Roman"/>
              <w:b/>
              <w:bCs/>
              <w:sz w:val="21"/>
              <w:szCs w:val="21"/>
            </w:rPr>
            <w:tab/>
          </w:r>
          <w:r>
            <w:rPr>
              <w:rFonts w:ascii="Times New Roman" w:eastAsia="Times New Roman" w:hAnsi="Times New Roman" w:cs="Times New Roman"/>
              <w:b/>
              <w:bCs/>
              <w:spacing w:val="13"/>
              <w:sz w:val="21"/>
              <w:szCs w:val="21"/>
            </w:rPr>
            <w:t xml:space="preserve"> </w:t>
          </w:r>
          <w:hyperlink w:anchor="bookmark33" w:history="1"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1"/>
                <w:szCs w:val="21"/>
              </w:rPr>
              <w:t>12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7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24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：中国挖掘机、水泥及石油沥青产量累计同比</w:t>
          </w:r>
          <w:r>
            <w:rPr>
              <w:spacing w:val="-43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39"/>
              <w:sz w:val="21"/>
              <w:szCs w:val="21"/>
            </w:rPr>
            <w:t xml:space="preserve"> </w:t>
          </w:r>
          <w:hyperlink w:anchor="bookmark34" w:history="1"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1"/>
                <w:szCs w:val="21"/>
              </w:rPr>
              <w:t>13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0" w:line="232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2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1"/>
              <w:szCs w:val="21"/>
            </w:rPr>
            <w:t>25</w:t>
          </w: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：中国上海地区螺纹钢价格</w:t>
          </w:r>
          <w:r>
            <w:rPr>
              <w:spacing w:val="-45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39"/>
              <w:sz w:val="21"/>
              <w:szCs w:val="21"/>
            </w:rPr>
            <w:t xml:space="preserve"> </w:t>
          </w:r>
          <w:hyperlink w:anchor="bookmark35" w:history="1"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1"/>
                <w:szCs w:val="21"/>
              </w:rPr>
              <w:t>13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0" w:line="227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6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6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6"/>
              <w:sz w:val="21"/>
              <w:szCs w:val="21"/>
            </w:rPr>
            <w:t>26</w:t>
          </w:r>
          <w:r>
            <w:rPr>
              <w:spacing w:val="-6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：中国水泥市场价（</w:t>
          </w:r>
          <w:r>
            <w:rPr>
              <w:rFonts w:ascii="Times New Roman" w:eastAsia="Times New Roman" w:hAnsi="Times New Roman" w:cs="Times New Roman"/>
              <w:b/>
              <w:bCs/>
              <w:spacing w:val="-6"/>
              <w:sz w:val="21"/>
              <w:szCs w:val="21"/>
            </w:rPr>
            <w:t>P·O 42.5</w:t>
          </w:r>
          <w:r>
            <w:rPr>
              <w:spacing w:val="-6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，散装）</w:t>
          </w:r>
          <w:r>
            <w:rPr>
              <w:spacing w:val="32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0"/>
              <w:sz w:val="21"/>
              <w:szCs w:val="21"/>
            </w:rPr>
            <w:t xml:space="preserve"> </w:t>
          </w:r>
          <w:hyperlink w:anchor="bookmark36" w:history="1"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1"/>
                <w:szCs w:val="21"/>
              </w:rPr>
              <w:t>13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3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2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1"/>
              <w:szCs w:val="21"/>
            </w:rPr>
            <w:t>27</w:t>
          </w: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：中国政府财政赤字率预期目标</w:t>
          </w:r>
          <w:r>
            <w:rPr>
              <w:spacing w:val="-38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0"/>
              <w:sz w:val="21"/>
              <w:szCs w:val="21"/>
            </w:rPr>
            <w:t xml:space="preserve"> </w:t>
          </w:r>
          <w:hyperlink w:anchor="bookmark37" w:history="1"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1"/>
                <w:szCs w:val="21"/>
              </w:rPr>
              <w:t>14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1" w:line="232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2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1"/>
              <w:szCs w:val="21"/>
            </w:rPr>
            <w:t>28</w:t>
          </w: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：中国政府部门杠杆率结构</w:t>
          </w:r>
          <w:r>
            <w:rPr>
              <w:spacing w:val="-45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39"/>
              <w:sz w:val="21"/>
              <w:szCs w:val="21"/>
            </w:rPr>
            <w:t xml:space="preserve"> </w:t>
          </w:r>
          <w:hyperlink w:anchor="bookmark38" w:history="1"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1"/>
                <w:szCs w:val="21"/>
              </w:rPr>
              <w:t>14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8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29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：世界主要经济体</w:t>
          </w:r>
          <w:r>
            <w:rPr>
              <w:spacing w:val="-44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 xml:space="preserve">2021 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年中央政府杠杆率</w:t>
          </w:r>
          <w:r>
            <w:rPr>
              <w:spacing w:val="-52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0"/>
              <w:sz w:val="21"/>
              <w:szCs w:val="21"/>
            </w:rPr>
            <w:t xml:space="preserve"> </w:t>
          </w:r>
          <w:hyperlink w:anchor="bookmark39" w:history="1"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1"/>
                <w:szCs w:val="21"/>
              </w:rPr>
              <w:t>14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9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30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：世界主要经济体</w:t>
          </w:r>
          <w:r>
            <w:rPr>
              <w:spacing w:val="-44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 xml:space="preserve">2022 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年政府部门杠杆率</w:t>
          </w:r>
          <w:r>
            <w:rPr>
              <w:spacing w:val="-52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0"/>
              <w:sz w:val="21"/>
              <w:szCs w:val="21"/>
            </w:rPr>
            <w:t xml:space="preserve"> </w:t>
          </w:r>
          <w:hyperlink w:anchor="bookmark40" w:history="1"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1"/>
                <w:szCs w:val="21"/>
              </w:rPr>
              <w:t>14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2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31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：地产链销售、新开工、竣工、投资等环节表现</w:t>
          </w:r>
          <w:r>
            <w:rPr>
              <w:spacing w:val="-41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0"/>
              <w:sz w:val="21"/>
              <w:szCs w:val="21"/>
            </w:rPr>
            <w:t xml:space="preserve"> </w:t>
          </w:r>
          <w:hyperlink w:anchor="bookmark41" w:history="1"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1"/>
                <w:szCs w:val="21"/>
              </w:rPr>
              <w:t>17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0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2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1"/>
              <w:szCs w:val="21"/>
            </w:rPr>
            <w:t>32</w:t>
          </w: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：央企考核体系持续更新</w:t>
          </w:r>
          <w:r>
            <w:rPr>
              <w:spacing w:val="-48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8"/>
              <w:sz w:val="21"/>
              <w:szCs w:val="21"/>
            </w:rPr>
            <w:t xml:space="preserve"> </w:t>
          </w:r>
          <w:hyperlink w:anchor="bookmark42" w:history="1"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>20</w:t>
            </w:r>
          </w:hyperlink>
        </w:p>
      </w:sdtContent>
    </w:sdt>
    <w:p>
      <w:pPr>
        <w:spacing w:line="230" w:lineRule="auto"/>
        <w:rPr>
          <w:rFonts w:ascii="Times New Roman" w:eastAsia="Times New Roman" w:hAnsi="Times New Roman" w:cs="Times New Roman"/>
          <w:sz w:val="21"/>
          <w:szCs w:val="21"/>
        </w:rPr>
        <w:sectPr>
          <w:headerReference w:type="default" r:id="rId21"/>
          <w:footerReference w:type="default" r:id="rId22"/>
          <w:type w:val="nextPage"/>
          <w:pgSz w:w="11907" w:h="16839"/>
          <w:pgMar w:top="1195" w:right="919" w:bottom="1082" w:left="991" w:header="566" w:footer="810" w:gutter="0"/>
          <w:pgNumType w:start="5"/>
          <w:cols w:space="708"/>
          <w:titlePg w:val="0"/>
        </w:sectPr>
      </w:pPr>
    </w:p>
    <w:sdt>
      <w:sdtPr>
        <w:rPr>
          <w:rFonts w:ascii="KaiTi" w:eastAsia="KaiTi" w:hAnsi="KaiTi" w:cs="KaiTi"/>
          <w:sz w:val="21"/>
          <w:szCs w:val="21"/>
        </w:rPr>
        <w:id w:val="55792516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sz w:val="21"/>
          <w:szCs w:val="21"/>
        </w:rPr>
      </w:sdtEndPr>
      <w:sdtContent>
        <w:p>
          <w:pPr>
            <w:pStyle w:val="BodyText"/>
            <w:tabs>
              <w:tab w:val="right" w:leader="dot" w:pos="9885"/>
            </w:tabs>
            <w:spacing w:before="234" w:line="232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2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1"/>
              <w:szCs w:val="21"/>
            </w:rPr>
            <w:t>33</w:t>
          </w: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：八大建筑央企股利支付率</w:t>
          </w:r>
          <w:r>
            <w:rPr>
              <w:spacing w:val="-45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8"/>
              <w:sz w:val="21"/>
              <w:szCs w:val="21"/>
            </w:rPr>
            <w:t xml:space="preserve"> </w:t>
          </w:r>
          <w:hyperlink w:anchor="bookmark43" w:history="1"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>23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9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34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：基础设施建设行业固定资产投资资金来源结构</w:t>
          </w:r>
          <w:r>
            <w:rPr>
              <w:spacing w:val="-41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9"/>
              <w:sz w:val="21"/>
              <w:szCs w:val="21"/>
            </w:rPr>
            <w:t xml:space="preserve"> </w:t>
          </w:r>
          <w:hyperlink w:anchor="bookmark44" w:history="1"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>24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9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35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：截止</w:t>
          </w:r>
          <w:r>
            <w:rPr>
              <w:spacing w:val="-38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 xml:space="preserve">2022 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年末建筑央国企施工总承包特级资质项数</w:t>
          </w:r>
          <w:r>
            <w:rPr>
              <w:spacing w:val="-47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9"/>
              <w:sz w:val="21"/>
              <w:szCs w:val="21"/>
            </w:rPr>
            <w:t xml:space="preserve"> </w:t>
          </w:r>
          <w:hyperlink w:anchor="bookmark45" w:history="1"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>24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1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36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：截止</w:t>
          </w:r>
          <w:r>
            <w:rPr>
              <w:spacing w:val="-37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 xml:space="preserve">2022 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年末建筑央国企授信额度及未使</w:t>
          </w: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用额度</w:t>
          </w:r>
          <w:r>
            <w:rPr>
              <w:spacing w:val="-48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9"/>
              <w:sz w:val="21"/>
              <w:szCs w:val="21"/>
            </w:rPr>
            <w:t xml:space="preserve"> </w:t>
          </w:r>
          <w:hyperlink w:anchor="bookmark46" w:history="1"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>25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0" w:line="231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2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1"/>
              <w:szCs w:val="21"/>
            </w:rPr>
            <w:t>37</w:t>
          </w: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1"/>
              <w:szCs w:val="21"/>
            </w:rPr>
            <w:t>“</w:t>
          </w: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十四五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1"/>
              <w:szCs w:val="21"/>
            </w:rPr>
            <w:t>”</w:t>
          </w:r>
          <w:r>
            <w:rPr>
              <w:rFonts w:ascii="Times New Roman" w:eastAsia="Times New Roman" w:hAnsi="Times New Roman" w:cs="Times New Roman"/>
              <w:b/>
              <w:bCs/>
              <w:spacing w:val="-22"/>
              <w:sz w:val="21"/>
              <w:szCs w:val="21"/>
            </w:rPr>
            <w:t xml:space="preserve"> </w:t>
          </w: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时期八大建筑央企</w:t>
          </w:r>
          <w:r>
            <w:rPr>
              <w:spacing w:val="-48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1"/>
              <w:szCs w:val="21"/>
            </w:rPr>
            <w:t xml:space="preserve">ROE </w:t>
          </w: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企稳回升</w:t>
          </w:r>
          <w:r>
            <w:rPr>
              <w:sz w:val="21"/>
              <w:szCs w:val="21"/>
            </w:rPr>
            <w:tab/>
          </w:r>
          <w:r>
            <w:rPr>
              <w:spacing w:val="-48"/>
              <w:sz w:val="21"/>
              <w:szCs w:val="21"/>
            </w:rPr>
            <w:t xml:space="preserve"> </w:t>
          </w:r>
          <w:hyperlink w:anchor="bookmark47" w:history="1"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>25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0" w:line="234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2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1"/>
              <w:szCs w:val="21"/>
            </w:rPr>
            <w:t>38</w:t>
          </w: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：八大建筑央企</w:t>
          </w:r>
          <w:r>
            <w:rPr>
              <w:spacing w:val="-39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2"/>
              <w:sz w:val="21"/>
              <w:szCs w:val="21"/>
            </w:rPr>
            <w:t xml:space="preserve">ROE </w:t>
          </w:r>
          <w:r>
            <w:rPr>
              <w:spacing w:val="-2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结构拆分</w:t>
          </w:r>
          <w:r>
            <w:rPr>
              <w:sz w:val="21"/>
              <w:szCs w:val="21"/>
            </w:rPr>
            <w:tab/>
          </w:r>
          <w:r>
            <w:rPr>
              <w:spacing w:val="-49"/>
              <w:sz w:val="21"/>
              <w:szCs w:val="21"/>
            </w:rPr>
            <w:t xml:space="preserve"> </w:t>
          </w:r>
          <w:hyperlink w:anchor="bookmark48" w:history="1"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>26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6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7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7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7"/>
              <w:sz w:val="21"/>
              <w:szCs w:val="21"/>
            </w:rPr>
            <w:t>39</w:t>
          </w:r>
          <w:r>
            <w:rPr>
              <w:spacing w:val="-7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：八大建筑央企市占率（新签合同口径）</w:t>
          </w:r>
          <w:r>
            <w:rPr>
              <w:spacing w:val="85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9"/>
              <w:sz w:val="21"/>
              <w:szCs w:val="21"/>
            </w:rPr>
            <w:t xml:space="preserve"> </w:t>
          </w:r>
          <w:hyperlink w:anchor="bookmark49" w:history="1"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>27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2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7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7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7"/>
              <w:sz w:val="21"/>
              <w:szCs w:val="21"/>
            </w:rPr>
            <w:t>40</w:t>
          </w:r>
          <w:r>
            <w:rPr>
              <w:spacing w:val="-7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：建筑行业市场格局（新签合同口径）</w:t>
          </w:r>
          <w:r>
            <w:rPr>
              <w:spacing w:val="76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9"/>
              <w:sz w:val="21"/>
              <w:szCs w:val="21"/>
            </w:rPr>
            <w:t xml:space="preserve"> </w:t>
          </w:r>
          <w:hyperlink w:anchor="bookmark50" w:history="1"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>27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9" w:line="230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6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6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6"/>
              <w:sz w:val="21"/>
              <w:szCs w:val="21"/>
            </w:rPr>
            <w:t>41</w:t>
          </w:r>
          <w:r>
            <w:rPr>
              <w:spacing w:val="-6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：八大建筑央企市占率（产值</w:t>
          </w:r>
          <w:r>
            <w:rPr>
              <w:rFonts w:ascii="Times New Roman" w:eastAsia="Times New Roman" w:hAnsi="Times New Roman" w:cs="Times New Roman"/>
              <w:b/>
              <w:bCs/>
              <w:spacing w:val="-6"/>
              <w:sz w:val="21"/>
              <w:szCs w:val="21"/>
            </w:rPr>
            <w:t>/</w:t>
          </w:r>
          <w:r>
            <w:rPr>
              <w:spacing w:val="-6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营</w:t>
          </w:r>
          <w:r>
            <w:rPr>
              <w:spacing w:val="-7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收口径）</w:t>
          </w:r>
          <w:r>
            <w:rPr>
              <w:spacing w:val="67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9"/>
              <w:sz w:val="21"/>
              <w:szCs w:val="21"/>
            </w:rPr>
            <w:t xml:space="preserve"> </w:t>
          </w:r>
          <w:hyperlink w:anchor="bookmark51" w:history="1"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>27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2" w:line="232" w:lineRule="auto"/>
            <w:ind w:left="6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图</w:t>
          </w:r>
          <w:r>
            <w:rPr>
              <w:spacing w:val="-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-1"/>
              <w:sz w:val="21"/>
              <w:szCs w:val="21"/>
            </w:rPr>
            <w:t>42</w:t>
          </w:r>
          <w:r>
            <w:rPr>
              <w:spacing w:val="-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：中国对外工程新签及八大建筑央企境外新签</w:t>
          </w:r>
          <w:r>
            <w:rPr>
              <w:spacing w:val="-43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8"/>
              <w:sz w:val="21"/>
              <w:szCs w:val="21"/>
            </w:rPr>
            <w:t xml:space="preserve"> </w:t>
          </w:r>
          <w:hyperlink w:anchor="bookmark52" w:history="1"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>27</w:t>
            </w:r>
          </w:hyperlink>
        </w:p>
        <w:p>
          <w:pPr>
            <w:spacing w:line="418" w:lineRule="auto"/>
            <w:rPr>
              <w:rFonts w:ascii="Arial"/>
              <w:sz w:val="21"/>
            </w:rPr>
          </w:pPr>
        </w:p>
        <w:p>
          <w:pPr>
            <w:pStyle w:val="BodyText"/>
            <w:tabs>
              <w:tab w:val="right" w:leader="dot" w:pos="9885"/>
            </w:tabs>
            <w:spacing w:before="70" w:line="232" w:lineRule="auto"/>
            <w:ind w:left="3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表</w:t>
          </w:r>
          <w:r>
            <w:rPr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z w:val="21"/>
              <w:szCs w:val="21"/>
            </w:rPr>
            <w:t>1</w:t>
          </w: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：专项债提前批额度及下达时间</w:t>
          </w:r>
          <w:r>
            <w:rPr>
              <w:spacing w:val="-44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0"/>
              <w:sz w:val="21"/>
              <w:szCs w:val="21"/>
            </w:rPr>
            <w:t xml:space="preserve"> </w:t>
          </w:r>
          <w:hyperlink w:anchor="bookmark53" w:history="1"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1"/>
                <w:szCs w:val="21"/>
              </w:rPr>
              <w:t>15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9" w:line="230" w:lineRule="auto"/>
            <w:ind w:left="3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表</w:t>
          </w:r>
          <w:r>
            <w:rPr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z w:val="21"/>
              <w:szCs w:val="21"/>
            </w:rPr>
            <w:t>2</w:t>
          </w: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</w:t>
          </w:r>
          <w:r>
            <w:rPr>
              <w:rFonts w:ascii="Times New Roman" w:eastAsia="Times New Roman" w:hAnsi="Times New Roman" w:cs="Times New Roman"/>
              <w:b/>
              <w:bCs/>
              <w:sz w:val="21"/>
              <w:szCs w:val="21"/>
            </w:rPr>
            <w:t xml:space="preserve">2023 </w:t>
          </w: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年基建产业链相关政策梳理</w:t>
          </w:r>
          <w:r>
            <w:rPr>
              <w:spacing w:val="-43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0"/>
              <w:sz w:val="21"/>
              <w:szCs w:val="21"/>
            </w:rPr>
            <w:t xml:space="preserve"> </w:t>
          </w:r>
          <w:hyperlink w:anchor="bookmark54" w:history="1"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1"/>
                <w:szCs w:val="21"/>
              </w:rPr>
              <w:t>16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0" w:line="230" w:lineRule="auto"/>
            <w:ind w:left="3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表</w:t>
          </w:r>
          <w:r>
            <w:rPr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z w:val="21"/>
              <w:szCs w:val="21"/>
            </w:rPr>
            <w:t>3</w:t>
          </w: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</w:t>
          </w:r>
          <w:r>
            <w:rPr>
              <w:rFonts w:ascii="Times New Roman" w:eastAsia="Times New Roman" w:hAnsi="Times New Roman" w:cs="Times New Roman"/>
              <w:b/>
              <w:bCs/>
              <w:sz w:val="21"/>
              <w:szCs w:val="21"/>
            </w:rPr>
            <w:t xml:space="preserve">2023 </w:t>
          </w: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年房地产需求放松相关政策梳理</w:t>
          </w:r>
          <w:r>
            <w:rPr>
              <w:spacing w:val="-40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0"/>
              <w:sz w:val="21"/>
              <w:szCs w:val="21"/>
            </w:rPr>
            <w:t xml:space="preserve"> </w:t>
          </w:r>
          <w:hyperlink w:anchor="bookmark55" w:history="1"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1"/>
                <w:szCs w:val="21"/>
              </w:rPr>
              <w:t>18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2" w:line="231" w:lineRule="auto"/>
            <w:ind w:left="3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表</w:t>
          </w:r>
          <w:r>
            <w:rPr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z w:val="21"/>
              <w:szCs w:val="21"/>
            </w:rPr>
            <w:t>4</w:t>
          </w: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</w:t>
          </w:r>
          <w:r>
            <w:rPr>
              <w:rFonts w:ascii="Times New Roman" w:eastAsia="Times New Roman" w:hAnsi="Times New Roman" w:cs="Times New Roman"/>
              <w:b/>
              <w:bCs/>
              <w:sz w:val="21"/>
              <w:szCs w:val="21"/>
            </w:rPr>
            <w:t xml:space="preserve">2023 </w:t>
          </w: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年城中村改造相关政策梳理</w:t>
          </w:r>
          <w:r>
            <w:rPr>
              <w:spacing w:val="-43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0"/>
              <w:sz w:val="21"/>
              <w:szCs w:val="21"/>
            </w:rPr>
            <w:t xml:space="preserve"> </w:t>
          </w:r>
          <w:hyperlink w:anchor="bookmark56" w:history="1"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1"/>
                <w:szCs w:val="21"/>
              </w:rPr>
              <w:t>19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9" w:line="229" w:lineRule="auto"/>
            <w:ind w:left="3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表</w:t>
          </w:r>
          <w:r>
            <w:rPr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z w:val="21"/>
              <w:szCs w:val="21"/>
            </w:rPr>
            <w:t>5</w:t>
          </w: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</w:t>
          </w:r>
          <w:r>
            <w:rPr>
              <w:rFonts w:ascii="Times New Roman" w:eastAsia="Times New Roman" w:hAnsi="Times New Roman" w:cs="Times New Roman"/>
              <w:b/>
              <w:bCs/>
              <w:sz w:val="21"/>
              <w:szCs w:val="21"/>
            </w:rPr>
            <w:t xml:space="preserve">2023 </w:t>
          </w: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年国企改革相关政策梳理</w:t>
          </w:r>
          <w:r>
            <w:rPr>
              <w:spacing w:val="-44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9"/>
              <w:sz w:val="21"/>
              <w:szCs w:val="21"/>
            </w:rPr>
            <w:t xml:space="preserve"> </w:t>
          </w:r>
          <w:hyperlink w:anchor="bookmark57" w:history="1"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>21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3" w:line="232" w:lineRule="auto"/>
            <w:ind w:left="3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pacing w:val="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表</w:t>
          </w:r>
          <w:r>
            <w:rPr>
              <w:spacing w:val="1"/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pacing w:val="1"/>
              <w:sz w:val="21"/>
              <w:szCs w:val="21"/>
            </w:rPr>
            <w:t>6</w:t>
          </w:r>
          <w:r>
            <w:rPr>
              <w:spacing w:val="1"/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：多家建筑央企上市公司在业务体量上</w:t>
          </w: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较集团存在明显差距</w:t>
          </w:r>
          <w:r>
            <w:rPr>
              <w:spacing w:val="-50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9"/>
              <w:sz w:val="21"/>
              <w:szCs w:val="21"/>
            </w:rPr>
            <w:t xml:space="preserve"> </w:t>
          </w:r>
          <w:hyperlink w:anchor="bookmark58" w:history="1"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>22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7" w:line="230" w:lineRule="auto"/>
            <w:ind w:left="3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表</w:t>
          </w:r>
          <w:r>
            <w:rPr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z w:val="21"/>
              <w:szCs w:val="21"/>
            </w:rPr>
            <w:t>7</w:t>
          </w: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：多家建筑央企公告限制性股票</w:t>
          </w:r>
          <w:r>
            <w:rPr>
              <w:rFonts w:ascii="Times New Roman" w:eastAsia="Times New Roman" w:hAnsi="Times New Roman" w:cs="Times New Roman"/>
              <w:b/>
              <w:bCs/>
              <w:sz w:val="21"/>
              <w:szCs w:val="21"/>
            </w:rPr>
            <w:t>/</w:t>
          </w: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股权激励计划</w:t>
          </w:r>
          <w:r>
            <w:rPr>
              <w:spacing w:val="-43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9"/>
              <w:sz w:val="21"/>
              <w:szCs w:val="21"/>
            </w:rPr>
            <w:t xml:space="preserve"> </w:t>
          </w:r>
          <w:hyperlink w:anchor="bookmark59" w:history="1"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>22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11" w:line="232" w:lineRule="auto"/>
            <w:ind w:left="3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表</w:t>
          </w:r>
          <w:r>
            <w:rPr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z w:val="21"/>
              <w:szCs w:val="21"/>
            </w:rPr>
            <w:t>8</w:t>
          </w: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：多家建筑央企公告未来股东回报规划</w:t>
          </w:r>
          <w:r>
            <w:rPr>
              <w:spacing w:val="-41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9"/>
              <w:sz w:val="21"/>
              <w:szCs w:val="21"/>
            </w:rPr>
            <w:t xml:space="preserve"> </w:t>
          </w:r>
          <w:hyperlink w:anchor="bookmark60" w:history="1"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>23</w:t>
            </w:r>
          </w:hyperlink>
        </w:p>
        <w:p>
          <w:pPr>
            <w:pStyle w:val="BodyText"/>
            <w:tabs>
              <w:tab w:val="right" w:leader="dot" w:pos="9885"/>
            </w:tabs>
            <w:spacing w:before="9" w:line="227" w:lineRule="auto"/>
            <w:ind w:left="32"/>
            <w:rPr>
              <w:rFonts w:ascii="Times New Roman" w:eastAsia="Times New Roman" w:hAnsi="Times New Roman" w:cs="Times New Roman"/>
              <w:sz w:val="21"/>
              <w:szCs w:val="21"/>
            </w:rPr>
          </w:pP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表</w:t>
          </w:r>
          <w:r>
            <w:rPr>
              <w:sz w:val="21"/>
              <w:szCs w:val="21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sz w:val="21"/>
              <w:szCs w:val="21"/>
            </w:rPr>
            <w:t>9</w:t>
          </w:r>
          <w:r>
            <w:rPr>
              <w:sz w:val="21"/>
              <w:szCs w:val="21"/>
              <w14:textOutline w14:w="3831">
                <w14:solidFill>
                  <w14:srgbClr w14:val="000000"/>
                </w14:solidFill>
                <w14:prstDash w14:val="solid"/>
                <w14:miter w14:lim="10"/>
              </w14:textOutline>
            </w:rPr>
            <w:t>：建筑装饰板块重点标的估值表</w:t>
          </w:r>
          <w:r>
            <w:rPr>
              <w:spacing w:val="-44"/>
              <w:sz w:val="21"/>
              <w:szCs w:val="21"/>
            </w:rPr>
            <w:t xml:space="preserve"> </w:t>
          </w:r>
          <w:r>
            <w:rPr>
              <w:sz w:val="21"/>
              <w:szCs w:val="21"/>
            </w:rPr>
            <w:tab/>
          </w:r>
          <w:r>
            <w:rPr>
              <w:spacing w:val="-49"/>
              <w:sz w:val="21"/>
              <w:szCs w:val="21"/>
            </w:rPr>
            <w:t xml:space="preserve"> </w:t>
          </w:r>
          <w:hyperlink w:anchor="bookmark61" w:history="1"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1"/>
                <w:szCs w:val="21"/>
              </w:rPr>
              <w:t>28</w:t>
            </w:r>
          </w:hyperlink>
        </w:p>
      </w:sdtContent>
    </w:sdt>
    <w:p>
      <w:pPr>
        <w:spacing w:line="227" w:lineRule="auto"/>
        <w:rPr>
          <w:rFonts w:ascii="Times New Roman" w:eastAsia="Times New Roman" w:hAnsi="Times New Roman" w:cs="Times New Roman"/>
          <w:sz w:val="21"/>
          <w:szCs w:val="21"/>
        </w:rPr>
        <w:sectPr>
          <w:headerReference w:type="default" r:id="rId23"/>
          <w:footerReference w:type="default" r:id="rId24"/>
          <w:pgSz w:w="11907" w:h="16839"/>
          <w:pgMar w:top="1195" w:right="919" w:bottom="1082" w:left="991" w:header="566" w:footer="810" w:gutter="0"/>
          <w:pgNumType w:start="6"/>
          <w:cols w:space="708"/>
        </w:sectPr>
      </w:pPr>
    </w:p>
    <w:p>
      <w:pPr>
        <w:spacing w:line="392" w:lineRule="auto"/>
        <w:rPr>
          <w:rFonts w:ascii="Arial"/>
          <w:sz w:val="21"/>
        </w:rPr>
      </w:pPr>
      <w:r>
        <w:drawing>
          <wp:anchor distT="0" distB="0" distL="0" distR="0" simplePos="0" relativeHeight="251667456" behindDoc="1" locked="0" layoutInCell="0" allowOverlap="1">
            <wp:simplePos x="0" y="0"/>
            <wp:positionH relativeFrom="page">
              <wp:posOffset>722630</wp:posOffset>
            </wp:positionH>
            <wp:positionV relativeFrom="page">
              <wp:posOffset>3340100</wp:posOffset>
            </wp:positionV>
            <wp:extent cx="6114414" cy="3923029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14414" cy="3923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1" w:line="213" w:lineRule="auto"/>
        <w:ind w:left="47"/>
        <w:outlineLvl w:val="0"/>
        <w:rPr>
          <w:sz w:val="28"/>
          <w:szCs w:val="28"/>
        </w:rPr>
      </w:pPr>
      <w:bookmarkStart w:id="0" w:name="bookmark1"/>
      <w:bookmarkEnd w:id="0"/>
      <w:bookmarkStart w:id="1" w:name="bookmark2"/>
      <w:bookmarkEnd w:id="1"/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1.   </w:t>
      </w:r>
      <w:r>
        <w:rPr>
          <w:spacing w:val="-5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行情复盘：估值阶段性提振，</w:t>
      </w:r>
      <w:r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  <w14:textOutline w14:w="5094">
            <w14:solidFill>
              <w14:srgbClr w14:val="000000"/>
            </w14:solidFill>
            <w14:prstDash w14:val="solid"/>
            <w14:miter w14:lim="10"/>
          </w14:textOutline>
        </w:rPr>
        <w:t>业绩端前高后低</w:t>
      </w:r>
    </w:p>
    <w:p>
      <w:pPr>
        <w:pStyle w:val="BodyText"/>
        <w:spacing w:before="279" w:line="212" w:lineRule="auto"/>
        <w:ind w:left="56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  </w:t>
      </w:r>
      <w:r>
        <w:rPr>
          <w:sz w:val="24"/>
          <w:szCs w:val="24"/>
        </w:rPr>
        <w:t>市场表现：行业估值获阶段性提振，国际工程引领建筑</w:t>
      </w:r>
      <w:r>
        <w:rPr>
          <w:spacing w:val="-1"/>
          <w:sz w:val="24"/>
          <w:szCs w:val="24"/>
        </w:rPr>
        <w:t>行情</w:t>
      </w:r>
    </w:p>
    <w:p>
      <w:pPr>
        <w:pStyle w:val="BodyText"/>
        <w:spacing w:before="269" w:line="241" w:lineRule="auto"/>
        <w:ind w:left="33"/>
        <w:rPr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</w:rPr>
        <w:t>2023</w:t>
      </w:r>
      <w:r>
        <w:rPr>
          <w:rFonts w:ascii="Times New Roman" w:eastAsia="Times New Roman" w:hAnsi="Times New Roman" w:cs="Times New Roman"/>
          <w:b/>
          <w:bCs/>
          <w:spacing w:val="12"/>
          <w:sz w:val="21"/>
          <w:szCs w:val="21"/>
        </w:rPr>
        <w:t xml:space="preserve"> </w:t>
      </w:r>
      <w:r>
        <w:rPr>
          <w:spacing w:val="-4"/>
          <w:sz w:val="21"/>
          <w:szCs w:val="2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年建筑指数前涨后跌，总体表现略优于大盘。</w:t>
      </w:r>
      <w:r>
        <w:rPr>
          <w:spacing w:val="-32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截止至</w:t>
      </w:r>
      <w:r>
        <w:rPr>
          <w:spacing w:val="-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>2023</w:t>
      </w:r>
      <w:r>
        <w:rPr>
          <w:rFonts w:ascii="Times New Roman" w:eastAsia="Times New Roman" w:hAnsi="Times New Roman" w:cs="Times New Roman"/>
          <w:spacing w:val="12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年</w:t>
      </w:r>
      <w:r>
        <w:rPr>
          <w:spacing w:val="-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>12</w:t>
      </w:r>
      <w:r>
        <w:rPr>
          <w:rFonts w:ascii="Times New Roman" w:eastAsia="Times New Roman" w:hAnsi="Times New Roman" w:cs="Times New Roman"/>
          <w:spacing w:val="21"/>
          <w:w w:val="101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月</w:t>
      </w:r>
      <w:r>
        <w:rPr>
          <w:spacing w:val="-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29  </w:t>
      </w:r>
      <w:r>
        <w:rPr>
          <w:spacing w:val="-4"/>
          <w:sz w:val="21"/>
          <w:szCs w:val="21"/>
        </w:rPr>
        <w:t>日，建</w:t>
      </w:r>
    </w:p>
    <w:p>
      <w:pPr>
        <w:pStyle w:val="BodyText"/>
        <w:spacing w:line="213" w:lineRule="auto"/>
        <w:ind w:left="40"/>
        <w:rPr>
          <w:sz w:val="21"/>
          <w:szCs w:val="21"/>
        </w:rPr>
      </w:pPr>
      <w:r>
        <w:rPr>
          <w:spacing w:val="-3"/>
          <w:sz w:val="21"/>
          <w:szCs w:val="21"/>
        </w:rPr>
        <w:t>筑装饰（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SW</w:t>
      </w:r>
      <w:r>
        <w:rPr>
          <w:spacing w:val="-3"/>
          <w:sz w:val="21"/>
          <w:szCs w:val="21"/>
        </w:rPr>
        <w:t>）指数报收</w:t>
      </w:r>
      <w:r>
        <w:rPr>
          <w:spacing w:val="-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1886</w:t>
      </w:r>
      <w:r>
        <w:rPr>
          <w:rFonts w:ascii="Times New Roman" w:eastAsia="Times New Roman" w:hAnsi="Times New Roman" w:cs="Times New Roman"/>
          <w:spacing w:val="23"/>
          <w:sz w:val="21"/>
          <w:szCs w:val="21"/>
        </w:rPr>
        <w:t xml:space="preserve"> </w:t>
      </w:r>
      <w:r>
        <w:rPr>
          <w:spacing w:val="-3"/>
          <w:sz w:val="21"/>
          <w:szCs w:val="21"/>
        </w:rPr>
        <w:t>点，</w:t>
      </w:r>
      <w:r>
        <w:rPr>
          <w:spacing w:val="-36"/>
          <w:sz w:val="21"/>
          <w:szCs w:val="21"/>
        </w:rPr>
        <w:t xml:space="preserve"> </w:t>
      </w:r>
      <w:r>
        <w:rPr>
          <w:spacing w:val="-3"/>
          <w:sz w:val="21"/>
          <w:szCs w:val="21"/>
        </w:rPr>
        <w:t>较</w:t>
      </w:r>
      <w:r>
        <w:rPr>
          <w:spacing w:val="-4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2022 </w:t>
      </w:r>
      <w:r>
        <w:rPr>
          <w:spacing w:val="-3"/>
          <w:sz w:val="21"/>
          <w:szCs w:val="21"/>
        </w:rPr>
        <w:t>年末取得绝对收益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-5.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>4%</w:t>
      </w:r>
      <w:r>
        <w:rPr>
          <w:rFonts w:ascii="Times New Roman" w:eastAsia="Times New Roman" w:hAnsi="Times New Roman" w:cs="Times New Roman"/>
          <w:spacing w:val="-30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，较沪深</w:t>
      </w:r>
      <w:r>
        <w:rPr>
          <w:spacing w:val="-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300 </w:t>
      </w:r>
      <w:r>
        <w:rPr>
          <w:spacing w:val="-4"/>
          <w:sz w:val="21"/>
          <w:szCs w:val="21"/>
        </w:rPr>
        <w:t>取</w:t>
      </w:r>
    </w:p>
    <w:p>
      <w:pPr>
        <w:pStyle w:val="BodyText"/>
        <w:spacing w:before="28" w:line="213" w:lineRule="auto"/>
        <w:ind w:left="36"/>
        <w:rPr>
          <w:sz w:val="21"/>
          <w:szCs w:val="21"/>
        </w:rPr>
      </w:pPr>
      <w:r>
        <w:rPr>
          <w:sz w:val="21"/>
          <w:szCs w:val="21"/>
        </w:rPr>
        <w:t>得相对收益</w:t>
      </w:r>
      <w:r>
        <w:rPr>
          <w:spacing w:val="-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>6.0%</w:t>
      </w:r>
      <w:r>
        <w:rPr>
          <w:sz w:val="21"/>
          <w:szCs w:val="21"/>
        </w:rPr>
        <w:t>，较万得全</w:t>
      </w:r>
      <w:r>
        <w:rPr>
          <w:spacing w:val="-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A </w:t>
      </w:r>
      <w:r>
        <w:rPr>
          <w:sz w:val="21"/>
          <w:szCs w:val="21"/>
        </w:rPr>
        <w:t>取得相对收益</w:t>
      </w:r>
      <w:r>
        <w:rPr>
          <w:rFonts w:ascii="Times New Roman" w:eastAsia="Times New Roman" w:hAnsi="Times New Roman" w:cs="Times New Roman"/>
          <w:sz w:val="21"/>
          <w:szCs w:val="21"/>
        </w:rPr>
        <w:t>-0.2%</w:t>
      </w:r>
      <w:r>
        <w:rPr>
          <w:sz w:val="21"/>
          <w:szCs w:val="21"/>
        </w:rPr>
        <w:t>，</w:t>
      </w:r>
      <w:r>
        <w:rPr>
          <w:spacing w:val="-1"/>
          <w:sz w:val="21"/>
          <w:szCs w:val="21"/>
        </w:rPr>
        <w:t>总体表现略优于大盘。梳理板</w:t>
      </w:r>
    </w:p>
    <w:p>
      <w:pPr>
        <w:pStyle w:val="BodyText"/>
        <w:spacing w:before="31" w:line="213" w:lineRule="auto"/>
        <w:ind w:left="40"/>
        <w:rPr>
          <w:sz w:val="21"/>
          <w:szCs w:val="21"/>
        </w:rPr>
      </w:pPr>
      <w:r>
        <w:rPr>
          <w:spacing w:val="-3"/>
          <w:sz w:val="21"/>
          <w:szCs w:val="21"/>
        </w:rPr>
        <w:t>块行情走势，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2023  </w:t>
      </w:r>
      <w:r>
        <w:rPr>
          <w:spacing w:val="-3"/>
          <w:sz w:val="21"/>
          <w:szCs w:val="21"/>
        </w:rPr>
        <w:t>年上半年，</w:t>
      </w:r>
      <w:r>
        <w:rPr>
          <w:spacing w:val="-15"/>
          <w:sz w:val="21"/>
          <w:szCs w:val="21"/>
        </w:rPr>
        <w:t xml:space="preserve"> </w:t>
      </w:r>
      <w:r>
        <w:rPr>
          <w:spacing w:val="-3"/>
          <w:sz w:val="21"/>
          <w:szCs w:val="21"/>
        </w:rPr>
        <w:t>建筑装饰（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SW</w:t>
      </w:r>
      <w:r>
        <w:rPr>
          <w:spacing w:val="-3"/>
          <w:sz w:val="21"/>
          <w:szCs w:val="21"/>
        </w:rPr>
        <w:t>）指数受益中国特色估值体系建设、</w:t>
      </w:r>
    </w:p>
    <w:p>
      <w:pPr>
        <w:pStyle w:val="BodyText"/>
        <w:spacing w:before="29" w:line="213" w:lineRule="auto"/>
        <w:ind w:left="40"/>
        <w:rPr>
          <w:sz w:val="21"/>
          <w:szCs w:val="21"/>
        </w:rPr>
      </w:pPr>
      <w:r>
        <w:rPr>
          <w:spacing w:val="-2"/>
          <w:sz w:val="21"/>
          <w:szCs w:val="21"/>
        </w:rPr>
        <w:t>一带一路等概念升温，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spacing w:val="36"/>
          <w:sz w:val="21"/>
          <w:szCs w:val="21"/>
        </w:rPr>
        <w:t xml:space="preserve"> </w:t>
      </w:r>
      <w:r>
        <w:rPr>
          <w:spacing w:val="-2"/>
          <w:sz w:val="21"/>
          <w:szCs w:val="21"/>
        </w:rPr>
        <w:t>月</w:t>
      </w:r>
      <w:r>
        <w:rPr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8  </w:t>
      </w:r>
      <w:r>
        <w:rPr>
          <w:spacing w:val="-2"/>
          <w:sz w:val="21"/>
          <w:szCs w:val="21"/>
        </w:rPr>
        <w:t>日取得最高绝对收益</w:t>
      </w:r>
      <w:r>
        <w:rPr>
          <w:spacing w:val="-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26.2%</w:t>
      </w:r>
      <w:r>
        <w:rPr>
          <w:rFonts w:ascii="Times New Roman" w:eastAsia="Times New Roman" w:hAnsi="Times New Roman" w:cs="Times New Roman"/>
          <w:spacing w:val="-31"/>
          <w:sz w:val="21"/>
          <w:szCs w:val="21"/>
        </w:rPr>
        <w:t xml:space="preserve"> </w:t>
      </w:r>
      <w:r>
        <w:rPr>
          <w:spacing w:val="-3"/>
          <w:sz w:val="21"/>
          <w:szCs w:val="21"/>
        </w:rPr>
        <w:t>，并于同日取得相对沪深</w:t>
      </w:r>
    </w:p>
    <w:p>
      <w:pPr>
        <w:pStyle w:val="BodyText"/>
        <w:spacing w:before="31" w:line="213" w:lineRule="auto"/>
        <w:ind w:left="37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>300</w:t>
      </w:r>
      <w:r>
        <w:rPr>
          <w:spacing w:val="-4"/>
          <w:sz w:val="21"/>
          <w:szCs w:val="21"/>
        </w:rPr>
        <w:t>、万得全</w:t>
      </w:r>
      <w:r>
        <w:rPr>
          <w:spacing w:val="-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spacing w:val="21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最高收益</w:t>
      </w:r>
      <w:r>
        <w:rPr>
          <w:spacing w:val="-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>21.3%</w:t>
      </w:r>
      <w:r>
        <w:rPr>
          <w:rFonts w:ascii="Times New Roman" w:eastAsia="Times New Roman" w:hAnsi="Times New Roman" w:cs="Times New Roman"/>
          <w:spacing w:val="-30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>20.8%</w:t>
      </w:r>
      <w:r>
        <w:rPr>
          <w:spacing w:val="-5"/>
          <w:sz w:val="21"/>
          <w:szCs w:val="21"/>
        </w:rPr>
        <w:t>；下半年，</w:t>
      </w:r>
      <w:r>
        <w:rPr>
          <w:spacing w:val="-5"/>
          <w:sz w:val="21"/>
          <w:szCs w:val="21"/>
        </w:rPr>
        <w:t xml:space="preserve"> </w:t>
      </w:r>
      <w:r>
        <w:rPr>
          <w:spacing w:val="-5"/>
          <w:sz w:val="21"/>
          <w:szCs w:val="21"/>
        </w:rPr>
        <w:t>受累于基建下行、地产磨底等因</w:t>
      </w:r>
    </w:p>
    <w:p>
      <w:pPr>
        <w:pStyle w:val="BodyText"/>
        <w:spacing w:before="29" w:line="213" w:lineRule="auto"/>
        <w:ind w:left="43"/>
        <w:rPr>
          <w:sz w:val="21"/>
          <w:szCs w:val="21"/>
        </w:rPr>
      </w:pPr>
      <w:r>
        <w:rPr>
          <w:spacing w:val="-5"/>
          <w:sz w:val="21"/>
          <w:szCs w:val="21"/>
        </w:rPr>
        <w:t>素，</w:t>
      </w:r>
      <w:r>
        <w:rPr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>12</w:t>
      </w:r>
      <w:r>
        <w:rPr>
          <w:rFonts w:ascii="Times New Roman" w:eastAsia="Times New Roman" w:hAnsi="Times New Roman" w:cs="Times New Roman"/>
          <w:spacing w:val="18"/>
          <w:w w:val="101"/>
          <w:sz w:val="21"/>
          <w:szCs w:val="21"/>
        </w:rPr>
        <w:t xml:space="preserve"> </w:t>
      </w:r>
      <w:r>
        <w:rPr>
          <w:spacing w:val="-5"/>
          <w:sz w:val="21"/>
          <w:szCs w:val="21"/>
        </w:rPr>
        <w:t>月</w:t>
      </w:r>
      <w:r>
        <w:rPr>
          <w:spacing w:val="-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26  </w:t>
      </w:r>
      <w:r>
        <w:rPr>
          <w:spacing w:val="-5"/>
          <w:sz w:val="21"/>
          <w:szCs w:val="21"/>
        </w:rPr>
        <w:t>日录得最低绝对收益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>-8.5%</w:t>
      </w:r>
      <w:r>
        <w:rPr>
          <w:spacing w:val="-5"/>
          <w:sz w:val="21"/>
          <w:szCs w:val="21"/>
        </w:rPr>
        <w:t>；全年呈现前涨、后跌</w:t>
      </w:r>
      <w:r>
        <w:rPr>
          <w:spacing w:val="-6"/>
          <w:sz w:val="21"/>
          <w:szCs w:val="21"/>
        </w:rPr>
        <w:t>的倒“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>V</w:t>
      </w:r>
      <w:r>
        <w:rPr>
          <w:spacing w:val="-6"/>
          <w:sz w:val="21"/>
          <w:szCs w:val="21"/>
        </w:rPr>
        <w:t>”型。</w:t>
      </w:r>
    </w:p>
    <w:p>
      <w:pPr>
        <w:pStyle w:val="BodyText"/>
        <w:spacing w:before="272" w:line="213" w:lineRule="auto"/>
        <w:ind w:left="62"/>
        <w:rPr>
          <w:sz w:val="21"/>
          <w:szCs w:val="21"/>
        </w:rPr>
      </w:pPr>
      <w:r>
        <w:rPr>
          <w:spacing w:val="-4"/>
          <w:sz w:val="21"/>
          <w:szCs w:val="2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图</w:t>
      </w:r>
      <w:r>
        <w:rPr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</w:rPr>
        <w:t>1</w:t>
      </w:r>
      <w:r>
        <w:rPr>
          <w:spacing w:val="-4"/>
          <w:sz w:val="21"/>
          <w:szCs w:val="2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：</w:t>
      </w:r>
      <w:r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</w:rPr>
        <w:t xml:space="preserve">2023 </w:t>
      </w:r>
      <w:r>
        <w:rPr>
          <w:spacing w:val="-4"/>
          <w:sz w:val="21"/>
          <w:szCs w:val="2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年建筑装饰（</w:t>
      </w:r>
      <w:r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</w:rPr>
        <w:t>SW</w:t>
      </w:r>
      <w:r>
        <w:rPr>
          <w:spacing w:val="-4"/>
          <w:sz w:val="21"/>
          <w:szCs w:val="2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）、沪深</w:t>
      </w:r>
      <w:r>
        <w:rPr>
          <w:spacing w:val="-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</w:rPr>
        <w:t xml:space="preserve">300 </w:t>
      </w:r>
      <w:r>
        <w:rPr>
          <w:spacing w:val="-4"/>
          <w:sz w:val="21"/>
          <w:szCs w:val="2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及万得全</w:t>
      </w:r>
      <w:r>
        <w:rPr>
          <w:spacing w:val="-5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1"/>
          <w:szCs w:val="21"/>
        </w:rPr>
        <w:t xml:space="preserve">A </w:t>
      </w:r>
      <w:r>
        <w:rPr>
          <w:spacing w:val="-4"/>
          <w:sz w:val="21"/>
          <w:szCs w:val="2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指数收益</w:t>
      </w:r>
    </w:p>
    <w:p>
      <w:pPr>
        <w:spacing w:before="1" w:line="6260" w:lineRule="exact"/>
        <w:ind w:firstLine="28"/>
      </w:pPr>
      <w:r>
        <w:rPr>
          <w:position w:val="-125"/>
        </w:rPr>
        <w:pict>
          <v:group id="_x0000_i1030" style="width:493.3pt;height:313.05pt;mso-position-horizontal-relative:char;mso-position-vertical-relative:line" coordorigin="0,0" coordsize="9865,6260" filled="f" stroked="f">
            <v:rect id="_x0000_s1031" style="width:9865;height:10;position:absolute" filled="t" fillcolor="black" stroked="f"/>
            <v:rect id="_x0000_s1032" style="width:9865;height:10;position:absolute;top:6250" filled="t" fillcolor="black" stroked="f"/>
            <w10:wrap type="none"/>
          </v:group>
        </w:pict>
      </w:r>
    </w:p>
    <w:p>
      <w:pPr>
        <w:pStyle w:val="BodyText"/>
        <w:spacing w:before="30" w:line="213" w:lineRule="auto"/>
        <w:ind w:left="34"/>
        <w:rPr>
          <w:rFonts w:ascii="Times New Roman" w:eastAsia="Times New Roman" w:hAnsi="Times New Roman" w:cs="Times New Roman"/>
          <w:sz w:val="21"/>
          <w:szCs w:val="21"/>
        </w:rPr>
      </w:pPr>
      <w:r>
        <w:rPr>
          <w:spacing w:val="-8"/>
          <w:sz w:val="21"/>
          <w:szCs w:val="21"/>
        </w:rPr>
        <w:t>数据来源：</w:t>
      </w:r>
      <w:r>
        <w:rPr>
          <w:spacing w:val="-8"/>
          <w:sz w:val="21"/>
          <w:szCs w:val="21"/>
        </w:rPr>
        <w:t xml:space="preserve"> </w:t>
      </w:r>
      <w:r>
        <w:rPr>
          <w:spacing w:val="-8"/>
          <w:sz w:val="21"/>
          <w:szCs w:val="21"/>
        </w:rPr>
        <w:t>东北证券，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>Wind</w:t>
      </w:r>
    </w:p>
    <w:p>
      <w:pPr>
        <w:pStyle w:val="BodyText"/>
        <w:spacing w:before="271" w:line="238" w:lineRule="auto"/>
        <w:ind w:left="35"/>
        <w:rPr>
          <w:sz w:val="21"/>
          <w:szCs w:val="21"/>
        </w:rPr>
      </w:pPr>
      <w:r>
        <w:rPr>
          <w:spacing w:val="-6"/>
          <w:sz w:val="21"/>
          <w:szCs w:val="2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从收益结构看，</w:t>
      </w:r>
      <w:r>
        <w:rPr>
          <w:spacing w:val="5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1"/>
          <w:szCs w:val="21"/>
        </w:rPr>
        <w:t>2023</w:t>
      </w:r>
      <w:r>
        <w:rPr>
          <w:rFonts w:ascii="Times New Roman" w:eastAsia="Times New Roman" w:hAnsi="Times New Roman" w:cs="Times New Roman"/>
          <w:b/>
          <w:bCs/>
          <w:spacing w:val="11"/>
          <w:sz w:val="21"/>
          <w:szCs w:val="21"/>
        </w:rPr>
        <w:t xml:space="preserve"> </w:t>
      </w:r>
      <w:r>
        <w:rPr>
          <w:spacing w:val="-6"/>
          <w:sz w:val="21"/>
          <w:szCs w:val="2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年建筑行情主要由估值端撬动。</w:t>
      </w:r>
      <w:r>
        <w:rPr>
          <w:spacing w:val="-6"/>
          <w:sz w:val="21"/>
          <w:szCs w:val="21"/>
        </w:rPr>
        <w:t>截止至</w:t>
      </w:r>
      <w:r>
        <w:rPr>
          <w:spacing w:val="-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>2023</w:t>
      </w:r>
      <w:r>
        <w:rPr>
          <w:rFonts w:ascii="Times New Roman" w:eastAsia="Times New Roman" w:hAnsi="Times New Roman" w:cs="Times New Roman"/>
          <w:spacing w:val="11"/>
          <w:sz w:val="21"/>
          <w:szCs w:val="21"/>
        </w:rPr>
        <w:t xml:space="preserve"> </w:t>
      </w:r>
      <w:r>
        <w:rPr>
          <w:spacing w:val="-6"/>
          <w:sz w:val="21"/>
          <w:szCs w:val="21"/>
        </w:rPr>
        <w:t>年</w:t>
      </w:r>
      <w:r>
        <w:rPr>
          <w:spacing w:val="-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>12</w:t>
      </w:r>
      <w:r>
        <w:rPr>
          <w:rFonts w:ascii="Times New Roman" w:eastAsia="Times New Roman" w:hAnsi="Times New Roman" w:cs="Times New Roman"/>
          <w:spacing w:val="21"/>
          <w:w w:val="101"/>
          <w:sz w:val="21"/>
          <w:szCs w:val="21"/>
        </w:rPr>
        <w:t xml:space="preserve"> </w:t>
      </w:r>
      <w:r>
        <w:rPr>
          <w:spacing w:val="-6"/>
          <w:sz w:val="21"/>
          <w:szCs w:val="21"/>
        </w:rPr>
        <w:t>月</w:t>
      </w:r>
      <w:r>
        <w:rPr>
          <w:spacing w:val="-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 xml:space="preserve">9  </w:t>
      </w:r>
      <w:r>
        <w:rPr>
          <w:spacing w:val="-7"/>
          <w:sz w:val="21"/>
          <w:szCs w:val="21"/>
        </w:rPr>
        <w:t>日，</w:t>
      </w:r>
    </w:p>
    <w:p>
      <w:pPr>
        <w:pStyle w:val="BodyText"/>
        <w:spacing w:before="1" w:line="213" w:lineRule="auto"/>
        <w:ind w:left="38"/>
        <w:rPr>
          <w:sz w:val="21"/>
          <w:szCs w:val="21"/>
        </w:rPr>
      </w:pPr>
      <w:r>
        <w:rPr>
          <w:spacing w:val="-3"/>
          <w:sz w:val="21"/>
          <w:szCs w:val="21"/>
        </w:rPr>
        <w:t>建筑装饰（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SW</w:t>
      </w:r>
      <w:r>
        <w:rPr>
          <w:spacing w:val="-3"/>
          <w:sz w:val="21"/>
          <w:szCs w:val="21"/>
        </w:rPr>
        <w:t>）指数较年初取得绝对收益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-5.4%</w:t>
      </w:r>
      <w:r>
        <w:rPr>
          <w:spacing w:val="-3"/>
          <w:sz w:val="21"/>
          <w:szCs w:val="21"/>
        </w:rPr>
        <w:t>，其中板块</w:t>
      </w:r>
      <w:r>
        <w:rPr>
          <w:spacing w:val="-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 xml:space="preserve">EPS </w:t>
      </w:r>
      <w:r>
        <w:rPr>
          <w:spacing w:val="-3"/>
          <w:sz w:val="21"/>
          <w:szCs w:val="21"/>
        </w:rPr>
        <w:t>报收</w:t>
      </w:r>
      <w:r>
        <w:rPr>
          <w:spacing w:val="-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1"/>
          <w:szCs w:val="21"/>
        </w:rPr>
        <w:t>224.58</w:t>
      </w:r>
      <w:r>
        <w:rPr>
          <w:rFonts w:ascii="Times New Roman" w:eastAsia="Times New Roman" w:hAnsi="Times New Roman" w:cs="Times New Roman"/>
          <w:spacing w:val="19"/>
          <w:w w:val="101"/>
          <w:sz w:val="21"/>
          <w:szCs w:val="21"/>
        </w:rPr>
        <w:t xml:space="preserve"> </w:t>
      </w:r>
      <w:r>
        <w:rPr>
          <w:spacing w:val="-3"/>
          <w:sz w:val="21"/>
          <w:szCs w:val="21"/>
        </w:rPr>
        <w:t>元，较</w:t>
      </w:r>
    </w:p>
    <w:p>
      <w:pPr>
        <w:pStyle w:val="BodyText"/>
        <w:spacing w:before="31" w:line="227" w:lineRule="auto"/>
        <w:ind w:left="37"/>
        <w:rPr>
          <w:sz w:val="21"/>
          <w:szCs w:val="21"/>
        </w:rPr>
      </w:pPr>
      <w:r>
        <w:rPr>
          <w:spacing w:val="-4"/>
          <w:sz w:val="21"/>
          <w:szCs w:val="21"/>
        </w:rPr>
        <w:t>年初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>+1.4%</w:t>
      </w:r>
      <w:r>
        <w:rPr>
          <w:spacing w:val="-4"/>
          <w:sz w:val="21"/>
          <w:szCs w:val="21"/>
        </w:rPr>
        <w:t>，业绩端略有增长；</w:t>
      </w:r>
      <w:r>
        <w:rPr>
          <w:spacing w:val="-41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板块</w:t>
      </w:r>
      <w:r>
        <w:rPr>
          <w:spacing w:val="-5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>PE</w:t>
      </w:r>
      <w:r>
        <w:rPr>
          <w:spacing w:val="-4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>TTM</w:t>
      </w:r>
      <w:r>
        <w:rPr>
          <w:spacing w:val="-4"/>
          <w:sz w:val="21"/>
          <w:szCs w:val="21"/>
        </w:rPr>
        <w:t>）约</w:t>
      </w:r>
      <w:r>
        <w:rPr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8.4 </w:t>
      </w:r>
      <w:r>
        <w:rPr>
          <w:spacing w:val="-4"/>
          <w:sz w:val="21"/>
          <w:szCs w:val="21"/>
        </w:rPr>
        <w:t>倍</w:t>
      </w:r>
      <w:r>
        <w:rPr>
          <w:spacing w:val="-5"/>
          <w:sz w:val="21"/>
          <w:szCs w:val="21"/>
        </w:rPr>
        <w:t>，较年初下降</w:t>
      </w:r>
      <w:r>
        <w:rPr>
          <w:spacing w:val="-4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>6.7%</w:t>
      </w:r>
      <w:r>
        <w:rPr>
          <w:spacing w:val="-5"/>
          <w:sz w:val="21"/>
          <w:szCs w:val="21"/>
        </w:rPr>
        <w:t>，估值</w:t>
      </w:r>
    </w:p>
    <w:p>
      <w:pPr>
        <w:pStyle w:val="BodyText"/>
        <w:spacing w:before="13" w:line="222" w:lineRule="auto"/>
        <w:ind w:left="38"/>
        <w:rPr>
          <w:sz w:val="21"/>
          <w:szCs w:val="21"/>
        </w:rPr>
      </w:pPr>
      <w:r>
        <w:rPr>
          <w:spacing w:val="-2"/>
          <w:sz w:val="21"/>
          <w:szCs w:val="21"/>
        </w:rPr>
        <w:t>端承压明显。</w:t>
      </w:r>
    </w:p>
    <w:p>
      <w:pPr>
        <w:pStyle w:val="BodyText"/>
        <w:spacing w:before="264" w:line="238" w:lineRule="auto"/>
        <w:ind w:left="464"/>
        <w:rPr>
          <w:sz w:val="21"/>
          <w:szCs w:val="21"/>
        </w:rPr>
        <w:sectPr>
          <w:headerReference w:type="default" r:id="rId26"/>
          <w:footerReference w:type="default" r:id="rId27"/>
          <w:pgSz w:w="11907" w:h="16839"/>
          <w:pgMar w:top="1195" w:right="919" w:bottom="1082" w:left="991" w:header="566" w:footer="810" w:gutter="0"/>
          <w:pgNumType w:start="7"/>
          <w:cols w:space="708"/>
        </w:sectPr>
      </w:pPr>
      <w:r>
        <w:rPr>
          <w:spacing w:val="-3"/>
          <w:sz w:val="21"/>
          <w:szCs w:val="2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纵向梳理板块行情走势，</w:t>
      </w:r>
      <w:r>
        <w:rPr>
          <w:spacing w:val="-23"/>
          <w:sz w:val="21"/>
          <w:szCs w:val="21"/>
        </w:rPr>
        <w:t xml:space="preserve"> </w:t>
      </w:r>
      <w:r>
        <w:rPr>
          <w:spacing w:val="-3"/>
          <w:sz w:val="21"/>
          <w:szCs w:val="21"/>
        </w:rPr>
        <w:t>二季度建筑行业迎来主升浪，</w:t>
      </w:r>
      <w:r>
        <w:rPr>
          <w:spacing w:val="-4"/>
          <w:sz w:val="21"/>
          <w:szCs w:val="21"/>
        </w:rPr>
        <w:t>并于</w:t>
      </w:r>
      <w:r>
        <w:rPr>
          <w:spacing w:val="-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>2023</w:t>
      </w:r>
      <w:r>
        <w:rPr>
          <w:rFonts w:ascii="Times New Roman" w:eastAsia="Times New Roman" w:hAnsi="Times New Roman" w:cs="Times New Roman"/>
          <w:spacing w:val="24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年</w:t>
      </w:r>
      <w:r>
        <w:rPr>
          <w:spacing w:val="-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spacing w:val="30"/>
          <w:w w:val="101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月</w:t>
      </w:r>
      <w:r>
        <w:rPr>
          <w:spacing w:val="-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 xml:space="preserve">8  </w:t>
      </w:r>
      <w:r>
        <w:rPr>
          <w:spacing w:val="-4"/>
          <w:sz w:val="21"/>
          <w:szCs w:val="21"/>
        </w:rPr>
        <w:t>日</w:t>
      </w:r>
    </w:p>
    <w:p>
      <w:pPr>
        <w:pStyle w:val="BodyText"/>
        <w:spacing w:before="1" w:line="213" w:lineRule="auto"/>
        <w:ind w:left="458"/>
        <w:rPr>
          <w:sz w:val="21"/>
          <w:szCs w:val="21"/>
        </w:rPr>
      </w:pPr>
      <w:r>
        <w:rPr>
          <w:spacing w:val="-1"/>
          <w:sz w:val="21"/>
          <w:szCs w:val="21"/>
        </w:rPr>
        <w:t>取得最高收益</w:t>
      </w:r>
      <w:r>
        <w:rPr>
          <w:spacing w:val="-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26.2%</w:t>
      </w:r>
      <w:r>
        <w:rPr>
          <w:spacing w:val="-1"/>
          <w:sz w:val="21"/>
          <w:szCs w:val="21"/>
        </w:rPr>
        <w:t>，彼时板块</w:t>
      </w:r>
      <w:r>
        <w:rPr>
          <w:spacing w:val="-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EPS</w:t>
      </w:r>
      <w:r>
        <w:rPr>
          <w:rFonts w:ascii="Times New Roman" w:eastAsia="Times New Roman" w:hAnsi="Times New Roman" w:cs="Times New Roman"/>
          <w:spacing w:val="15"/>
          <w:w w:val="101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报收</w:t>
      </w:r>
      <w:r>
        <w:rPr>
          <w:spacing w:val="-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226.44</w:t>
      </w:r>
      <w:r>
        <w:rPr>
          <w:rFonts w:ascii="Times New Roman" w:eastAsia="Times New Roman" w:hAnsi="Times New Roman" w:cs="Times New Roman"/>
          <w:spacing w:val="29"/>
          <w:sz w:val="21"/>
          <w:szCs w:val="21"/>
        </w:rPr>
        <w:t xml:space="preserve"> </w:t>
      </w:r>
      <w:r>
        <w:rPr>
          <w:spacing w:val="-1"/>
          <w:sz w:val="21"/>
          <w:szCs w:val="21"/>
        </w:rPr>
        <w:t>元，较年初增</w:t>
      </w:r>
      <w:r>
        <w:rPr>
          <w:spacing w:val="-2"/>
          <w:sz w:val="21"/>
          <w:szCs w:val="21"/>
        </w:rPr>
        <w:t>长</w:t>
      </w:r>
      <w:r>
        <w:rPr>
          <w:spacing w:val="-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2.2%</w:t>
      </w:r>
      <w:r>
        <w:rPr>
          <w:spacing w:val="-2"/>
          <w:sz w:val="21"/>
          <w:szCs w:val="21"/>
        </w:rPr>
        <w:t>；板块</w:t>
      </w:r>
    </w:p>
    <w:p>
      <w:pPr>
        <w:pStyle w:val="BodyText"/>
        <w:spacing w:before="29" w:line="213" w:lineRule="auto"/>
        <w:ind w:left="452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PE</w:t>
      </w:r>
      <w:r>
        <w:rPr>
          <w:spacing w:val="-1"/>
          <w:sz w:val="21"/>
          <w:szCs w:val="21"/>
        </w:rPr>
        <w:t>（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TTM</w:t>
      </w:r>
      <w:r>
        <w:rPr>
          <w:spacing w:val="-1"/>
          <w:sz w:val="21"/>
          <w:szCs w:val="21"/>
        </w:rPr>
        <w:t>）达</w:t>
      </w:r>
      <w:r>
        <w:rPr>
          <w:spacing w:val="-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 xml:space="preserve">11.1 </w:t>
      </w:r>
      <w:r>
        <w:rPr>
          <w:spacing w:val="-1"/>
          <w:sz w:val="21"/>
          <w:szCs w:val="21"/>
        </w:rPr>
        <w:t>倍，较年初增长</w:t>
      </w:r>
      <w:r>
        <w:rPr>
          <w:spacing w:val="-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23.4%</w:t>
      </w:r>
      <w:r>
        <w:rPr>
          <w:spacing w:val="-2"/>
          <w:sz w:val="21"/>
          <w:szCs w:val="21"/>
        </w:rPr>
        <w:t>，估值端撬动效应显著。</w:t>
      </w:r>
    </w:p>
    <w:p>
      <w:pPr>
        <w:pStyle w:val="BodyText"/>
        <w:spacing w:before="273" w:line="238" w:lineRule="auto"/>
        <w:ind w:left="450"/>
        <w:rPr>
          <w:sz w:val="21"/>
          <w:szCs w:val="21"/>
        </w:rPr>
      </w:pPr>
      <w:r>
        <w:rPr>
          <w:sz w:val="21"/>
          <w:szCs w:val="2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横向对比大盘收益结构，</w:t>
      </w:r>
      <w:r>
        <w:rPr>
          <w:sz w:val="21"/>
          <w:szCs w:val="21"/>
        </w:rPr>
        <w:t>业绩端，建筑板块</w:t>
      </w:r>
      <w:r>
        <w:rPr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</w:rPr>
        <w:t xml:space="preserve">2022  </w:t>
      </w:r>
      <w:r>
        <w:rPr>
          <w:sz w:val="21"/>
          <w:szCs w:val="21"/>
        </w:rPr>
        <w:t>年报及一季报表</w:t>
      </w:r>
      <w:r>
        <w:rPr>
          <w:spacing w:val="-1"/>
          <w:sz w:val="21"/>
          <w:szCs w:val="21"/>
        </w:rPr>
        <w:t>现显著优于</w:t>
      </w:r>
    </w:p>
    <w:p>
      <w:pPr>
        <w:pStyle w:val="BodyText"/>
        <w:spacing w:before="1" w:line="213" w:lineRule="auto"/>
        <w:ind w:left="473"/>
        <w:rPr>
          <w:sz w:val="21"/>
          <w:szCs w:val="21"/>
        </w:rPr>
      </w:pPr>
      <w:r>
        <w:rPr>
          <w:spacing w:val="-4"/>
          <w:sz w:val="21"/>
          <w:szCs w:val="21"/>
        </w:rPr>
        <w:t>沪深</w:t>
      </w:r>
      <w:r>
        <w:rPr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>300</w:t>
      </w:r>
      <w:r>
        <w:rPr>
          <w:spacing w:val="-4"/>
          <w:sz w:val="21"/>
          <w:szCs w:val="21"/>
        </w:rPr>
        <w:t>、万得全</w:t>
      </w:r>
      <w:r>
        <w:rPr>
          <w:spacing w:val="-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>A</w:t>
      </w:r>
      <w:r>
        <w:rPr>
          <w:spacing w:val="-4"/>
          <w:sz w:val="21"/>
          <w:szCs w:val="21"/>
        </w:rPr>
        <w:t>，半年报及后续表现较弱；估值端，</w:t>
      </w:r>
      <w:r>
        <w:rPr>
          <w:spacing w:val="-4"/>
          <w:sz w:val="21"/>
          <w:szCs w:val="21"/>
        </w:rPr>
        <w:t xml:space="preserve"> </w:t>
      </w:r>
      <w:r>
        <w:rPr>
          <w:spacing w:val="-4"/>
          <w:sz w:val="21"/>
          <w:szCs w:val="21"/>
        </w:rPr>
        <w:t>建筑板块于二</w:t>
      </w:r>
      <w:r>
        <w:rPr>
          <w:spacing w:val="-5"/>
          <w:sz w:val="21"/>
          <w:szCs w:val="21"/>
        </w:rPr>
        <w:t>季度冲</w:t>
      </w:r>
    </w:p>
    <w:p>
      <w:pPr>
        <w:pStyle w:val="BodyText"/>
        <w:spacing w:before="31" w:line="213" w:lineRule="auto"/>
        <w:ind w:left="476"/>
        <w:rPr>
          <w:sz w:val="21"/>
          <w:szCs w:val="21"/>
        </w:rPr>
      </w:pPr>
      <w:r>
        <w:rPr>
          <w:spacing w:val="-9"/>
          <w:sz w:val="21"/>
          <w:szCs w:val="21"/>
        </w:rPr>
        <w:t>高后逐步回落，</w:t>
      </w:r>
      <w:r>
        <w:rPr>
          <w:spacing w:val="-9"/>
          <w:sz w:val="21"/>
          <w:szCs w:val="21"/>
        </w:rPr>
        <w:t xml:space="preserve"> </w:t>
      </w:r>
      <w:r>
        <w:rPr>
          <w:spacing w:val="-9"/>
          <w:sz w:val="21"/>
          <w:szCs w:val="21"/>
        </w:rPr>
        <w:t>至年末已回调充分。</w:t>
      </w:r>
    </w:p>
    <w:p>
      <w:pPr>
        <w:spacing w:line="213" w:lineRule="auto"/>
        <w:rPr>
          <w:sz w:val="21"/>
          <w:szCs w:val="21"/>
        </w:rPr>
        <w:sectPr>
          <w:headerReference w:type="default" r:id="rId28"/>
          <w:footerReference w:type="default" r:id="rId29"/>
          <w:type w:val="nextPage"/>
          <w:pgSz w:w="11907" w:h="16839"/>
          <w:pgMar w:top="1195" w:right="919" w:bottom="1082" w:left="991" w:header="566" w:footer="810" w:gutter="0"/>
          <w:pgNumType w:start="8"/>
          <w:cols w:space="708"/>
          <w:titlePg w:val="0"/>
        </w:sectPr>
      </w:pPr>
    </w:p>
    <w:p>
      <w:pPr>
        <w:spacing w:line="406" w:lineRule="auto"/>
        <w:rPr>
          <w:rFonts w:ascii="Arial"/>
          <w:sz w:val="21"/>
        </w:rPr>
      </w:pPr>
      <w:r>
        <w:pict>
          <v:rect id="_x0000_s1033" style="width:20.7pt;height:1.5pt;margin-top:363.49pt;margin-left:345.94pt;mso-position-horizontal-relative:page;mso-position-vertical-relative:page;position:absolute;z-index:251672576" o:allowincell="f" filled="t" fillcolor="#005bac" stroked="f"/>
        </w:pict>
      </w:r>
      <w:r>
        <w:pict>
          <v:rect id="_x0000_s1034" style="width:20.75pt;height:1.5pt;margin-top:363.49pt;margin-left:442.84pt;mso-position-horizontal-relative:page;mso-position-vertical-relative:page;position:absolute;z-index:251673600" o:allowincell="f" filled="t" fillcolor="#ccc" stroked="f"/>
        </w:pict>
      </w:r>
      <w:r>
        <w:pict>
          <v:shape id="_x0000_s1035" style="width:493.3pt;height:0.5pt;margin-top:95.66pt;margin-left:51pt;mso-position-horizontal-relative:page;mso-position-vertical-relative:page;position:absolute;z-index:251668480" coordorigin="0,0" coordsize="9865,10" o:allowincell="f" path="m,9l9865,9l9865,l,l,9xe" filled="t" fillcolor="black" stroked="f"/>
        </w:pict>
      </w:r>
      <w:r>
        <w:pict>
          <v:shape id="_x0000_s1036" style="width:493.3pt;height:0.5pt;margin-top:314.69pt;margin-left:51pt;mso-position-horizontal-relative:page;mso-position-vertical-relative:page;position:absolute;z-index:251669504" coordorigin="0,0" coordsize="9865,10" o:allowincell="f" path="m,9l9865,9l9865,l,l,9xe" filled="t" fillcolor="black" stroked="f"/>
        </w:pict>
      </w:r>
      <w:r>
        <w:pict>
          <v:shape id="_x0000_s1037" style="width:236.85pt;height:0.5pt;margin-top:542.11pt;margin-left:51pt;mso-position-horizontal-relative:page;mso-position-vertical-relative:page;position:absolute;z-index:251670528" coordorigin="0,0" coordsize="4737,10" o:allowincell="f" path="m,9l4736,9l4736,l,l,9xe" filled="t" fillcolor="black" stroked="f"/>
        </w:pict>
      </w:r>
      <w:r>
        <w:pict>
          <v:shape id="_x0000_s1038" style="width:236.7pt;height:0.5pt;margin-top:542.11pt;margin-left:307.61pt;mso-position-horizontal-relative:page;mso-position-vertical-relative:page;position:absolute;z-index:251671552" coordorigin="0,0" coordsize="4733,10" o:allowincell="f" path="m,9l4733,9l4733,l,l,9xe" filled="t" fillcolor="black" stroked="f"/>
        </w:pict>
      </w:r>
    </w:p>
    <w:p>
      <w:pPr>
        <w:pStyle w:val="BodyText"/>
        <w:spacing w:before="68" w:line="213" w:lineRule="auto"/>
        <w:ind w:left="324"/>
        <w:rPr>
          <w:rFonts w:ascii="Times New Roman" w:eastAsia="Times New Roman" w:hAnsi="Times New Roman" w:cs="Times New Roman"/>
          <w:sz w:val="21"/>
          <w:szCs w:val="21"/>
        </w:rPr>
      </w:pPr>
      <w:r>
        <w:rPr>
          <w:spacing w:val="-1"/>
          <w:sz w:val="21"/>
          <w:szCs w:val="2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图</w:t>
      </w:r>
      <w:r>
        <w:rPr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>2</w:t>
      </w:r>
      <w:r>
        <w:rPr>
          <w:spacing w:val="-1"/>
          <w:sz w:val="21"/>
          <w:szCs w:val="2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：</w:t>
      </w: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 xml:space="preserve">2023 </w:t>
      </w:r>
      <w:r>
        <w:rPr>
          <w:spacing w:val="-1"/>
          <w:sz w:val="21"/>
          <w:szCs w:val="2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年建筑装饰（</w:t>
      </w: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>SW</w:t>
      </w:r>
      <w:r>
        <w:rPr>
          <w:spacing w:val="-1"/>
          <w:sz w:val="21"/>
          <w:szCs w:val="2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）指数</w:t>
      </w:r>
      <w:r>
        <w:rPr>
          <w:spacing w:val="-4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>PE</w:t>
      </w:r>
      <w:r>
        <w:rPr>
          <w:spacing w:val="-1"/>
          <w:sz w:val="21"/>
          <w:szCs w:val="2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（</w:t>
      </w: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</w:rPr>
        <w:t>TM</w:t>
      </w:r>
      <w:r>
        <w:rPr>
          <w:spacing w:val="-2"/>
          <w:sz w:val="21"/>
          <w:szCs w:val="2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）及</w:t>
      </w:r>
      <w:r>
        <w:rPr>
          <w:spacing w:val="-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</w:rPr>
        <w:t>EPS</w:t>
      </w:r>
    </w:p>
    <w:p>
      <w:pPr>
        <w:spacing w:line="183" w:lineRule="exact"/>
      </w:pPr>
    </w:p>
    <w:p>
      <w:pPr>
        <w:spacing w:line="183" w:lineRule="exact"/>
        <w:sectPr>
          <w:headerReference w:type="default" r:id="rId30"/>
          <w:footerReference w:type="default" r:id="rId31"/>
          <w:pgSz w:w="11907" w:h="16839"/>
          <w:pgMar w:top="1195" w:right="792" w:bottom="1082" w:left="729" w:header="566" w:footer="810" w:gutter="0"/>
          <w:pgNumType w:start="9"/>
          <w:cols w:num="1" w:space="708" w:equalWidth="0">
            <w:col w:w="10385" w:space="0"/>
          </w:cols>
        </w:sectPr>
      </w:pPr>
    </w:p>
    <w:p>
      <w:pPr>
        <w:spacing w:before="171" w:line="187" w:lineRule="auto"/>
        <w:ind w:left="45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5"/>
          <w:sz w:val="16"/>
          <w:szCs w:val="16"/>
        </w:rPr>
        <w:t>12.0</w:t>
      </w:r>
    </w:p>
    <w:p>
      <w:pPr>
        <w:spacing w:line="310" w:lineRule="auto"/>
        <w:rPr>
          <w:rFonts w:ascii="Arial"/>
          <w:sz w:val="21"/>
        </w:rPr>
      </w:pPr>
    </w:p>
    <w:p>
      <w:pPr>
        <w:spacing w:before="46" w:line="187" w:lineRule="auto"/>
        <w:ind w:left="45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5"/>
          <w:sz w:val="16"/>
          <w:szCs w:val="16"/>
        </w:rPr>
        <w:t>11.0</w:t>
      </w:r>
    </w:p>
    <w:p>
      <w:pPr>
        <w:spacing w:line="310" w:lineRule="auto"/>
        <w:rPr>
          <w:rFonts w:ascii="Arial"/>
          <w:sz w:val="21"/>
        </w:rPr>
      </w:pPr>
    </w:p>
    <w:p>
      <w:pPr>
        <w:spacing w:before="46" w:line="187" w:lineRule="auto"/>
        <w:ind w:left="45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5"/>
          <w:sz w:val="16"/>
          <w:szCs w:val="16"/>
        </w:rPr>
        <w:t>10.0</w:t>
      </w:r>
    </w:p>
    <w:p>
      <w:pPr>
        <w:spacing w:line="310" w:lineRule="auto"/>
        <w:rPr>
          <w:rFonts w:ascii="Arial"/>
          <w:sz w:val="21"/>
        </w:rPr>
      </w:pPr>
    </w:p>
    <w:p>
      <w:pPr>
        <w:spacing w:before="46" w:line="187" w:lineRule="auto"/>
        <w:ind w:left="52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>9.0</w:t>
      </w:r>
    </w:p>
    <w:p>
      <w:pPr>
        <w:spacing w:line="310" w:lineRule="auto"/>
        <w:rPr>
          <w:rFonts w:ascii="Arial"/>
          <w:sz w:val="21"/>
        </w:rPr>
      </w:pPr>
    </w:p>
    <w:p>
      <w:pPr>
        <w:spacing w:before="47" w:line="187" w:lineRule="auto"/>
        <w:ind w:left="52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4"/>
          <w:sz w:val="16"/>
          <w:szCs w:val="16"/>
        </w:rPr>
        <w:t>8.0</w:t>
      </w:r>
    </w:p>
    <w:p>
      <w:pPr>
        <w:spacing w:line="310" w:lineRule="auto"/>
        <w:rPr>
          <w:rFonts w:ascii="Arial"/>
          <w:sz w:val="21"/>
        </w:rPr>
      </w:pPr>
    </w:p>
    <w:p>
      <w:pPr>
        <w:spacing w:before="46" w:line="187" w:lineRule="auto"/>
        <w:ind w:left="52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7.0</w:t>
      </w:r>
    </w:p>
    <w:p>
      <w:pPr>
        <w:spacing w:line="310" w:lineRule="auto"/>
        <w:rPr>
          <w:rFonts w:ascii="Arial"/>
          <w:sz w:val="21"/>
        </w:rPr>
      </w:pPr>
    </w:p>
    <w:p>
      <w:pPr>
        <w:spacing w:before="47" w:line="187" w:lineRule="auto"/>
        <w:ind w:left="52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3"/>
          <w:sz w:val="16"/>
          <w:szCs w:val="16"/>
        </w:rPr>
        <w:t>6.0</w:t>
      </w:r>
    </w:p>
    <w:p>
      <w:pPr>
        <w:spacing w:line="311" w:lineRule="auto"/>
        <w:rPr>
          <w:rFonts w:ascii="Arial"/>
          <w:sz w:val="21"/>
        </w:rPr>
      </w:pPr>
    </w:p>
    <w:p>
      <w:pPr>
        <w:spacing w:before="46" w:line="111" w:lineRule="exact"/>
        <w:ind w:left="52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3"/>
          <w:position w:val="-2"/>
          <w:sz w:val="16"/>
          <w:szCs w:val="16"/>
        </w:rPr>
        <w:t>5.0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30" w:line="199" w:lineRule="exact"/>
        <w:ind w:left="3044"/>
      </w:pPr>
      <w:r>
        <w:rPr>
          <w:rFonts w:ascii="Microsoft YaHei" w:eastAsia="Microsoft YaHei" w:hAnsi="Microsoft YaHei" w:cs="Microsoft YaHei"/>
          <w:color w:val="005BAC"/>
          <w:spacing w:val="40"/>
          <w:position w:val="1"/>
          <w:sz w:val="32"/>
          <w:szCs w:val="32"/>
        </w:rPr>
        <w:t>─</w:t>
      </w:r>
      <w:r>
        <w:rPr>
          <w:rFonts w:ascii="Microsoft YaHei" w:eastAsia="Microsoft YaHei" w:hAnsi="Microsoft YaHei" w:cs="Microsoft YaHei"/>
          <w:color w:val="005BAC"/>
          <w:spacing w:val="-64"/>
          <w:position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position w:val="-2"/>
        </w:rPr>
        <w:t>PE</w:t>
      </w:r>
      <w:r>
        <w:rPr>
          <w:spacing w:val="40"/>
          <w:position w:val="-2"/>
        </w:rPr>
        <w:t>（</w:t>
      </w:r>
      <w:r>
        <w:rPr>
          <w:rFonts w:ascii="Times New Roman" w:eastAsia="Times New Roman" w:hAnsi="Times New Roman" w:cs="Times New Roman"/>
          <w:position w:val="-2"/>
        </w:rPr>
        <w:t>TTM</w:t>
      </w:r>
      <w:r>
        <w:rPr>
          <w:spacing w:val="40"/>
          <w:position w:val="-2"/>
        </w:rPr>
        <w:t>）</w:t>
      </w:r>
      <w:r>
        <w:rPr>
          <w:spacing w:val="24"/>
          <w:w w:val="101"/>
          <w:position w:val="-2"/>
        </w:rPr>
        <w:t xml:space="preserve">  </w:t>
      </w:r>
      <w:r>
        <w:rPr>
          <w:rFonts w:ascii="Arial" w:eastAsia="Arial" w:hAnsi="Arial" w:cs="Arial"/>
          <w:color w:val="CCCCCC"/>
          <w:spacing w:val="40"/>
          <w:position w:val="1"/>
          <w:sz w:val="32"/>
          <w:szCs w:val="32"/>
        </w:rPr>
        <w:t>—</w:t>
      </w:r>
      <w:r>
        <w:rPr>
          <w:rFonts w:ascii="Arial" w:eastAsia="Arial" w:hAnsi="Arial" w:cs="Arial"/>
          <w:color w:val="CCCCCC"/>
          <w:spacing w:val="-59"/>
          <w:position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position w:val="-2"/>
        </w:rPr>
        <w:t>EPS</w:t>
      </w:r>
      <w:r>
        <w:rPr>
          <w:spacing w:val="40"/>
          <w:position w:val="-2"/>
        </w:rPr>
        <w:t>（右）</w:t>
      </w:r>
    </w:p>
    <w:p>
      <w:pPr>
        <w:spacing w:line="3519" w:lineRule="exact"/>
      </w:pPr>
      <w:r>
        <w:rPr>
          <w:position w:val="-70"/>
        </w:rPr>
        <w:drawing>
          <wp:inline distT="0" distB="0" distL="0" distR="0">
            <wp:extent cx="5571426" cy="223475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71426" cy="223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69" w:line="187" w:lineRule="auto"/>
        <w:ind w:left="13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2"/>
          <w:sz w:val="16"/>
          <w:szCs w:val="16"/>
        </w:rPr>
        <w:t>300</w:t>
      </w:r>
    </w:p>
    <w:p>
      <w:pPr>
        <w:spacing w:before="207" w:line="187" w:lineRule="auto"/>
        <w:ind w:left="13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290</w:t>
      </w:r>
    </w:p>
    <w:p>
      <w:pPr>
        <w:spacing w:before="208" w:line="187" w:lineRule="auto"/>
        <w:ind w:left="13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280</w:t>
      </w:r>
    </w:p>
    <w:p>
      <w:pPr>
        <w:spacing w:before="208" w:line="187" w:lineRule="auto"/>
        <w:ind w:left="13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270</w:t>
      </w:r>
    </w:p>
    <w:p>
      <w:pPr>
        <w:spacing w:before="208" w:line="187" w:lineRule="auto"/>
        <w:ind w:left="13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260</w:t>
      </w:r>
    </w:p>
    <w:p>
      <w:pPr>
        <w:spacing w:before="208" w:line="187" w:lineRule="auto"/>
        <w:ind w:left="13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250</w:t>
      </w:r>
    </w:p>
    <w:p>
      <w:pPr>
        <w:spacing w:before="208" w:line="187" w:lineRule="auto"/>
        <w:ind w:left="13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240</w:t>
      </w:r>
    </w:p>
    <w:p>
      <w:pPr>
        <w:spacing w:before="207" w:line="187" w:lineRule="auto"/>
        <w:ind w:left="13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230</w:t>
      </w:r>
    </w:p>
    <w:p>
      <w:pPr>
        <w:spacing w:before="208" w:line="187" w:lineRule="auto"/>
        <w:ind w:left="13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220</w:t>
      </w:r>
    </w:p>
    <w:p>
      <w:pPr>
        <w:spacing w:before="208" w:line="187" w:lineRule="auto"/>
        <w:ind w:left="13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>210</w:t>
      </w:r>
    </w:p>
    <w:p>
      <w:pPr>
        <w:spacing w:before="209" w:line="110" w:lineRule="exact"/>
        <w:ind w:left="136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-1"/>
          <w:position w:val="-2"/>
          <w:sz w:val="16"/>
          <w:szCs w:val="16"/>
        </w:rPr>
        <w:t>200</w:t>
      </w:r>
    </w:p>
    <w:p>
      <w:pPr>
        <w:spacing w:line="110" w:lineRule="exact"/>
        <w:rPr>
          <w:rFonts w:ascii="Times New Roman" w:eastAsia="Times New Roman" w:hAnsi="Times New Roman" w:cs="Times New Roman"/>
          <w:sz w:val="16"/>
          <w:szCs w:val="16"/>
        </w:rPr>
        <w:sectPr>
          <w:headerReference w:type="default" r:id="rId33"/>
          <w:footerReference w:type="default" r:id="rId34"/>
          <w:type w:val="continuous"/>
          <w:pgSz w:w="11907" w:h="16839"/>
          <w:pgMar w:top="1195" w:right="792" w:bottom="1082" w:left="729" w:header="566" w:footer="810" w:gutter="0"/>
          <w:pgNumType w:start="10"/>
          <w:cols w:num="3" w:space="708" w:equalWidth="0">
            <w:col w:w="791" w:space="100"/>
            <w:col w:w="8774" w:space="0"/>
            <w:col w:w="720" w:space="0"/>
          </w:cols>
        </w:sectPr>
      </w:pPr>
    </w:p>
    <w:p>
      <w:pPr>
        <w:spacing w:before="73" w:line="191" w:lineRule="auto"/>
        <w:ind w:left="64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2023/01     2023/02    2023/03      2023/04     2023/05      2023/06     2023/07      2023/08      2023/09     2023/10 </w:t>
      </w:r>
      <w:r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    2023/11     2023/12</w:t>
      </w:r>
    </w:p>
    <w:p>
      <w:pPr>
        <w:pStyle w:val="BodyText"/>
        <w:spacing w:before="221" w:line="213" w:lineRule="auto"/>
        <w:ind w:left="296"/>
        <w:rPr>
          <w:rFonts w:ascii="Times New Roman" w:eastAsia="Times New Roman" w:hAnsi="Times New Roman" w:cs="Times New Roman"/>
          <w:sz w:val="21"/>
          <w:szCs w:val="21"/>
        </w:rPr>
      </w:pPr>
      <w:r>
        <w:rPr>
          <w:spacing w:val="-8"/>
          <w:sz w:val="21"/>
          <w:szCs w:val="21"/>
        </w:rPr>
        <w:t>数据来源：</w:t>
      </w:r>
      <w:r>
        <w:rPr>
          <w:spacing w:val="-8"/>
          <w:sz w:val="21"/>
          <w:szCs w:val="21"/>
        </w:rPr>
        <w:t xml:space="preserve"> </w:t>
      </w:r>
      <w:r>
        <w:rPr>
          <w:spacing w:val="-8"/>
          <w:sz w:val="21"/>
          <w:szCs w:val="21"/>
        </w:rPr>
        <w:t>东北证券，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>Wind</w:t>
      </w:r>
    </w:p>
    <w:p>
      <w:pPr>
        <w:pStyle w:val="BodyText"/>
        <w:spacing w:before="271" w:line="213" w:lineRule="auto"/>
        <w:ind w:left="324"/>
        <w:rPr>
          <w:sz w:val="21"/>
          <w:szCs w:val="21"/>
        </w:rPr>
      </w:pPr>
      <w:r>
        <w:rPr>
          <w:spacing w:val="-2"/>
          <w:sz w:val="21"/>
          <w:szCs w:val="21"/>
          <w:u w:val="single" w:color="000000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图</w:t>
      </w:r>
      <w:r>
        <w:rPr>
          <w:spacing w:val="-2"/>
          <w:sz w:val="21"/>
          <w:szCs w:val="21"/>
          <w:u w:val="single" w:color="aut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u w:val="single" w:color="auto"/>
        </w:rPr>
        <w:t>3</w:t>
      </w:r>
      <w:r>
        <w:rPr>
          <w:spacing w:val="-2"/>
          <w:sz w:val="21"/>
          <w:szCs w:val="21"/>
          <w:u w:val="single" w:color="000000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：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u w:val="single" w:color="auto"/>
        </w:rPr>
        <w:t xml:space="preserve">2023 </w:t>
      </w:r>
      <w:r>
        <w:rPr>
          <w:spacing w:val="-2"/>
          <w:sz w:val="21"/>
          <w:szCs w:val="21"/>
          <w:u w:val="single" w:color="000000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年建筑装饰（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u w:val="single" w:color="auto"/>
        </w:rPr>
        <w:t>SW</w:t>
      </w:r>
      <w:r>
        <w:rPr>
          <w:spacing w:val="-2"/>
          <w:sz w:val="21"/>
          <w:szCs w:val="21"/>
          <w:u w:val="single" w:color="000000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）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u w:val="single" w:color="auto"/>
        </w:rPr>
        <w:t>PE</w:t>
      </w:r>
      <w:r>
        <w:rPr>
          <w:spacing w:val="-2"/>
          <w:sz w:val="21"/>
          <w:szCs w:val="21"/>
          <w:u w:val="single" w:color="000000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（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u w:val="single" w:color="auto"/>
        </w:rPr>
        <w:t>TTM</w:t>
      </w:r>
      <w:r>
        <w:rPr>
          <w:spacing w:val="-2"/>
          <w:sz w:val="21"/>
          <w:szCs w:val="21"/>
          <w:u w:val="single" w:color="000000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）比较</w:t>
      </w:r>
      <w:r>
        <w:rPr>
          <w:spacing w:val="-2"/>
          <w:sz w:val="21"/>
          <w:szCs w:val="21"/>
          <w:u w:val="single" w:color="auto"/>
        </w:rPr>
        <w:t xml:space="preserve">  </w:t>
      </w:r>
      <w:r>
        <w:rPr>
          <w:spacing w:val="-2"/>
          <w:sz w:val="21"/>
          <w:szCs w:val="21"/>
        </w:rPr>
        <w:t xml:space="preserve">    </w:t>
      </w:r>
      <w:r>
        <w:rPr>
          <w:spacing w:val="-71"/>
          <w:sz w:val="21"/>
          <w:szCs w:val="21"/>
          <w:u w:val="single" w:color="auto"/>
        </w:rPr>
        <w:t xml:space="preserve"> </w:t>
      </w:r>
      <w:r>
        <w:rPr>
          <w:spacing w:val="-2"/>
          <w:sz w:val="21"/>
          <w:szCs w:val="21"/>
          <w:u w:val="single" w:color="000000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图</w:t>
      </w:r>
      <w:r>
        <w:rPr>
          <w:spacing w:val="-2"/>
          <w:sz w:val="21"/>
          <w:szCs w:val="21"/>
          <w:u w:val="single" w:color="aut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u w:val="single" w:color="auto"/>
        </w:rPr>
        <w:t>4</w:t>
      </w:r>
      <w:r>
        <w:rPr>
          <w:spacing w:val="-2"/>
          <w:sz w:val="21"/>
          <w:szCs w:val="21"/>
          <w:u w:val="single" w:color="000000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：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u w:val="single" w:color="auto"/>
        </w:rPr>
        <w:t xml:space="preserve">2023 </w:t>
      </w:r>
      <w:r>
        <w:rPr>
          <w:spacing w:val="-2"/>
          <w:sz w:val="21"/>
          <w:szCs w:val="21"/>
          <w:u w:val="single" w:color="000000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年建筑装</w:t>
      </w:r>
      <w:r>
        <w:rPr>
          <w:spacing w:val="-3"/>
          <w:sz w:val="21"/>
          <w:szCs w:val="21"/>
          <w:u w:val="single" w:color="000000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饰（</w:t>
      </w:r>
      <w:r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u w:val="single" w:color="auto"/>
        </w:rPr>
        <w:t>SW</w:t>
      </w:r>
      <w:r>
        <w:rPr>
          <w:spacing w:val="-3"/>
          <w:sz w:val="21"/>
          <w:szCs w:val="21"/>
          <w:u w:val="single" w:color="000000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）</w:t>
      </w:r>
      <w:r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u w:val="single" w:color="auto"/>
        </w:rPr>
        <w:t>EPS</w:t>
      </w:r>
      <w:r>
        <w:rPr>
          <w:rFonts w:ascii="Times New Roman" w:eastAsia="Times New Roman" w:hAnsi="Times New Roman" w:cs="Times New Roman"/>
          <w:b/>
          <w:bCs/>
          <w:spacing w:val="26"/>
          <w:sz w:val="21"/>
          <w:szCs w:val="21"/>
          <w:u w:val="single" w:color="auto"/>
        </w:rPr>
        <w:t xml:space="preserve"> </w:t>
      </w:r>
      <w:r>
        <w:rPr>
          <w:spacing w:val="-3"/>
          <w:sz w:val="21"/>
          <w:szCs w:val="21"/>
          <w:u w:val="single" w:color="000000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比较</w:t>
      </w:r>
      <w:r>
        <w:rPr>
          <w:spacing w:val="-3"/>
          <w:sz w:val="21"/>
          <w:szCs w:val="21"/>
          <w:u w:val="single" w:color="auto"/>
        </w:rPr>
        <w:t xml:space="preserve">          </w:t>
      </w:r>
    </w:p>
    <w:p>
      <w:pPr>
        <w:spacing w:line="104" w:lineRule="exact"/>
      </w:pPr>
    </w:p>
    <w:p>
      <w:pPr>
        <w:spacing w:line="104" w:lineRule="exact"/>
        <w:sectPr>
          <w:headerReference w:type="default" r:id="rId35"/>
          <w:footerReference w:type="default" r:id="rId36"/>
          <w:type w:val="continuous"/>
          <w:pgSz w:w="11907" w:h="16839"/>
          <w:pgMar w:top="1195" w:right="792" w:bottom="1082" w:left="729" w:header="566" w:footer="810" w:gutter="0"/>
          <w:pgNumType w:start="11"/>
          <w:cols w:num="1" w:space="708" w:equalWidth="0">
            <w:col w:w="10385" w:space="0"/>
          </w:cols>
        </w:sectPr>
      </w:pPr>
    </w:p>
    <w:tbl>
      <w:tblPr>
        <w:tblStyle w:val="TableNormal1"/>
        <w:tblW w:w="4216" w:type="dxa"/>
        <w:tblInd w:w="5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27"/>
        <w:gridCol w:w="3989"/>
      </w:tblGrid>
      <w:tr>
        <w:tblPrEx>
          <w:tblW w:w="4216" w:type="dxa"/>
          <w:tblInd w:w="548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3028"/>
        </w:trPr>
        <w:tc>
          <w:tcPr>
            <w:tcW w:w="227" w:type="dxa"/>
            <w:vAlign w:val="top"/>
          </w:tcPr>
          <w:p>
            <w:pPr>
              <w:spacing w:before="173" w:line="196" w:lineRule="auto"/>
              <w:ind w:left="11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3"/>
                <w:szCs w:val="13"/>
              </w:rPr>
              <w:t>1.0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37" w:line="196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3"/>
                <w:szCs w:val="13"/>
              </w:rPr>
              <w:t>0.9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38" w:line="196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3"/>
                <w:szCs w:val="13"/>
              </w:rPr>
              <w:t>0.8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37" w:line="196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3"/>
                <w:szCs w:val="13"/>
              </w:rPr>
              <w:t>0.7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38" w:line="196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3"/>
                <w:szCs w:val="13"/>
              </w:rPr>
              <w:t>0.6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38" w:line="196" w:lineRule="auto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3"/>
                <w:szCs w:val="13"/>
              </w:rPr>
              <w:t>0.5</w:t>
            </w: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before="38" w:line="85" w:lineRule="exac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spacing w:val="2"/>
                <w:position w:val="-2"/>
                <w:sz w:val="13"/>
                <w:szCs w:val="13"/>
              </w:rPr>
              <w:t>0.4</w:t>
            </w:r>
          </w:p>
        </w:tc>
        <w:tc>
          <w:tcPr>
            <w:tcW w:w="3989" w:type="dxa"/>
            <w:vAlign w:val="top"/>
          </w:tcPr>
          <w:p>
            <w:pPr>
              <w:pStyle w:val="TableText"/>
              <w:spacing w:line="223" w:lineRule="exact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>
              <w:rPr>
                <w:rFonts w:ascii="Microsoft YaHei" w:eastAsia="Microsoft YaHei" w:hAnsi="Microsoft YaHei" w:cs="Microsoft YaHei"/>
                <w:color w:val="005BAC"/>
                <w:spacing w:val="12"/>
                <w:position w:val="3"/>
                <w:sz w:val="26"/>
                <w:szCs w:val="26"/>
              </w:rPr>
              <w:t>─</w:t>
            </w:r>
            <w:r>
              <w:rPr>
                <w:rFonts w:ascii="Microsoft YaHei" w:eastAsia="Microsoft YaHei" w:hAnsi="Microsoft YaHei" w:cs="Microsoft YaHei"/>
                <w:color w:val="005BAC"/>
                <w:spacing w:val="-45"/>
                <w:position w:val="3"/>
                <w:sz w:val="26"/>
                <w:szCs w:val="26"/>
              </w:rPr>
              <w:t xml:space="preserve"> </w:t>
            </w:r>
            <w:r>
              <w:rPr>
                <w:spacing w:val="12"/>
                <w:sz w:val="13"/>
                <w:szCs w:val="13"/>
              </w:rPr>
              <w:t>建筑（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SW</w:t>
            </w:r>
            <w:r>
              <w:rPr>
                <w:spacing w:val="12"/>
                <w:sz w:val="13"/>
                <w:szCs w:val="13"/>
              </w:rPr>
              <w:t>）</w:t>
            </w:r>
            <w:r>
              <w:rPr>
                <w:rFonts w:ascii="Times New Roman" w:eastAsia="Times New Roman" w:hAnsi="Times New Roman" w:cs="Times New Roman"/>
                <w:spacing w:val="12"/>
                <w:sz w:val="13"/>
                <w:szCs w:val="13"/>
              </w:rPr>
              <w:t>/</w:t>
            </w:r>
            <w:r>
              <w:rPr>
                <w:spacing w:val="12"/>
                <w:sz w:val="13"/>
                <w:szCs w:val="13"/>
              </w:rPr>
              <w:t>沪深</w:t>
            </w:r>
            <w:r>
              <w:rPr>
                <w:rFonts w:ascii="Times New Roman" w:eastAsia="Times New Roman" w:hAnsi="Times New Roman" w:cs="Times New Roman"/>
                <w:spacing w:val="12"/>
                <w:sz w:val="13"/>
                <w:szCs w:val="13"/>
              </w:rPr>
              <w:t xml:space="preserve">300     </w:t>
            </w:r>
            <w:r>
              <w:rPr>
                <w:rFonts w:ascii="Arial" w:eastAsia="Arial" w:hAnsi="Arial" w:cs="Arial"/>
                <w:color w:val="CCCCCC"/>
                <w:spacing w:val="12"/>
                <w:position w:val="3"/>
                <w:sz w:val="26"/>
                <w:szCs w:val="26"/>
              </w:rPr>
              <w:t>——</w:t>
            </w:r>
            <w:r>
              <w:rPr>
                <w:rFonts w:ascii="Arial" w:eastAsia="Arial" w:hAnsi="Arial" w:cs="Arial"/>
                <w:color w:val="CCCCCC"/>
                <w:spacing w:val="-40"/>
                <w:position w:val="3"/>
                <w:sz w:val="26"/>
                <w:szCs w:val="26"/>
              </w:rPr>
              <w:t xml:space="preserve"> </w:t>
            </w:r>
            <w:r>
              <w:rPr>
                <w:spacing w:val="12"/>
                <w:sz w:val="13"/>
                <w:szCs w:val="13"/>
              </w:rPr>
              <w:t>建筑（</w:t>
            </w:r>
            <w:r>
              <w:rPr>
                <w:rFonts w:ascii="Times New Roman" w:eastAsia="Times New Roman" w:hAnsi="Times New Roman" w:cs="Times New Roman"/>
                <w:sz w:val="13"/>
                <w:szCs w:val="13"/>
              </w:rPr>
              <w:t>SW</w:t>
            </w:r>
            <w:r>
              <w:rPr>
                <w:spacing w:val="12"/>
                <w:sz w:val="13"/>
                <w:szCs w:val="13"/>
              </w:rPr>
              <w:t>）</w:t>
            </w:r>
            <w:r>
              <w:rPr>
                <w:rFonts w:ascii="Times New Roman" w:eastAsia="Times New Roman" w:hAnsi="Times New Roman" w:cs="Times New Roman"/>
                <w:spacing w:val="12"/>
                <w:sz w:val="13"/>
                <w:szCs w:val="13"/>
              </w:rPr>
              <w:t>/</w:t>
            </w:r>
            <w:r>
              <w:rPr>
                <w:spacing w:val="12"/>
                <w:sz w:val="13"/>
                <w:szCs w:val="13"/>
              </w:rPr>
              <w:t>万</w:t>
            </w:r>
            <w:r>
              <w:rPr>
                <w:spacing w:val="11"/>
                <w:sz w:val="13"/>
                <w:szCs w:val="13"/>
              </w:rPr>
              <w:t>得全</w:t>
            </w:r>
            <w:r>
              <w:rPr>
                <w:rFonts w:ascii="Times New Roman" w:eastAsia="Times New Roman" w:hAnsi="Times New Roman" w:cs="Times New Roman"/>
                <w:spacing w:val="11"/>
                <w:sz w:val="13"/>
                <w:szCs w:val="13"/>
              </w:rPr>
              <w:t>A</w:t>
            </w:r>
          </w:p>
          <w:p>
            <w:pPr>
              <w:spacing w:line="2766" w:lineRule="exact"/>
              <w:ind w:firstLine="56"/>
            </w:pPr>
            <w:r>
              <w:rPr>
                <w:position w:val="-55"/>
              </w:rPr>
              <w:drawing>
                <wp:inline distT="0" distB="0" distL="0" distR="0">
                  <wp:extent cx="2458694" cy="1756600"/>
                  <wp:effectExtent l="0" t="0" r="0" b="0"/>
                  <wp:docPr id="30" name="IM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 30"/>
                          <pic:cNvPicPr/>
                        </pic:nvPicPr>
                        <pic:blipFill>
                          <a:blip xmlns:r="http://schemas.openxmlformats.org/officeDocument/2006/relationships"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694" cy="175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63" w:line="384" w:lineRule="exact"/>
        <w:ind w:firstLine="499"/>
      </w:pPr>
      <w:r>
        <w:rPr>
          <w:position w:val="-7"/>
        </w:rPr>
        <w:drawing>
          <wp:inline distT="0" distB="0" distL="0" distR="0">
            <wp:extent cx="2499385" cy="243459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99385" cy="243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15" w:line="186" w:lineRule="auto"/>
        <w:ind w:left="296"/>
        <w:rPr>
          <w:rFonts w:ascii="Times New Roman" w:eastAsia="Times New Roman" w:hAnsi="Times New Roman" w:cs="Times New Roman"/>
          <w:sz w:val="21"/>
          <w:szCs w:val="21"/>
        </w:rPr>
      </w:pPr>
      <w:r>
        <w:rPr>
          <w:spacing w:val="-8"/>
          <w:sz w:val="21"/>
          <w:szCs w:val="21"/>
        </w:rPr>
        <w:t>数据来源：</w:t>
      </w:r>
      <w:r>
        <w:rPr>
          <w:spacing w:val="-8"/>
          <w:sz w:val="21"/>
          <w:szCs w:val="21"/>
        </w:rPr>
        <w:t xml:space="preserve"> </w:t>
      </w:r>
      <w:r>
        <w:rPr>
          <w:spacing w:val="-8"/>
          <w:sz w:val="21"/>
          <w:szCs w:val="21"/>
        </w:rPr>
        <w:t>东北证券，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>Wind</w:t>
      </w:r>
    </w:p>
    <w:p>
      <w:pPr>
        <w:spacing w:line="14" w:lineRule="auto"/>
        <w:rPr>
          <w:rFonts w:ascii="Arial"/>
          <w:sz w:val="2"/>
        </w:rPr>
        <w:sectPr>
          <w:headerReference w:type="default" r:id="rId39"/>
          <w:footerReference w:type="default" r:id="rId40"/>
          <w:type w:val="continuous"/>
          <w:pgSz w:w="11907" w:h="16839"/>
          <w:pgMar w:top="1195" w:right="792" w:bottom="1082" w:left="729" w:header="566" w:footer="810" w:gutter="0"/>
          <w:pgNumType w:start="12"/>
          <w:cols w:num="2" w:space="708" w:equalWidth="0">
            <w:col w:w="5324" w:space="100"/>
            <w:col w:w="4962" w:space="0"/>
          </w:cols>
        </w:sect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18" w:line="3004" w:lineRule="exact"/>
        <w:ind w:firstLine="187"/>
      </w:pPr>
      <w:r>
        <w:rPr>
          <w:position w:val="-60"/>
        </w:rPr>
        <w:pict>
          <v:group id="_x0000_i1039" style="width:214.05pt;height:150.2pt;mso-position-horizontal-relative:char;mso-position-vertical-relative:line" coordorigin="0,0" coordsize="4281,3003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width:3872;height:2757;left:353;position:absolute;top:206" filled="f" stroked="f">
              <v:imagedata r:id="rId41" o:title=""/>
            </v:shape>
            <v:shape id="_x0000_s1041" type="#_x0000_t202" style="width:4321;height:3043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20" w:line="223" w:lineRule="auto"/>
                      <w:ind w:right="20"/>
                      <w:jc w:val="right"/>
                      <w:rPr>
                        <w:rFonts w:ascii="Times New Roman" w:eastAsia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KaiTi" w:eastAsia="KaiTi" w:hAnsi="KaiTi" w:cs="KaiTi"/>
                        <w:spacing w:val="8"/>
                        <w:sz w:val="13"/>
                        <w:szCs w:val="13"/>
                      </w:rPr>
                      <w:t>建筑（</w:t>
                    </w:r>
                    <w:r>
                      <w:rPr>
                        <w:rFonts w:ascii="Times New Roman" w:eastAsia="Times New Roman" w:hAnsi="Times New Roman" w:cs="Times New Roman"/>
                        <w:sz w:val="13"/>
                        <w:szCs w:val="13"/>
                      </w:rPr>
                      <w:t>SW</w:t>
                    </w:r>
                    <w:r>
                      <w:rPr>
                        <w:rFonts w:ascii="KaiTi" w:eastAsia="KaiTi" w:hAnsi="KaiTi" w:cs="KaiTi"/>
                        <w:spacing w:val="8"/>
                        <w:sz w:val="13"/>
                        <w:szCs w:val="13"/>
                      </w:rPr>
                      <w:t>）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3"/>
                        <w:szCs w:val="13"/>
                      </w:rPr>
                      <w:t>/</w:t>
                    </w:r>
                    <w:r>
                      <w:rPr>
                        <w:rFonts w:ascii="KaiTi" w:eastAsia="KaiTi" w:hAnsi="KaiTi" w:cs="KaiTi"/>
                        <w:spacing w:val="8"/>
                        <w:sz w:val="13"/>
                        <w:szCs w:val="13"/>
                      </w:rPr>
                      <w:t>沪深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3"/>
                        <w:szCs w:val="13"/>
                      </w:rPr>
                      <w:t>300</w:t>
                    </w:r>
                    <w:r>
                      <w:rPr>
                        <w:rFonts w:ascii="Times New Roman" w:eastAsia="Times New Roman" w:hAnsi="Times New Roman" w:cs="Times New Roman"/>
                        <w:sz w:val="13"/>
                        <w:szCs w:val="13"/>
                      </w:rPr>
                      <w:t xml:space="preserve">                    </w:t>
                    </w:r>
                    <w:r>
                      <w:rPr>
                        <w:rFonts w:ascii="KaiTi" w:eastAsia="KaiTi" w:hAnsi="KaiTi" w:cs="KaiTi"/>
                        <w:spacing w:val="8"/>
                        <w:sz w:val="13"/>
                        <w:szCs w:val="13"/>
                      </w:rPr>
                      <w:t>建筑（</w:t>
                    </w:r>
                    <w:r>
                      <w:rPr>
                        <w:rFonts w:ascii="Times New Roman" w:eastAsia="Times New Roman" w:hAnsi="Times New Roman" w:cs="Times New Roman"/>
                        <w:sz w:val="13"/>
                        <w:szCs w:val="13"/>
                      </w:rPr>
                      <w:t>SW</w:t>
                    </w:r>
                    <w:r>
                      <w:rPr>
                        <w:rFonts w:ascii="KaiTi" w:eastAsia="KaiTi" w:hAnsi="KaiTi" w:cs="KaiTi"/>
                        <w:spacing w:val="8"/>
                        <w:sz w:val="13"/>
                        <w:szCs w:val="13"/>
                      </w:rPr>
                      <w:t>）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3"/>
                        <w:szCs w:val="13"/>
                      </w:rPr>
                      <w:t>/</w:t>
                    </w:r>
                    <w:r>
                      <w:rPr>
                        <w:rFonts w:ascii="KaiTi" w:eastAsia="KaiTi" w:hAnsi="KaiTi" w:cs="KaiTi"/>
                        <w:spacing w:val="8"/>
                        <w:sz w:val="13"/>
                        <w:szCs w:val="13"/>
                      </w:rPr>
                      <w:t>万得全</w:t>
                    </w:r>
                    <w:r>
                      <w:rPr>
                        <w:rFonts w:ascii="Times New Roman" w:eastAsia="Times New Roman" w:hAnsi="Times New Roman" w:cs="Times New Roman"/>
                        <w:spacing w:val="8"/>
                        <w:sz w:val="13"/>
                        <w:szCs w:val="13"/>
                      </w:rPr>
                      <w:t>A</w:t>
                    </w:r>
                  </w:p>
                  <w:p>
                    <w:pPr>
                      <w:spacing w:line="196" w:lineRule="auto"/>
                      <w:ind w:left="20"/>
                      <w:rPr>
                        <w:rFonts w:ascii="Times New Roman" w:eastAsia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3"/>
                        <w:szCs w:val="13"/>
                      </w:rPr>
                      <w:t>0.90</w:t>
                    </w:r>
                  </w:p>
                  <w:p>
                    <w:pPr>
                      <w:spacing w:line="29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37" w:line="196" w:lineRule="auto"/>
                      <w:ind w:left="20"/>
                      <w:rPr>
                        <w:rFonts w:ascii="Times New Roman" w:eastAsia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3"/>
                        <w:szCs w:val="13"/>
                      </w:rPr>
                      <w:t>0.85</w:t>
                    </w:r>
                  </w:p>
                  <w:p>
                    <w:pPr>
                      <w:spacing w:line="29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37" w:line="196" w:lineRule="auto"/>
                      <w:ind w:left="20"/>
                      <w:rPr>
                        <w:rFonts w:ascii="Times New Roman" w:eastAsia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3"/>
                        <w:szCs w:val="13"/>
                      </w:rPr>
                      <w:t>0.80</w:t>
                    </w:r>
                  </w:p>
                  <w:p>
                    <w:pPr>
                      <w:spacing w:line="29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37" w:line="196" w:lineRule="auto"/>
                      <w:ind w:left="20"/>
                      <w:rPr>
                        <w:rFonts w:ascii="Times New Roman" w:eastAsia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3"/>
                        <w:szCs w:val="13"/>
                      </w:rPr>
                      <w:t>0.75</w:t>
                    </w:r>
                  </w:p>
                  <w:p>
                    <w:pPr>
                      <w:spacing w:line="29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37" w:line="196" w:lineRule="auto"/>
                      <w:ind w:left="20"/>
                      <w:rPr>
                        <w:rFonts w:ascii="Times New Roman" w:eastAsia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3"/>
                        <w:szCs w:val="13"/>
                      </w:rPr>
                      <w:t>0.70</w:t>
                    </w:r>
                  </w:p>
                  <w:p>
                    <w:pPr>
                      <w:spacing w:line="29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37" w:line="196" w:lineRule="auto"/>
                      <w:ind w:left="20"/>
                      <w:rPr>
                        <w:rFonts w:ascii="Times New Roman" w:eastAsia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3"/>
                        <w:szCs w:val="13"/>
                      </w:rPr>
                      <w:t>0.65</w:t>
                    </w:r>
                  </w:p>
                  <w:p>
                    <w:pPr>
                      <w:spacing w:line="29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38" w:line="196" w:lineRule="auto"/>
                      <w:ind w:left="20"/>
                      <w:rPr>
                        <w:rFonts w:ascii="Times New Roman" w:eastAsia="Times New Roman" w:hAnsi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3"/>
                        <w:sz w:val="13"/>
                        <w:szCs w:val="13"/>
                      </w:rPr>
                      <w:t>0.60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63" w:line="384" w:lineRule="exact"/>
        <w:ind w:firstLine="208"/>
      </w:pPr>
      <w:r>
        <w:rPr>
          <w:position w:val="-7"/>
        </w:rPr>
        <w:drawing>
          <wp:inline distT="0" distB="0" distL="0" distR="0">
            <wp:extent cx="2498851" cy="243458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498851" cy="243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20" w:line="186" w:lineRule="auto"/>
        <w:ind w:left="5"/>
        <w:rPr>
          <w:rFonts w:ascii="Times New Roman" w:eastAsia="Times New Roman" w:hAnsi="Times New Roman" w:cs="Times New Roman"/>
          <w:sz w:val="21"/>
          <w:szCs w:val="21"/>
        </w:rPr>
      </w:pPr>
      <w:r>
        <w:rPr>
          <w:spacing w:val="-8"/>
          <w:sz w:val="21"/>
          <w:szCs w:val="21"/>
        </w:rPr>
        <w:t>数据来源：</w:t>
      </w:r>
      <w:r>
        <w:rPr>
          <w:spacing w:val="-8"/>
          <w:sz w:val="21"/>
          <w:szCs w:val="21"/>
        </w:rPr>
        <w:t xml:space="preserve"> </w:t>
      </w:r>
      <w:r>
        <w:rPr>
          <w:spacing w:val="-8"/>
          <w:sz w:val="21"/>
          <w:szCs w:val="21"/>
        </w:rPr>
        <w:t>东北证券，</w:t>
      </w:r>
      <w:r>
        <w:rPr>
          <w:rFonts w:ascii="Times New Roman" w:eastAsia="Times New Roman" w:hAnsi="Times New Roman" w:cs="Times New Roman"/>
          <w:spacing w:val="-8"/>
          <w:sz w:val="21"/>
          <w:szCs w:val="21"/>
        </w:rPr>
        <w:t>Wind</w:t>
      </w:r>
    </w:p>
    <w:p>
      <w:pPr>
        <w:spacing w:line="186" w:lineRule="auto"/>
        <w:rPr>
          <w:rFonts w:ascii="Times New Roman" w:eastAsia="Times New Roman" w:hAnsi="Times New Roman" w:cs="Times New Roman"/>
          <w:sz w:val="21"/>
          <w:szCs w:val="21"/>
        </w:rPr>
        <w:sectPr>
          <w:headerReference w:type="default" r:id="rId43"/>
          <w:footerReference w:type="default" r:id="rId44"/>
          <w:type w:val="nextPage"/>
          <w:pgSz w:w="11907" w:h="16839"/>
          <w:pgMar w:top="1195" w:right="792" w:bottom="1082" w:left="729" w:header="566" w:footer="810" w:gutter="0"/>
          <w:pgNumType w:start="13"/>
          <w:cols w:num="2" w:space="708" w:equalWidth="0">
            <w:col w:w="5324" w:space="100"/>
            <w:col w:w="4962" w:space="0"/>
          </w:cols>
          <w:titlePg w:val="0"/>
        </w:sectPr>
      </w:pPr>
    </w:p>
    <w:p>
      <w:pPr>
        <w:pStyle w:val="BodyText"/>
        <w:spacing w:before="303" w:line="238" w:lineRule="auto"/>
        <w:ind w:left="297"/>
        <w:rPr>
          <w:sz w:val="21"/>
          <w:szCs w:val="21"/>
        </w:rPr>
      </w:pPr>
      <w:r>
        <w:rPr>
          <w:spacing w:val="-3"/>
          <w:sz w:val="21"/>
          <w:szCs w:val="2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从二级行业看，</w:t>
      </w:r>
      <w:r>
        <w:rPr>
          <w:spacing w:val="-3"/>
          <w:sz w:val="21"/>
          <w:szCs w:val="21"/>
        </w:rPr>
        <w:t xml:space="preserve"> </w:t>
      </w:r>
      <w:r>
        <w:rPr>
          <w:spacing w:val="-3"/>
          <w:sz w:val="21"/>
          <w:szCs w:val="2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专业工程和基础建设子行业主导建筑板块走势，设计咨</w:t>
      </w:r>
      <w:r>
        <w:rPr>
          <w:spacing w:val="-4"/>
          <w:sz w:val="21"/>
          <w:szCs w:val="2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询子行业走</w:t>
      </w:r>
    </w:p>
    <w:p>
      <w:pPr>
        <w:pStyle w:val="BodyText"/>
        <w:spacing w:line="213" w:lineRule="auto"/>
        <w:ind w:left="325"/>
        <w:rPr>
          <w:sz w:val="21"/>
          <w:szCs w:val="21"/>
        </w:rPr>
      </w:pPr>
      <w:r>
        <w:rPr>
          <w:spacing w:val="-5"/>
          <w:sz w:val="21"/>
          <w:szCs w:val="21"/>
          <w14:textOutline w14:w="3831">
            <w14:solidFill>
              <w14:srgbClr w14:val="000000"/>
            </w14:solidFill>
            <w14:prstDash w14:val="solid"/>
            <w14:miter w14:lim="10"/>
          </w14:textOutline>
        </w:rPr>
        <w:t>出独立行情。</w:t>
      </w:r>
      <w:r>
        <w:rPr>
          <w:spacing w:val="-5"/>
          <w:sz w:val="21"/>
          <w:szCs w:val="21"/>
        </w:rPr>
        <w:t>根据</w:t>
      </w:r>
      <w:r>
        <w:rPr>
          <w:spacing w:val="-4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2021 </w:t>
      </w:r>
      <w:r>
        <w:rPr>
          <w:spacing w:val="-5"/>
          <w:sz w:val="21"/>
          <w:szCs w:val="21"/>
        </w:rPr>
        <w:t>年申万行业分类标准（下同</w:t>
      </w:r>
      <w:r>
        <w:rPr>
          <w:spacing w:val="-39"/>
          <w:w w:val="85"/>
          <w:sz w:val="21"/>
          <w:szCs w:val="21"/>
        </w:rPr>
        <w:t>），</w:t>
      </w:r>
      <w:r>
        <w:rPr>
          <w:spacing w:val="-5"/>
          <w:sz w:val="21"/>
          <w:szCs w:val="21"/>
        </w:rPr>
        <w:t>截止至</w:t>
      </w:r>
      <w:r>
        <w:rPr>
          <w:spacing w:val="-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2023 </w:t>
      </w:r>
      <w:r>
        <w:rPr>
          <w:spacing w:val="-5"/>
          <w:sz w:val="21"/>
          <w:szCs w:val="21"/>
        </w:rPr>
        <w:t>年</w:t>
      </w:r>
      <w:r>
        <w:rPr>
          <w:spacing w:val="-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>12</w:t>
      </w:r>
      <w:r>
        <w:rPr>
          <w:rFonts w:ascii="Times New Roman" w:eastAsia="Times New Roman" w:hAnsi="Times New Roman" w:cs="Times New Roman"/>
          <w:spacing w:val="16"/>
          <w:sz w:val="21"/>
          <w:szCs w:val="21"/>
        </w:rPr>
        <w:t xml:space="preserve"> </w:t>
      </w:r>
      <w:r>
        <w:rPr>
          <w:spacing w:val="-5"/>
          <w:sz w:val="21"/>
          <w:szCs w:val="21"/>
        </w:rPr>
        <w:t>月</w:t>
      </w:r>
      <w:r>
        <w:rPr>
          <w:spacing w:val="-4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1"/>
          <w:szCs w:val="21"/>
        </w:rPr>
        <w:t xml:space="preserve">29  </w:t>
      </w:r>
      <w:r>
        <w:rPr>
          <w:spacing w:val="-5"/>
          <w:sz w:val="21"/>
          <w:szCs w:val="21"/>
        </w:rPr>
        <w:t>日，</w:t>
      </w:r>
    </w:p>
    <w:p>
      <w:pPr>
        <w:pStyle w:val="BodyText"/>
        <w:spacing w:before="31" w:line="213" w:lineRule="auto"/>
        <w:ind w:left="295"/>
        <w:rPr>
          <w:sz w:val="21"/>
          <w:szCs w:val="21"/>
        </w:rPr>
      </w:pPr>
      <w:r>
        <w:rPr>
          <w:sz w:val="21"/>
          <w:szCs w:val="21"/>
        </w:rPr>
        <w:t>房屋建设、装饰装修、基础建设、专业工程、工程咨询服务等二级</w:t>
      </w:r>
      <w:r>
        <w:rPr>
          <w:spacing w:val="-1"/>
          <w:sz w:val="21"/>
          <w:szCs w:val="21"/>
        </w:rPr>
        <w:t>行业分别录得绝</w:t>
      </w:r>
    </w:p>
    <w:p>
      <w:pPr>
        <w:pStyle w:val="BodyText"/>
        <w:spacing w:before="29" w:line="227" w:lineRule="auto"/>
        <w:ind w:left="297"/>
        <w:rPr>
          <w:sz w:val="21"/>
          <w:szCs w:val="21"/>
        </w:rPr>
      </w:pPr>
      <w:r>
        <w:rPr>
          <w:spacing w:val="-6"/>
          <w:sz w:val="21"/>
          <w:szCs w:val="21"/>
        </w:rPr>
        <w:t>对收益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>-9.5%</w:t>
      </w:r>
      <w:r>
        <w:rPr>
          <w:spacing w:val="-6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>-8.7%</w:t>
      </w:r>
      <w:r>
        <w:rPr>
          <w:spacing w:val="-6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>-6.0%</w:t>
      </w:r>
      <w:r>
        <w:rPr>
          <w:spacing w:val="-6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>-6.2%</w:t>
      </w:r>
      <w:r>
        <w:rPr>
          <w:spacing w:val="-6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spacing w:val="-6"/>
          <w:sz w:val="21"/>
          <w:szCs w:val="21"/>
        </w:rPr>
        <w:t>+11.2%</w:t>
      </w:r>
      <w:r>
        <w:rPr>
          <w:spacing w:val="-6"/>
          <w:sz w:val="21"/>
          <w:szCs w:val="21"/>
        </w:rPr>
        <w:t>，全年最高收益分别为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>+25.0%</w:t>
      </w:r>
      <w:r>
        <w:rPr>
          <w:spacing w:val="-7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spacing w:val="-7"/>
          <w:sz w:val="21"/>
          <w:szCs w:val="21"/>
        </w:rPr>
        <w:t>+9.1%</w:t>
      </w:r>
      <w:r>
        <w:rPr>
          <w:spacing w:val="-7"/>
          <w:sz w:val="21"/>
          <w:szCs w:val="21"/>
        </w:rPr>
        <w:t>、</w:t>
      </w:r>
    </w:p>
    <w:p>
      <w:pPr>
        <w:pStyle w:val="BodyText"/>
        <w:spacing w:before="16" w:line="227" w:lineRule="auto"/>
        <w:ind w:left="294"/>
        <w:rPr>
          <w:sz w:val="21"/>
          <w:szCs w:val="21"/>
        </w:rPr>
      </w:pP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+30.5%</w:t>
      </w:r>
      <w:r>
        <w:rPr>
          <w:spacing w:val="-2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+27.3%</w:t>
      </w:r>
      <w:r>
        <w:rPr>
          <w:spacing w:val="-2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+31.7%</w:t>
      </w:r>
      <w:r>
        <w:rPr>
          <w:spacing w:val="-2"/>
          <w:sz w:val="21"/>
          <w:szCs w:val="21"/>
        </w:rPr>
        <w:t>。具体来看，房屋建设、基础建设、</w:t>
      </w:r>
      <w:r>
        <w:rPr>
          <w:spacing w:val="-3"/>
          <w:sz w:val="21"/>
          <w:szCs w:val="21"/>
        </w:rPr>
        <w:t>专业工程子行业的市</w:t>
      </w:r>
    </w:p>
    <w:p>
      <w:pPr>
        <w:pStyle w:val="BodyText"/>
        <w:spacing w:before="13" w:line="213" w:lineRule="auto"/>
        <w:ind w:left="293"/>
        <w:rPr>
          <w:sz w:val="21"/>
          <w:szCs w:val="21"/>
        </w:rPr>
      </w:pPr>
      <w:r>
        <w:rPr>
          <w:spacing w:val="-1"/>
          <w:sz w:val="21"/>
          <w:szCs w:val="21"/>
        </w:rPr>
        <w:t>值结构以向建筑央国企侧重，海外布局广泛，</w:t>
      </w:r>
      <w:r>
        <w:rPr>
          <w:rFonts w:ascii="Times New Roman" w:eastAsia="Times New Roman" w:hAnsi="Times New Roman" w:cs="Times New Roman"/>
          <w:spacing w:val="-1"/>
          <w:sz w:val="21"/>
          <w:szCs w:val="21"/>
        </w:rPr>
        <w:t>20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 xml:space="preserve">23 </w:t>
      </w:r>
      <w:r>
        <w:rPr>
          <w:spacing w:val="-2"/>
          <w:sz w:val="21"/>
          <w:szCs w:val="21"/>
        </w:rPr>
        <w:t>年共同主导建筑板块走势，其中</w:t>
      </w:r>
    </w:p>
    <w:p>
      <w:pPr>
        <w:pStyle w:val="BodyText"/>
        <w:spacing w:before="32" w:line="213" w:lineRule="auto"/>
        <w:ind w:left="295"/>
        <w:rPr>
          <w:sz w:val="21"/>
          <w:szCs w:val="21"/>
        </w:rPr>
      </w:pPr>
      <w:r>
        <w:rPr>
          <w:sz w:val="21"/>
          <w:szCs w:val="21"/>
        </w:rPr>
        <w:t>房屋建设子行业受累于地产链因素，行情强度稍弱；装饰装修子行</w:t>
      </w:r>
      <w:r>
        <w:rPr>
          <w:spacing w:val="-1"/>
          <w:sz w:val="21"/>
          <w:szCs w:val="21"/>
        </w:rPr>
        <w:t>业亦受楼市需求</w:t>
      </w:r>
    </w:p>
    <w:p>
      <w:pPr>
        <w:pStyle w:val="BodyText"/>
        <w:spacing w:before="29" w:line="213" w:lineRule="auto"/>
        <w:ind w:left="306"/>
        <w:rPr>
          <w:sz w:val="21"/>
          <w:szCs w:val="21"/>
        </w:rPr>
      </w:pPr>
      <w:r>
        <w:rPr>
          <w:sz w:val="21"/>
          <w:szCs w:val="21"/>
        </w:rPr>
        <w:t>弱复苏影响，全年表现较为低迷；工程咨询</w:t>
      </w:r>
      <w:r>
        <w:rPr>
          <w:spacing w:val="-1"/>
          <w:sz w:val="21"/>
          <w:szCs w:val="21"/>
        </w:rPr>
        <w:t>服务子行业在业绩端逐渐复苏，在估值</w:t>
      </w:r>
    </w:p>
    <w:p>
      <w:pPr>
        <w:pStyle w:val="BodyText"/>
        <w:spacing w:before="31" w:line="227" w:lineRule="auto"/>
        <w:ind w:left="300"/>
        <w:rPr>
          <w:sz w:val="21"/>
          <w:szCs w:val="21"/>
        </w:rPr>
      </w:pPr>
      <w:r>
        <w:rPr>
          <w:spacing w:val="-4"/>
          <w:sz w:val="21"/>
          <w:szCs w:val="21"/>
        </w:rPr>
        <w:t>端受“设计</w:t>
      </w:r>
      <w:r>
        <w:rPr>
          <w:rFonts w:ascii="Times New Roman" w:eastAsia="Times New Roman" w:hAnsi="Times New Roman" w:cs="Times New Roman"/>
          <w:spacing w:val="-4"/>
          <w:sz w:val="21"/>
          <w:szCs w:val="21"/>
        </w:rPr>
        <w:t>+AI</w:t>
      </w:r>
      <w:r>
        <w:rPr>
          <w:spacing w:val="-4"/>
          <w:sz w:val="21"/>
          <w:szCs w:val="21"/>
        </w:rPr>
        <w:t>”、“城中村改造”等概念推动走出独立行情，全年均保持较好的收</w:t>
      </w:r>
    </w:p>
    <w:p>
      <w:pPr>
        <w:pStyle w:val="BodyText"/>
        <w:spacing w:before="12" w:line="186" w:lineRule="auto"/>
        <w:ind w:left="299"/>
        <w:rPr>
          <w:sz w:val="21"/>
          <w:szCs w:val="21"/>
        </w:rPr>
      </w:pPr>
      <w:r>
        <w:rPr>
          <w:spacing w:val="-4"/>
          <w:sz w:val="21"/>
          <w:szCs w:val="21"/>
        </w:rPr>
        <w:t>益率表现。</w:t>
      </w:r>
    </w:p>
    <w:p>
      <w:pPr>
        <w:spacing w:line="186" w:lineRule="auto"/>
        <w:rPr>
          <w:sz w:val="21"/>
          <w:szCs w:val="21"/>
        </w:rPr>
      </w:pPr>
      <w:r>
        <w:rPr>
          <w:sz w:val="21"/>
          <w:szCs w:val="21"/>
        </w:rPr>
        <w:br/>
      </w:r>
      <w:r>
        <w:rPr>
          <w:sz w:val="21"/>
          <w:szCs w:val="21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5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https://d.book118.com/618000134011006025</w:t>
        </w:r>
      </w:hyperlink>
    </w:p>
    <w:p>
      <w:pPr>
        <w:spacing w:line="186" w:lineRule="auto"/>
        <w:rPr>
          <w:sz w:val="21"/>
          <w:szCs w:val="21"/>
        </w:rPr>
      </w:pPr>
    </w:p>
    <w:sectPr>
      <w:headerReference w:type="default" r:id="rId46"/>
      <w:footerReference w:type="default" r:id="rId47"/>
      <w:type w:val="continuous"/>
      <w:pgSz w:w="11907" w:h="16839"/>
      <w:pgMar w:top="1195" w:right="792" w:bottom="1082" w:left="729" w:header="566" w:footer="810" w:gutter="0"/>
      <w:pgNumType w:start="14"/>
      <w:cols w:num="1" w:space="708" w:equalWidth="0">
        <w:col w:w="1038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54" w:line="203" w:lineRule="auto"/>
      <w:ind w:left="397"/>
      <w:rPr>
        <w:sz w:val="18"/>
        <w:szCs w:val="18"/>
      </w:rPr>
    </w:pPr>
    <w:r>
      <w:pict>
        <v:shape id="_x0000_s2050" style="width:496.2pt;height:0.5pt;margin-top:787.78pt;margin-left:49.56pt;mso-position-horizontal-relative:page;mso-position-vertical-relative:page;position:absolute;z-index:251658240" coordorigin="0,0" coordsize="9924,10" o:allowincell="f" path="m,9l9923,9l9923,l,l,9xe" filled="t" fillcolor="#005bc0" stroked="f"/>
      </w:pict>
    </w:r>
    <w:r>
      <w:rPr>
        <w:color w:val="005BAC"/>
        <w:sz w:val="18"/>
        <w:szCs w:val="18"/>
        <w14:textOutline w14:w="3265">
          <w14:solidFill>
            <w14:srgbClr w14:val="005BAC"/>
          </w14:solidFill>
          <w14:prstDash w14:val="solid"/>
          <w14:miter w14:lim="10"/>
        </w14:textOutline>
      </w:rPr>
      <w:t>请务必阅读正文后的声明及说明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53" w:line="214" w:lineRule="auto"/>
      <w:ind w:left="1022"/>
      <w:rPr>
        <w:sz w:val="18"/>
        <w:szCs w:val="18"/>
      </w:rPr>
    </w:pPr>
    <w:r>
      <w:pict>
        <v:shape id="_x0000_s2067" style="width:496.2pt;height:0.5pt;margin-top:787.78pt;margin-left:49.56pt;mso-position-horizontal-relative:page;mso-position-vertical-relative:page;position:absolute;z-index:251673600" coordorigin="0,0" coordsize="9924,10" o:allowincell="f" path="m,9l9923,9l9923,l,l,9xe" filled="t" fillcolor="#005bc0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26.75pt;height:11.85pt;margin-top:3.33pt;margin-left:470.19pt;position:absolute;z-index:251674624" filled="f" stroked="f">
          <o:lock v:ext="edit" aspectratio="f"/>
          <v:textbox inset="0,0,0,0">
            <w:txbxContent>
              <w:p>
                <w:pPr>
                  <w:spacing w:before="20" w:line="228" w:lineRule="auto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-2"/>
                    <w:sz w:val="18"/>
                    <w:szCs w:val="18"/>
                  </w:rPr>
                  <w:t>5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3"/>
                    <w:sz w:val="18"/>
                    <w:szCs w:val="18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-2"/>
                    <w:sz w:val="18"/>
                    <w:szCs w:val="18"/>
                  </w:rPr>
                  <w:t>/  31</w:t>
                </w:r>
              </w:p>
            </w:txbxContent>
          </v:textbox>
        </v:shape>
      </w:pict>
    </w:r>
    <w:r>
      <w:rPr>
        <w:color w:val="005BAC"/>
        <w:sz w:val="18"/>
        <w:szCs w:val="18"/>
        <w14:textOutline w14:w="3265">
          <w14:solidFill>
            <w14:srgbClr w14:val="005BAC"/>
          </w14:solidFill>
          <w14:prstDash w14:val="solid"/>
          <w14:miter w14:lim="10"/>
        </w14:textOutline>
      </w:rPr>
      <w:t>请务必阅读正文后的声明及说明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53" w:line="214" w:lineRule="auto"/>
      <w:ind w:left="1022"/>
      <w:rPr>
        <w:sz w:val="18"/>
        <w:szCs w:val="18"/>
      </w:rPr>
    </w:pPr>
    <w:r>
      <w:pict>
        <v:shape id="_x0000_s2069" style="width:496.2pt;height:0.5pt;margin-top:787.78pt;margin-left:49.56pt;mso-position-horizontal-relative:page;mso-position-vertical-relative:page;position:absolute;z-index:251675648" coordorigin="0,0" coordsize="9924,10" o:allowincell="f" path="m,9l9923,9l9923,l,l,9xe" filled="t" fillcolor="#005bc0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26.75pt;height:11.85pt;margin-top:3.33pt;margin-left:470.19pt;position:absolute;z-index:251676672" filled="f" stroked="f">
          <o:lock v:ext="edit" aspectratio="f"/>
          <v:textbox inset="0,0,0,0">
            <w:txbxContent>
              <w:p>
                <w:pPr>
                  <w:spacing w:before="20" w:line="228" w:lineRule="auto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-2"/>
                    <w:sz w:val="18"/>
                    <w:szCs w:val="18"/>
                  </w:rPr>
                  <w:t>5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3"/>
                    <w:sz w:val="18"/>
                    <w:szCs w:val="18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-2"/>
                    <w:sz w:val="18"/>
                    <w:szCs w:val="18"/>
                  </w:rPr>
                  <w:t>/  31</w:t>
                </w:r>
              </w:p>
            </w:txbxContent>
          </v:textbox>
        </v:shape>
      </w:pict>
    </w:r>
    <w:r>
      <w:rPr>
        <w:color w:val="005BAC"/>
        <w:sz w:val="18"/>
        <w:szCs w:val="18"/>
        <w14:textOutline w14:w="3265">
          <w14:solidFill>
            <w14:srgbClr w14:val="005BAC"/>
          </w14:solidFill>
          <w14:prstDash w14:val="solid"/>
          <w14:miter w14:lim="10"/>
        </w14:textOutline>
      </w:rPr>
      <w:t>请务必阅读正文后的声明及说明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53" w:line="214" w:lineRule="auto"/>
      <w:ind w:left="1022"/>
      <w:rPr>
        <w:sz w:val="18"/>
        <w:szCs w:val="18"/>
      </w:rPr>
    </w:pPr>
    <w:r>
      <w:pict>
        <v:shape id="_x0000_s2071" style="width:496.2pt;height:0.5pt;margin-top:787.78pt;margin-left:49.56pt;mso-position-horizontal-relative:page;mso-position-vertical-relative:page;position:absolute;z-index:251677696" coordorigin="0,0" coordsize="9924,10" o:allowincell="f" path="m,9l9923,9l9923,l,l,9xe" filled="t" fillcolor="#005bc0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26.75pt;height:11.85pt;margin-top:3.33pt;margin-left:470.19pt;position:absolute;z-index:251678720" filled="f" stroked="f">
          <o:lock v:ext="edit" aspectratio="f"/>
          <v:textbox inset="0,0,0,0">
            <w:txbxContent>
              <w:p>
                <w:pPr>
                  <w:spacing w:before="20" w:line="228" w:lineRule="auto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-2"/>
                    <w:sz w:val="18"/>
                    <w:szCs w:val="18"/>
                  </w:rPr>
                  <w:t>5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3"/>
                    <w:sz w:val="18"/>
                    <w:szCs w:val="18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-2"/>
                    <w:sz w:val="18"/>
                    <w:szCs w:val="18"/>
                  </w:rPr>
                  <w:t>/  31</w:t>
                </w:r>
              </w:p>
            </w:txbxContent>
          </v:textbox>
        </v:shape>
      </w:pict>
    </w:r>
    <w:r>
      <w:rPr>
        <w:color w:val="005BAC"/>
        <w:sz w:val="18"/>
        <w:szCs w:val="18"/>
        <w14:textOutline w14:w="3265">
          <w14:solidFill>
            <w14:srgbClr w14:val="005BAC"/>
          </w14:solidFill>
          <w14:prstDash w14:val="solid"/>
          <w14:miter w14:lim="10"/>
        </w14:textOutline>
      </w:rPr>
      <w:t>请务必阅读正文后的声明及说明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53" w:line="214" w:lineRule="auto"/>
      <w:ind w:left="1022"/>
      <w:rPr>
        <w:sz w:val="18"/>
        <w:szCs w:val="18"/>
      </w:rPr>
    </w:pPr>
    <w:r>
      <w:pict>
        <v:shape id="_x0000_s2073" style="width:496.2pt;height:0.5pt;margin-top:787.78pt;margin-left:49.56pt;mso-position-horizontal-relative:page;mso-position-vertical-relative:page;position:absolute;z-index:251679744" coordorigin="0,0" coordsize="9924,10" o:allowincell="f" path="m,9l9923,9l9923,l,l,9xe" filled="t" fillcolor="#005bc0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26.75pt;height:11.85pt;margin-top:3.33pt;margin-left:470.19pt;position:absolute;z-index:251680768" filled="f" stroked="f">
          <o:lock v:ext="edit" aspectratio="f"/>
          <v:textbox inset="0,0,0,0">
            <w:txbxContent>
              <w:p>
                <w:pPr>
                  <w:spacing w:before="20" w:line="228" w:lineRule="auto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-2"/>
                    <w:sz w:val="18"/>
                    <w:szCs w:val="18"/>
                  </w:rPr>
                  <w:t>5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3"/>
                    <w:sz w:val="18"/>
                    <w:szCs w:val="18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-2"/>
                    <w:sz w:val="18"/>
                    <w:szCs w:val="18"/>
                  </w:rPr>
                  <w:t>/  31</w:t>
                </w:r>
              </w:p>
            </w:txbxContent>
          </v:textbox>
        </v:shape>
      </w:pict>
    </w:r>
    <w:r>
      <w:rPr>
        <w:color w:val="005BAC"/>
        <w:sz w:val="18"/>
        <w:szCs w:val="18"/>
        <w14:textOutline w14:w="3265">
          <w14:solidFill>
            <w14:srgbClr w14:val="005BAC"/>
          </w14:solidFill>
          <w14:prstDash w14:val="solid"/>
          <w14:miter w14:lim="10"/>
        </w14:textOutline>
      </w:rPr>
      <w:t>请务必阅读正文后的声明及说明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53" w:line="214" w:lineRule="auto"/>
      <w:ind w:left="1022"/>
      <w:rPr>
        <w:sz w:val="18"/>
        <w:szCs w:val="18"/>
      </w:rPr>
    </w:pPr>
    <w:r>
      <w:pict>
        <v:shape id="_x0000_s2075" style="width:496.2pt;height:0.5pt;margin-top:787.78pt;margin-left:49.56pt;mso-position-horizontal-relative:page;mso-position-vertical-relative:page;position:absolute;z-index:251681792" coordorigin="0,0" coordsize="9924,10" o:allowincell="f" path="m,9l9923,9l9923,l,l,9xe" filled="t" fillcolor="#005bc0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26.75pt;height:11.85pt;margin-top:3.33pt;margin-left:470.19pt;position:absolute;z-index:251682816" filled="f" stroked="f">
          <o:lock v:ext="edit" aspectratio="f"/>
          <v:textbox inset="0,0,0,0">
            <w:txbxContent>
              <w:p>
                <w:pPr>
                  <w:spacing w:before="20" w:line="228" w:lineRule="auto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-2"/>
                    <w:sz w:val="18"/>
                    <w:szCs w:val="18"/>
                  </w:rPr>
                  <w:t>5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3"/>
                    <w:sz w:val="18"/>
                    <w:szCs w:val="18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-2"/>
                    <w:sz w:val="18"/>
                    <w:szCs w:val="18"/>
                  </w:rPr>
                  <w:t>/  31</w:t>
                </w:r>
              </w:p>
            </w:txbxContent>
          </v:textbox>
        </v:shape>
      </w:pict>
    </w:r>
    <w:r>
      <w:rPr>
        <w:color w:val="005BAC"/>
        <w:sz w:val="18"/>
        <w:szCs w:val="18"/>
        <w14:textOutline w14:w="3265">
          <w14:solidFill>
            <w14:srgbClr w14:val="005BAC"/>
          </w14:solidFill>
          <w14:prstDash w14:val="solid"/>
          <w14:miter w14:lim="10"/>
        </w14:textOutline>
      </w:rPr>
      <w:t>请务必阅读正文后的声明及说明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54" w:line="203" w:lineRule="auto"/>
      <w:ind w:left="397"/>
      <w:rPr>
        <w:sz w:val="18"/>
        <w:szCs w:val="18"/>
      </w:rPr>
    </w:pPr>
    <w:r>
      <w:pict>
        <v:shape id="_x0000_s2052" style="width:496.2pt;height:0.5pt;margin-top:787.78pt;margin-left:49.56pt;mso-position-horizontal-relative:page;mso-position-vertical-relative:page;position:absolute;z-index:251659264" coordorigin="0,0" coordsize="9924,10" o:allowincell="f" path="m,9l9923,9l9923,l,l,9xe" filled="t" fillcolor="#005bc0" stroked="f"/>
      </w:pict>
    </w:r>
    <w:r>
      <w:rPr>
        <w:color w:val="005BAC"/>
        <w:sz w:val="18"/>
        <w:szCs w:val="18"/>
        <w14:textOutline w14:w="3265">
          <w14:solidFill>
            <w14:srgbClr w14:val="005BAC"/>
          </w14:solidFill>
          <w14:prstDash w14:val="solid"/>
          <w14:miter w14:lim="10"/>
        </w14:textOutline>
      </w:rPr>
      <w:t>请务必阅读正文后的声明及说明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54" w:line="203" w:lineRule="auto"/>
      <w:ind w:left="397"/>
      <w:rPr>
        <w:sz w:val="18"/>
        <w:szCs w:val="18"/>
      </w:rPr>
    </w:pPr>
    <w:r>
      <w:pict>
        <v:shape id="_x0000_s2054" style="width:496.2pt;height:0.5pt;margin-top:787.78pt;margin-left:49.56pt;mso-position-horizontal-relative:page;mso-position-vertical-relative:page;position:absolute;z-index:251660288" coordorigin="0,0" coordsize="9924,10" o:allowincell="f" path="m,9l9923,9l9923,l,l,9xe" filled="t" fillcolor="#005bc0" stroked="f"/>
      </w:pict>
    </w:r>
    <w:r>
      <w:rPr>
        <w:color w:val="005BAC"/>
        <w:sz w:val="18"/>
        <w:szCs w:val="18"/>
        <w14:textOutline w14:w="3265">
          <w14:solidFill>
            <w14:srgbClr w14:val="005BAC"/>
          </w14:solidFill>
          <w14:prstDash w14:val="solid"/>
          <w14:miter w14:lim="10"/>
        </w14:textOutline>
      </w:rPr>
      <w:t>请务必阅读正文后的声明及说明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53" w:line="214" w:lineRule="auto"/>
      <w:ind w:left="760"/>
      <w:rPr>
        <w:sz w:val="18"/>
        <w:szCs w:val="18"/>
      </w:rPr>
    </w:pPr>
    <w:r>
      <w:pict>
        <v:shape id="_x0000_s2055" style="width:496.2pt;height:0.5pt;margin-top:787.78pt;margin-left:49.56pt;mso-position-horizontal-relative:page;mso-position-vertical-relative:page;position:absolute;z-index:251661312" coordorigin="0,0" coordsize="9924,10" o:allowincell="f" path="m,9l9923,9l9923,l,l,9xe" filled="t" fillcolor="#005bc0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6.85pt;height:11.85pt;margin-top:3.33pt;margin-left:457pt;position:absolute;z-index:251662336" filled="f" stroked="f">
          <o:lock v:ext="edit" aspectratio="f"/>
          <v:textbox inset="0,0,0,0">
            <w:txbxContent>
              <w:p>
                <w:pPr>
                  <w:spacing w:before="20" w:line="228" w:lineRule="auto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-1"/>
                    <w:sz w:val="18"/>
                    <w:szCs w:val="18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1"/>
                    <w:sz w:val="18"/>
                    <w:szCs w:val="18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-1"/>
                    <w:sz w:val="18"/>
                    <w:szCs w:val="18"/>
                  </w:rPr>
                  <w:t>/  31</w:t>
                </w:r>
              </w:p>
            </w:txbxContent>
          </v:textbox>
        </v:shape>
      </w:pict>
    </w:r>
    <w:r>
      <w:rPr>
        <w:color w:val="005BAC"/>
        <w:sz w:val="18"/>
        <w:szCs w:val="18"/>
        <w14:textOutline w14:w="3265">
          <w14:solidFill>
            <w14:srgbClr w14:val="005BAC"/>
          </w14:solidFill>
          <w14:prstDash w14:val="solid"/>
          <w14:miter w14:lim="10"/>
        </w14:textOutline>
      </w:rPr>
      <w:t>请务必阅读正文后的声明及说明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53" w:line="214" w:lineRule="auto"/>
      <w:ind w:left="760"/>
      <w:rPr>
        <w:sz w:val="18"/>
        <w:szCs w:val="18"/>
      </w:rPr>
    </w:pPr>
    <w:r>
      <w:pict>
        <v:shape id="_x0000_s2057" style="width:496.2pt;height:0.5pt;margin-top:787.78pt;margin-left:49.56pt;mso-position-horizontal-relative:page;mso-position-vertical-relative:page;position:absolute;z-index:251663360" coordorigin="0,0" coordsize="9924,10" o:allowincell="f" path="m,9l9923,9l9923,l,l,9xe" filled="t" fillcolor="#005bc0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6.85pt;height:11.85pt;margin-top:3.33pt;margin-left:457pt;position:absolute;z-index:251664384" filled="f" stroked="f">
          <o:lock v:ext="edit" aspectratio="f"/>
          <v:textbox inset="0,0,0,0">
            <w:txbxContent>
              <w:p>
                <w:pPr>
                  <w:spacing w:before="20" w:line="228" w:lineRule="auto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-1"/>
                    <w:sz w:val="18"/>
                    <w:szCs w:val="18"/>
                  </w:rPr>
                  <w:t>2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1"/>
                    <w:sz w:val="18"/>
                    <w:szCs w:val="18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-1"/>
                    <w:sz w:val="18"/>
                    <w:szCs w:val="18"/>
                  </w:rPr>
                  <w:t>/  31</w:t>
                </w:r>
              </w:p>
            </w:txbxContent>
          </v:textbox>
        </v:shape>
      </w:pict>
    </w:r>
    <w:r>
      <w:rPr>
        <w:color w:val="005BAC"/>
        <w:sz w:val="18"/>
        <w:szCs w:val="18"/>
        <w14:textOutline w14:w="3265">
          <w14:solidFill>
            <w14:srgbClr w14:val="005BAC"/>
          </w14:solidFill>
          <w14:prstDash w14:val="solid"/>
          <w14:miter w14:lim="10"/>
        </w14:textOutline>
      </w:rPr>
      <w:t>请务必阅读正文后的声明及说明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53" w:line="214" w:lineRule="auto"/>
      <w:ind w:left="760"/>
      <w:rPr>
        <w:sz w:val="18"/>
        <w:szCs w:val="18"/>
      </w:rPr>
    </w:pPr>
    <w:r>
      <w:pict>
        <v:shape id="_x0000_s2059" style="width:496.2pt;height:0.5pt;margin-top:787.78pt;margin-left:49.56pt;mso-position-horizontal-relative:page;mso-position-vertical-relative:page;position:absolute;z-index:251665408" coordorigin="0,0" coordsize="9924,10" o:allowincell="f" path="m,9l9923,9l9923,l,l,9xe" filled="t" fillcolor="#005bc0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6.9pt;height:11.85pt;margin-top:3.33pt;margin-left:456.92pt;position:absolute;z-index:251666432" filled="f" stroked="f">
          <o:lock v:ext="edit" aspectratio="f"/>
          <v:textbox inset="0,0,0,0">
            <w:txbxContent>
              <w:p>
                <w:pPr>
                  <w:spacing w:before="20" w:line="228" w:lineRule="auto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-1"/>
                    <w:sz w:val="18"/>
                    <w:szCs w:val="18"/>
                  </w:rPr>
                  <w:t>3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2"/>
                    <w:sz w:val="18"/>
                    <w:szCs w:val="18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-1"/>
                    <w:sz w:val="18"/>
                    <w:szCs w:val="18"/>
                  </w:rPr>
                  <w:t>/  31</w:t>
                </w:r>
              </w:p>
            </w:txbxContent>
          </v:textbox>
        </v:shape>
      </w:pict>
    </w:r>
    <w:r>
      <w:rPr>
        <w:color w:val="005BAC"/>
        <w:sz w:val="18"/>
        <w:szCs w:val="18"/>
        <w14:textOutline w14:w="3265">
          <w14:solidFill>
            <w14:srgbClr w14:val="005BAC"/>
          </w14:solidFill>
          <w14:prstDash w14:val="solid"/>
          <w14:miter w14:lim="10"/>
        </w14:textOutline>
      </w:rPr>
      <w:t>请务必阅读正文后的声明及说明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53" w:line="214" w:lineRule="auto"/>
      <w:ind w:left="760"/>
      <w:rPr>
        <w:sz w:val="18"/>
        <w:szCs w:val="18"/>
      </w:rPr>
    </w:pPr>
    <w:r>
      <w:pict>
        <v:shape id="_x0000_s2061" style="width:496.2pt;height:0.5pt;margin-top:787.78pt;margin-left:49.56pt;mso-position-horizontal-relative:page;mso-position-vertical-relative:page;position:absolute;z-index:251667456" coordorigin="0,0" coordsize="9924,10" o:allowincell="f" path="m,9l9923,9l9923,l,l,9xe" filled="t" fillcolor="#005bc0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26.8pt;height:11.85pt;margin-top:3.33pt;margin-left:457pt;position:absolute;z-index:251668480" filled="f" stroked="f">
          <o:lock v:ext="edit" aspectratio="f"/>
          <v:textbox inset="0,0,0,0">
            <w:txbxContent>
              <w:p>
                <w:pPr>
                  <w:spacing w:before="20" w:line="228" w:lineRule="auto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-1"/>
                    <w:sz w:val="18"/>
                    <w:szCs w:val="18"/>
                  </w:rPr>
                  <w:t>4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1"/>
                    <w:sz w:val="18"/>
                    <w:szCs w:val="18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-1"/>
                    <w:sz w:val="18"/>
                    <w:szCs w:val="18"/>
                  </w:rPr>
                  <w:t>/  31</w:t>
                </w:r>
              </w:p>
            </w:txbxContent>
          </v:textbox>
        </v:shape>
      </w:pict>
    </w:r>
    <w:r>
      <w:rPr>
        <w:color w:val="005BAC"/>
        <w:sz w:val="18"/>
        <w:szCs w:val="18"/>
        <w14:textOutline w14:w="3265">
          <w14:solidFill>
            <w14:srgbClr w14:val="005BAC"/>
          </w14:solidFill>
          <w14:prstDash w14:val="solid"/>
          <w14:miter w14:lim="10"/>
        </w14:textOutline>
      </w:rPr>
      <w:t>请务必阅读正文后的声明及说明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53" w:line="214" w:lineRule="auto"/>
      <w:ind w:left="760"/>
      <w:rPr>
        <w:sz w:val="18"/>
        <w:szCs w:val="18"/>
      </w:rPr>
    </w:pPr>
    <w:r>
      <w:pict>
        <v:shape id="_x0000_s2063" style="width:496.2pt;height:0.5pt;margin-top:787.78pt;margin-left:49.56pt;mso-position-horizontal-relative:page;mso-position-vertical-relative:page;position:absolute;z-index:251669504" coordorigin="0,0" coordsize="9924,10" o:allowincell="f" path="m,9l9923,9l9923,l,l,9xe" filled="t" fillcolor="#005bc0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26.8pt;height:11.85pt;margin-top:3.33pt;margin-left:457pt;position:absolute;z-index:251670528" filled="f" stroked="f">
          <o:lock v:ext="edit" aspectratio="f"/>
          <v:textbox inset="0,0,0,0">
            <w:txbxContent>
              <w:p>
                <w:pPr>
                  <w:spacing w:before="20" w:line="228" w:lineRule="auto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-1"/>
                    <w:sz w:val="18"/>
                    <w:szCs w:val="18"/>
                  </w:rPr>
                  <w:t>4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1"/>
                    <w:sz w:val="18"/>
                    <w:szCs w:val="18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-1"/>
                    <w:sz w:val="18"/>
                    <w:szCs w:val="18"/>
                  </w:rPr>
                  <w:t>/  31</w:t>
                </w:r>
              </w:p>
            </w:txbxContent>
          </v:textbox>
        </v:shape>
      </w:pict>
    </w:r>
    <w:r>
      <w:rPr>
        <w:color w:val="005BAC"/>
        <w:sz w:val="18"/>
        <w:szCs w:val="18"/>
        <w14:textOutline w14:w="3265">
          <w14:solidFill>
            <w14:srgbClr w14:val="005BAC"/>
          </w14:solidFill>
          <w14:prstDash w14:val="solid"/>
          <w14:miter w14:lim="10"/>
        </w14:textOutline>
      </w:rPr>
      <w:t>请务必阅读正文后的声明及说明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before="53" w:line="214" w:lineRule="auto"/>
      <w:ind w:left="1022"/>
      <w:rPr>
        <w:sz w:val="18"/>
        <w:szCs w:val="18"/>
      </w:rPr>
    </w:pPr>
    <w:r>
      <w:pict>
        <v:shape id="_x0000_s2065" style="width:496.2pt;height:0.5pt;margin-top:787.78pt;margin-left:49.56pt;mso-position-horizontal-relative:page;mso-position-vertical-relative:page;position:absolute;z-index:251671552" coordorigin="0,0" coordsize="9924,10" o:allowincell="f" path="m,9l9923,9l9923,l,l,9xe" filled="t" fillcolor="#005bc0" stroked="f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26.75pt;height:11.85pt;margin-top:3.33pt;margin-left:470.19pt;position:absolute;z-index:251672576" filled="f" stroked="f">
          <o:lock v:ext="edit" aspectratio="f"/>
          <v:textbox inset="0,0,0,0">
            <w:txbxContent>
              <w:p>
                <w:pPr>
                  <w:spacing w:before="20" w:line="228" w:lineRule="auto"/>
                  <w:ind w:left="20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-2"/>
                    <w:sz w:val="18"/>
                    <w:szCs w:val="18"/>
                  </w:rPr>
                  <w:t>5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3"/>
                    <w:sz w:val="18"/>
                    <w:szCs w:val="18"/>
                  </w:rPr>
                  <w:t xml:space="preserve">  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  <w:color w:val="005BAC"/>
                    <w:spacing w:val="-2"/>
                    <w:sz w:val="18"/>
                    <w:szCs w:val="18"/>
                  </w:rPr>
                  <w:t>/  31</w:t>
                </w:r>
              </w:p>
            </w:txbxContent>
          </v:textbox>
        </v:shape>
      </w:pict>
    </w:r>
    <w:r>
      <w:rPr>
        <w:color w:val="005BAC"/>
        <w:sz w:val="18"/>
        <w:szCs w:val="18"/>
        <w14:textOutline w14:w="3265">
          <w14:solidFill>
            <w14:srgbClr w14:val="005BAC"/>
          </w14:solidFill>
          <w14:prstDash w14:val="solid"/>
          <w14:miter w14:lim="10"/>
        </w14:textOutline>
      </w:rPr>
      <w:t>请务必阅读正文后的声明及说明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629" w:lineRule="exact"/>
      <w:ind w:firstLine="29"/>
    </w:pPr>
    <w:r>
      <w:pict>
        <v:rect id="_x0000_s2049" style="width:496.2pt;height:0.75pt;margin-top:60.36pt;margin-left:49.56pt;mso-position-horizontal-relative:page;mso-position-vertical-relative:page;position:absolute;z-index:251658240" o:allowincell="f" filled="t" fillcolor="#005bac" stroked="f"/>
      </w:pict>
    </w:r>
    <w:r>
      <w:rPr>
        <w:position w:val="-12"/>
      </w:rPr>
      <w:drawing>
        <wp:inline distT="0" distB="0" distL="0" distR="0">
          <wp:extent cx="2743199" cy="399415"/>
          <wp:effectExtent l="0" t="0" r="0" b="0"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743199" cy="399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tabs>
        <w:tab w:val="left" w:pos="291"/>
      </w:tabs>
      <w:spacing w:line="232" w:lineRule="auto"/>
      <w:ind w:left="262"/>
      <w:rPr>
        <w:sz w:val="24"/>
        <w:szCs w:val="24"/>
      </w:rPr>
    </w:pPr>
    <w:bookmarkStart w:id="5" w:name="bookmark12_0"/>
    <w:bookmarkEnd w:id="5"/>
    <w:bookmarkStart w:id="6" w:name="bookmark13_0"/>
    <w:bookmarkEnd w:id="6"/>
    <w:bookmarkStart w:id="7" w:name="bookmark14_0"/>
    <w:bookmarkEnd w:id="7"/>
    <w:r>
      <w:rPr>
        <w:color w:val="005BAC"/>
        <w:sz w:val="24"/>
        <w:szCs w:val="24"/>
        <w:u w:val="single" w:color="auto"/>
      </w:rPr>
      <w:tab/>
    </w:r>
    <w:r>
      <w:rPr>
        <w:color w:val="005BAC"/>
        <w:position w:val="-6"/>
        <w:sz w:val="24"/>
        <w:szCs w:val="24"/>
      </w:rPr>
      <w:drawing>
        <wp:inline distT="0" distB="0" distL="0" distR="0">
          <wp:extent cx="2743760" cy="393065"/>
          <wp:effectExtent l="0" t="0" r="0" b="0"/>
          <wp:docPr id="1352975984" name="IM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2975984" name="IM 2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743760" cy="393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5BAC"/>
        <w:spacing w:val="2"/>
        <w:sz w:val="24"/>
        <w:szCs w:val="24"/>
        <w:u w:val="single" w:color="auto"/>
      </w:rPr>
      <w:t xml:space="preserve">                              </w:t>
    </w:r>
    <w:r>
      <w:rPr>
        <w:color w:val="005BAC"/>
        <w:spacing w:val="-1"/>
        <w:sz w:val="24"/>
        <w:szCs w:val="24"/>
        <w:u w:val="single" w:color="005BAC"/>
        <w14:textOutline w14:w="4354">
          <w14:solidFill>
            <w14:srgbClr w14:val="005BAC"/>
          </w14:solidFill>
          <w14:prstDash w14:val="solid"/>
          <w14:miter w14:lim="10"/>
        </w14:textOutline>
      </w:rPr>
      <w:t>建筑装饰</w:t>
    </w:r>
    <w:r>
      <w:rPr>
        <w:rFonts w:ascii="Times New Roman" w:eastAsia="Times New Roman" w:hAnsi="Times New Roman" w:cs="Times New Roman"/>
        <w:b/>
        <w:bCs/>
        <w:color w:val="005BAC"/>
        <w:spacing w:val="-1"/>
        <w:sz w:val="24"/>
        <w:szCs w:val="24"/>
        <w:u w:val="single" w:color="auto"/>
      </w:rPr>
      <w:t>/</w:t>
    </w:r>
    <w:r>
      <w:rPr>
        <w:color w:val="005BAC"/>
        <w:spacing w:val="-1"/>
        <w:sz w:val="24"/>
        <w:szCs w:val="24"/>
        <w:u w:val="single" w:color="005BAC"/>
        <w14:textOutline w14:w="4354">
          <w14:solidFill>
            <w14:srgbClr w14:val="005BAC"/>
          </w14:solidFill>
          <w14:prstDash w14:val="solid"/>
          <w14:miter w14:lim="10"/>
        </w14:textOutline>
      </w:rPr>
      <w:t>行业</w:t>
    </w:r>
    <w:r>
      <w:rPr>
        <w:color w:val="005BAC"/>
        <w:spacing w:val="-1"/>
        <w:sz w:val="24"/>
        <w:szCs w:val="24"/>
        <w14:textOutline w14:w="4354">
          <w14:solidFill>
            <w14:srgbClr w14:val="005BAC"/>
          </w14:solidFill>
          <w14:prstDash w14:val="solid"/>
          <w14:miter w14:lim="10"/>
        </w14:textOutline>
      </w:rPr>
      <w:t>深度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tabs>
        <w:tab w:val="left" w:pos="291"/>
      </w:tabs>
      <w:spacing w:line="232" w:lineRule="auto"/>
      <w:ind w:left="262"/>
      <w:rPr>
        <w:sz w:val="24"/>
        <w:szCs w:val="24"/>
      </w:rPr>
    </w:pPr>
    <w:bookmarkStart w:id="8" w:name="bookmark12_1"/>
    <w:bookmarkEnd w:id="8"/>
    <w:bookmarkStart w:id="9" w:name="bookmark13_1"/>
    <w:bookmarkEnd w:id="9"/>
    <w:bookmarkStart w:id="10" w:name="bookmark14_1"/>
    <w:bookmarkEnd w:id="10"/>
    <w:r>
      <w:rPr>
        <w:color w:val="005BAC"/>
        <w:sz w:val="24"/>
        <w:szCs w:val="24"/>
        <w:u w:val="single" w:color="auto"/>
      </w:rPr>
      <w:tab/>
    </w:r>
    <w:r>
      <w:rPr>
        <w:color w:val="005BAC"/>
        <w:position w:val="-6"/>
        <w:sz w:val="24"/>
        <w:szCs w:val="24"/>
      </w:rPr>
      <w:drawing>
        <wp:inline distT="0" distB="0" distL="0" distR="0">
          <wp:extent cx="2743760" cy="393065"/>
          <wp:effectExtent l="0" t="0" r="0" b="0"/>
          <wp:docPr id="325235504" name="IM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235504" name="IM 2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743760" cy="393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5BAC"/>
        <w:spacing w:val="2"/>
        <w:sz w:val="24"/>
        <w:szCs w:val="24"/>
        <w:u w:val="single" w:color="auto"/>
      </w:rPr>
      <w:t xml:space="preserve">                              </w:t>
    </w:r>
    <w:r>
      <w:rPr>
        <w:color w:val="005BAC"/>
        <w:spacing w:val="-1"/>
        <w:sz w:val="24"/>
        <w:szCs w:val="24"/>
        <w:u w:val="single" w:color="005BAC"/>
        <w14:textOutline w14:w="4354">
          <w14:solidFill>
            <w14:srgbClr w14:val="005BAC"/>
          </w14:solidFill>
          <w14:prstDash w14:val="solid"/>
          <w14:miter w14:lim="10"/>
        </w14:textOutline>
      </w:rPr>
      <w:t>建筑装饰</w:t>
    </w:r>
    <w:r>
      <w:rPr>
        <w:rFonts w:ascii="Times New Roman" w:eastAsia="Times New Roman" w:hAnsi="Times New Roman" w:cs="Times New Roman"/>
        <w:b/>
        <w:bCs/>
        <w:color w:val="005BAC"/>
        <w:spacing w:val="-1"/>
        <w:sz w:val="24"/>
        <w:szCs w:val="24"/>
        <w:u w:val="single" w:color="auto"/>
      </w:rPr>
      <w:t>/</w:t>
    </w:r>
    <w:r>
      <w:rPr>
        <w:color w:val="005BAC"/>
        <w:spacing w:val="-1"/>
        <w:sz w:val="24"/>
        <w:szCs w:val="24"/>
        <w:u w:val="single" w:color="005BAC"/>
        <w14:textOutline w14:w="4354">
          <w14:solidFill>
            <w14:srgbClr w14:val="005BAC"/>
          </w14:solidFill>
          <w14:prstDash w14:val="solid"/>
          <w14:miter w14:lim="10"/>
        </w14:textOutline>
      </w:rPr>
      <w:t>行业</w:t>
    </w:r>
    <w:r>
      <w:rPr>
        <w:color w:val="005BAC"/>
        <w:spacing w:val="-1"/>
        <w:sz w:val="24"/>
        <w:szCs w:val="24"/>
        <w14:textOutline w14:w="4354">
          <w14:solidFill>
            <w14:srgbClr w14:val="005BAC"/>
          </w14:solidFill>
          <w14:prstDash w14:val="solid"/>
          <w14:miter w14:lim="10"/>
        </w14:textOutline>
      </w:rPr>
      <w:t>深度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tabs>
        <w:tab w:val="left" w:pos="291"/>
      </w:tabs>
      <w:spacing w:line="232" w:lineRule="auto"/>
      <w:ind w:left="262"/>
      <w:rPr>
        <w:sz w:val="24"/>
        <w:szCs w:val="24"/>
      </w:rPr>
    </w:pPr>
    <w:bookmarkStart w:id="11" w:name="bookmark12_2"/>
    <w:bookmarkEnd w:id="11"/>
    <w:bookmarkStart w:id="12" w:name="bookmark13_2"/>
    <w:bookmarkEnd w:id="12"/>
    <w:bookmarkStart w:id="13" w:name="bookmark14_2"/>
    <w:bookmarkEnd w:id="13"/>
    <w:r>
      <w:rPr>
        <w:color w:val="005BAC"/>
        <w:sz w:val="24"/>
        <w:szCs w:val="24"/>
        <w:u w:val="single" w:color="auto"/>
      </w:rPr>
      <w:tab/>
    </w:r>
    <w:r>
      <w:rPr>
        <w:color w:val="005BAC"/>
        <w:position w:val="-6"/>
        <w:sz w:val="24"/>
        <w:szCs w:val="24"/>
      </w:rPr>
      <w:drawing>
        <wp:inline distT="0" distB="0" distL="0" distR="0">
          <wp:extent cx="2743760" cy="393065"/>
          <wp:effectExtent l="0" t="0" r="0" b="0"/>
          <wp:docPr id="468063228" name="IM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063228" name="IM 2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743760" cy="393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5BAC"/>
        <w:spacing w:val="2"/>
        <w:sz w:val="24"/>
        <w:szCs w:val="24"/>
        <w:u w:val="single" w:color="auto"/>
      </w:rPr>
      <w:t xml:space="preserve">                              </w:t>
    </w:r>
    <w:r>
      <w:rPr>
        <w:color w:val="005BAC"/>
        <w:spacing w:val="-1"/>
        <w:sz w:val="24"/>
        <w:szCs w:val="24"/>
        <w:u w:val="single" w:color="005BAC"/>
        <w14:textOutline w14:w="4354">
          <w14:solidFill>
            <w14:srgbClr w14:val="005BAC"/>
          </w14:solidFill>
          <w14:prstDash w14:val="solid"/>
          <w14:miter w14:lim="10"/>
        </w14:textOutline>
      </w:rPr>
      <w:t>建筑装饰</w:t>
    </w:r>
    <w:r>
      <w:rPr>
        <w:rFonts w:ascii="Times New Roman" w:eastAsia="Times New Roman" w:hAnsi="Times New Roman" w:cs="Times New Roman"/>
        <w:b/>
        <w:bCs/>
        <w:color w:val="005BAC"/>
        <w:spacing w:val="-1"/>
        <w:sz w:val="24"/>
        <w:szCs w:val="24"/>
        <w:u w:val="single" w:color="auto"/>
      </w:rPr>
      <w:t>/</w:t>
    </w:r>
    <w:r>
      <w:rPr>
        <w:color w:val="005BAC"/>
        <w:spacing w:val="-1"/>
        <w:sz w:val="24"/>
        <w:szCs w:val="24"/>
        <w:u w:val="single" w:color="005BAC"/>
        <w14:textOutline w14:w="4354">
          <w14:solidFill>
            <w14:srgbClr w14:val="005BAC"/>
          </w14:solidFill>
          <w14:prstDash w14:val="solid"/>
          <w14:miter w14:lim="10"/>
        </w14:textOutline>
      </w:rPr>
      <w:t>行业</w:t>
    </w:r>
    <w:r>
      <w:rPr>
        <w:color w:val="005BAC"/>
        <w:spacing w:val="-1"/>
        <w:sz w:val="24"/>
        <w:szCs w:val="24"/>
        <w14:textOutline w14:w="4354">
          <w14:solidFill>
            <w14:srgbClr w14:val="005BAC"/>
          </w14:solidFill>
          <w14:prstDash w14:val="solid"/>
          <w14:miter w14:lim="10"/>
        </w14:textOutline>
      </w:rPr>
      <w:t>深度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tabs>
        <w:tab w:val="left" w:pos="291"/>
      </w:tabs>
      <w:spacing w:line="232" w:lineRule="auto"/>
      <w:ind w:left="262"/>
      <w:rPr>
        <w:sz w:val="24"/>
        <w:szCs w:val="24"/>
      </w:rPr>
    </w:pPr>
    <w:bookmarkStart w:id="14" w:name="bookmark12_3"/>
    <w:bookmarkEnd w:id="14"/>
    <w:bookmarkStart w:id="15" w:name="bookmark13_3"/>
    <w:bookmarkEnd w:id="15"/>
    <w:bookmarkStart w:id="16" w:name="bookmark14_3"/>
    <w:bookmarkEnd w:id="16"/>
    <w:r>
      <w:rPr>
        <w:color w:val="005BAC"/>
        <w:sz w:val="24"/>
        <w:szCs w:val="24"/>
        <w:u w:val="single" w:color="auto"/>
      </w:rPr>
      <w:tab/>
    </w:r>
    <w:r>
      <w:rPr>
        <w:color w:val="005BAC"/>
        <w:position w:val="-6"/>
        <w:sz w:val="24"/>
        <w:szCs w:val="24"/>
      </w:rPr>
      <w:drawing>
        <wp:inline distT="0" distB="0" distL="0" distR="0">
          <wp:extent cx="2743760" cy="393065"/>
          <wp:effectExtent l="0" t="0" r="0" b="0"/>
          <wp:docPr id="1752960564" name="IM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960564" name="IM 2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743760" cy="393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5BAC"/>
        <w:spacing w:val="2"/>
        <w:sz w:val="24"/>
        <w:szCs w:val="24"/>
        <w:u w:val="single" w:color="auto"/>
      </w:rPr>
      <w:t xml:space="preserve">                              </w:t>
    </w:r>
    <w:r>
      <w:rPr>
        <w:color w:val="005BAC"/>
        <w:spacing w:val="-1"/>
        <w:sz w:val="24"/>
        <w:szCs w:val="24"/>
        <w:u w:val="single" w:color="005BAC"/>
        <w14:textOutline w14:w="4354">
          <w14:solidFill>
            <w14:srgbClr w14:val="005BAC"/>
          </w14:solidFill>
          <w14:prstDash w14:val="solid"/>
          <w14:miter w14:lim="10"/>
        </w14:textOutline>
      </w:rPr>
      <w:t>建筑装饰</w:t>
    </w:r>
    <w:r>
      <w:rPr>
        <w:rFonts w:ascii="Times New Roman" w:eastAsia="Times New Roman" w:hAnsi="Times New Roman" w:cs="Times New Roman"/>
        <w:b/>
        <w:bCs/>
        <w:color w:val="005BAC"/>
        <w:spacing w:val="-1"/>
        <w:sz w:val="24"/>
        <w:szCs w:val="24"/>
        <w:u w:val="single" w:color="auto"/>
      </w:rPr>
      <w:t>/</w:t>
    </w:r>
    <w:r>
      <w:rPr>
        <w:color w:val="005BAC"/>
        <w:spacing w:val="-1"/>
        <w:sz w:val="24"/>
        <w:szCs w:val="24"/>
        <w:u w:val="single" w:color="005BAC"/>
        <w14:textOutline w14:w="4354">
          <w14:solidFill>
            <w14:srgbClr w14:val="005BAC"/>
          </w14:solidFill>
          <w14:prstDash w14:val="solid"/>
          <w14:miter w14:lim="10"/>
        </w14:textOutline>
      </w:rPr>
      <w:t>行业</w:t>
    </w:r>
    <w:r>
      <w:rPr>
        <w:color w:val="005BAC"/>
        <w:spacing w:val="-1"/>
        <w:sz w:val="24"/>
        <w:szCs w:val="24"/>
        <w14:textOutline w14:w="4354">
          <w14:solidFill>
            <w14:srgbClr w14:val="005BAC"/>
          </w14:solidFill>
          <w14:prstDash w14:val="solid"/>
          <w14:miter w14:lim="10"/>
        </w14:textOutline>
      </w:rPr>
      <w:t>深度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tabs>
        <w:tab w:val="left" w:pos="291"/>
      </w:tabs>
      <w:spacing w:line="232" w:lineRule="auto"/>
      <w:ind w:left="262"/>
      <w:rPr>
        <w:sz w:val="24"/>
        <w:szCs w:val="24"/>
      </w:rPr>
    </w:pPr>
    <w:bookmarkStart w:id="17" w:name="bookmark12_0_0"/>
    <w:bookmarkEnd w:id="17"/>
    <w:bookmarkStart w:id="18" w:name="bookmark13_0_0"/>
    <w:bookmarkEnd w:id="18"/>
    <w:bookmarkStart w:id="19" w:name="bookmark14_0_0"/>
    <w:bookmarkEnd w:id="19"/>
    <w:r>
      <w:rPr>
        <w:color w:val="005BAC"/>
        <w:sz w:val="24"/>
        <w:szCs w:val="24"/>
        <w:u w:val="single" w:color="auto"/>
      </w:rPr>
      <w:tab/>
    </w:r>
    <w:r>
      <w:rPr>
        <w:color w:val="005BAC"/>
        <w:position w:val="-6"/>
        <w:sz w:val="24"/>
        <w:szCs w:val="24"/>
      </w:rPr>
      <w:drawing>
        <wp:inline distT="0" distB="0" distL="0" distR="0">
          <wp:extent cx="2743760" cy="393065"/>
          <wp:effectExtent l="0" t="0" r="0" b="0"/>
          <wp:docPr id="2106701496" name="IM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701496" name="IM 2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743760" cy="393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5BAC"/>
        <w:spacing w:val="2"/>
        <w:sz w:val="24"/>
        <w:szCs w:val="24"/>
        <w:u w:val="single" w:color="auto"/>
      </w:rPr>
      <w:t xml:space="preserve">                              </w:t>
    </w:r>
    <w:r>
      <w:rPr>
        <w:color w:val="005BAC"/>
        <w:spacing w:val="-1"/>
        <w:sz w:val="24"/>
        <w:szCs w:val="24"/>
        <w:u w:val="single" w:color="005BAC"/>
        <w14:textOutline w14:w="4354">
          <w14:solidFill>
            <w14:srgbClr w14:val="005BAC"/>
          </w14:solidFill>
          <w14:prstDash w14:val="solid"/>
          <w14:miter w14:lim="10"/>
        </w14:textOutline>
      </w:rPr>
      <w:t>建筑装饰</w:t>
    </w:r>
    <w:r>
      <w:rPr>
        <w:rFonts w:ascii="Times New Roman" w:eastAsia="Times New Roman" w:hAnsi="Times New Roman" w:cs="Times New Roman"/>
        <w:b/>
        <w:bCs/>
        <w:color w:val="005BAC"/>
        <w:spacing w:val="-1"/>
        <w:sz w:val="24"/>
        <w:szCs w:val="24"/>
        <w:u w:val="single" w:color="auto"/>
      </w:rPr>
      <w:t>/</w:t>
    </w:r>
    <w:r>
      <w:rPr>
        <w:color w:val="005BAC"/>
        <w:spacing w:val="-1"/>
        <w:sz w:val="24"/>
        <w:szCs w:val="24"/>
        <w:u w:val="single" w:color="005BAC"/>
        <w14:textOutline w14:w="4354">
          <w14:solidFill>
            <w14:srgbClr w14:val="005BAC"/>
          </w14:solidFill>
          <w14:prstDash w14:val="solid"/>
          <w14:miter w14:lim="10"/>
        </w14:textOutline>
      </w:rPr>
      <w:t>行业</w:t>
    </w:r>
    <w:r>
      <w:rPr>
        <w:color w:val="005BAC"/>
        <w:spacing w:val="-1"/>
        <w:sz w:val="24"/>
        <w:szCs w:val="24"/>
        <w14:textOutline w14:w="4354">
          <w14:solidFill>
            <w14:srgbClr w14:val="005BAC"/>
          </w14:solidFill>
          <w14:prstDash w14:val="solid"/>
          <w14:miter w14:lim="10"/>
        </w14:textOutline>
      </w:rPr>
      <w:t>深度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629" w:lineRule="exact"/>
      <w:ind w:firstLine="29"/>
    </w:pPr>
    <w:r>
      <w:pict>
        <v:rect id="_x0000_s2051" style="width:496.2pt;height:0.75pt;margin-top:60.36pt;margin-left:49.56pt;mso-position-horizontal-relative:page;mso-position-vertical-relative:page;position:absolute;z-index:251659264" o:allowincell="f" filled="t" fillcolor="#005bac" stroked="f"/>
      </w:pict>
    </w:r>
    <w:r>
      <w:rPr>
        <w:position w:val="-12"/>
      </w:rPr>
      <w:drawing>
        <wp:inline distT="0" distB="0" distL="0" distR="0">
          <wp:extent cx="2743199" cy="399415"/>
          <wp:effectExtent l="0" t="0" r="0" b="0"/>
          <wp:docPr id="492251384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251384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743199" cy="399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629" w:lineRule="exact"/>
      <w:ind w:firstLine="29"/>
    </w:pPr>
    <w:r>
      <w:pict>
        <v:rect id="_x0000_s2053" style="width:496.2pt;height:0.75pt;margin-top:60.36pt;margin-left:49.56pt;mso-position-horizontal-relative:page;mso-position-vertical-relative:page;position:absolute;z-index:251660288" o:allowincell="f" filled="t" fillcolor="#005bac" stroked="f"/>
      </w:pict>
    </w:r>
    <w:r>
      <w:rPr>
        <w:position w:val="-12"/>
      </w:rPr>
      <w:drawing>
        <wp:inline distT="0" distB="0" distL="0" distR="0">
          <wp:extent cx="2743199" cy="399415"/>
          <wp:effectExtent l="0" t="0" r="0" b="0"/>
          <wp:docPr id="1488113229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113229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743199" cy="399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tabs>
        <w:tab w:val="left" w:pos="29"/>
      </w:tabs>
      <w:spacing w:line="232" w:lineRule="auto"/>
      <w:rPr>
        <w:sz w:val="24"/>
        <w:szCs w:val="24"/>
      </w:rPr>
    </w:pPr>
    <w:r>
      <w:rPr>
        <w:color w:val="005BAC"/>
        <w:sz w:val="24"/>
        <w:szCs w:val="24"/>
        <w:u w:val="single" w:color="auto"/>
      </w:rPr>
      <w:tab/>
    </w:r>
    <w:r>
      <w:rPr>
        <w:color w:val="005BAC"/>
        <w:position w:val="-6"/>
        <w:sz w:val="24"/>
        <w:szCs w:val="24"/>
      </w:rPr>
      <w:drawing>
        <wp:inline distT="0" distB="0" distL="0" distR="0">
          <wp:extent cx="2743707" cy="393065"/>
          <wp:effectExtent l="0" t="0" r="0" b="0"/>
          <wp:docPr id="22" name="IM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 2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743707" cy="393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5BAC"/>
        <w:spacing w:val="2"/>
        <w:sz w:val="24"/>
        <w:szCs w:val="24"/>
        <w:u w:val="single" w:color="auto"/>
      </w:rPr>
      <w:t xml:space="preserve">                              </w:t>
    </w:r>
    <w:r>
      <w:rPr>
        <w:color w:val="005BAC"/>
        <w:spacing w:val="-1"/>
        <w:sz w:val="24"/>
        <w:szCs w:val="24"/>
        <w:u w:val="single" w:color="005BAC"/>
        <w14:textOutline w14:w="4354">
          <w14:solidFill>
            <w14:srgbClr w14:val="005BAC"/>
          </w14:solidFill>
          <w14:prstDash w14:val="solid"/>
          <w14:miter w14:lim="10"/>
        </w14:textOutline>
      </w:rPr>
      <w:t>建筑装饰</w:t>
    </w:r>
    <w:r>
      <w:rPr>
        <w:rFonts w:ascii="Times New Roman" w:eastAsia="Times New Roman" w:hAnsi="Times New Roman" w:cs="Times New Roman"/>
        <w:b/>
        <w:bCs/>
        <w:color w:val="005BAC"/>
        <w:spacing w:val="-1"/>
        <w:sz w:val="24"/>
        <w:szCs w:val="24"/>
        <w:u w:val="single" w:color="auto"/>
      </w:rPr>
      <w:t>/</w:t>
    </w:r>
    <w:r>
      <w:rPr>
        <w:color w:val="005BAC"/>
        <w:spacing w:val="-1"/>
        <w:sz w:val="24"/>
        <w:szCs w:val="24"/>
        <w:u w:val="single" w:color="005BAC"/>
        <w14:textOutline w14:w="4354">
          <w14:solidFill>
            <w14:srgbClr w14:val="005BAC"/>
          </w14:solidFill>
          <w14:prstDash w14:val="solid"/>
          <w14:miter w14:lim="10"/>
        </w14:textOutline>
      </w:rPr>
      <w:t>行业</w:t>
    </w:r>
    <w:r>
      <w:rPr>
        <w:color w:val="005BAC"/>
        <w:spacing w:val="-1"/>
        <w:sz w:val="24"/>
        <w:szCs w:val="24"/>
        <w14:textOutline w14:w="4354">
          <w14:solidFill>
            <w14:srgbClr w14:val="005BAC"/>
          </w14:solidFill>
          <w14:prstDash w14:val="solid"/>
          <w14:miter w14:lim="10"/>
        </w14:textOutline>
      </w:rPr>
      <w:t>深度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tabs>
        <w:tab w:val="left" w:pos="29"/>
      </w:tabs>
      <w:spacing w:line="232" w:lineRule="auto"/>
      <w:rPr>
        <w:sz w:val="24"/>
        <w:szCs w:val="24"/>
      </w:rPr>
    </w:pPr>
    <w:r>
      <w:rPr>
        <w:color w:val="005BAC"/>
        <w:sz w:val="24"/>
        <w:szCs w:val="24"/>
        <w:u w:val="single" w:color="auto"/>
      </w:rPr>
      <w:tab/>
    </w:r>
    <w:r>
      <w:rPr>
        <w:color w:val="005BAC"/>
        <w:position w:val="-6"/>
        <w:sz w:val="24"/>
        <w:szCs w:val="24"/>
      </w:rPr>
      <w:drawing>
        <wp:inline distT="0" distB="0" distL="0" distR="0">
          <wp:extent cx="2743707" cy="393065"/>
          <wp:effectExtent l="0" t="0" r="0" b="0"/>
          <wp:docPr id="2118844751" name="IM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844751" name="IM 2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743707" cy="393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5BAC"/>
        <w:spacing w:val="2"/>
        <w:sz w:val="24"/>
        <w:szCs w:val="24"/>
        <w:u w:val="single" w:color="auto"/>
      </w:rPr>
      <w:t xml:space="preserve">                              </w:t>
    </w:r>
    <w:r>
      <w:rPr>
        <w:color w:val="005BAC"/>
        <w:spacing w:val="-1"/>
        <w:sz w:val="24"/>
        <w:szCs w:val="24"/>
        <w:u w:val="single" w:color="005BAC"/>
        <w14:textOutline w14:w="4354">
          <w14:solidFill>
            <w14:srgbClr w14:val="005BAC"/>
          </w14:solidFill>
          <w14:prstDash w14:val="solid"/>
          <w14:miter w14:lim="10"/>
        </w14:textOutline>
      </w:rPr>
      <w:t>建筑装饰</w:t>
    </w:r>
    <w:r>
      <w:rPr>
        <w:rFonts w:ascii="Times New Roman" w:eastAsia="Times New Roman" w:hAnsi="Times New Roman" w:cs="Times New Roman"/>
        <w:b/>
        <w:bCs/>
        <w:color w:val="005BAC"/>
        <w:spacing w:val="-1"/>
        <w:sz w:val="24"/>
        <w:szCs w:val="24"/>
        <w:u w:val="single" w:color="auto"/>
      </w:rPr>
      <w:t>/</w:t>
    </w:r>
    <w:r>
      <w:rPr>
        <w:color w:val="005BAC"/>
        <w:spacing w:val="-1"/>
        <w:sz w:val="24"/>
        <w:szCs w:val="24"/>
        <w:u w:val="single" w:color="005BAC"/>
        <w14:textOutline w14:w="4354">
          <w14:solidFill>
            <w14:srgbClr w14:val="005BAC"/>
          </w14:solidFill>
          <w14:prstDash w14:val="solid"/>
          <w14:miter w14:lim="10"/>
        </w14:textOutline>
      </w:rPr>
      <w:t>行业</w:t>
    </w:r>
    <w:r>
      <w:rPr>
        <w:color w:val="005BAC"/>
        <w:spacing w:val="-1"/>
        <w:sz w:val="24"/>
        <w:szCs w:val="24"/>
        <w14:textOutline w14:w="4354">
          <w14:solidFill>
            <w14:srgbClr w14:val="005BAC"/>
          </w14:solidFill>
          <w14:prstDash w14:val="solid"/>
          <w14:miter w14:lim="10"/>
        </w14:textOutline>
      </w:rPr>
      <w:t>深度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tabs>
        <w:tab w:val="left" w:pos="29"/>
      </w:tabs>
      <w:spacing w:line="232" w:lineRule="auto"/>
      <w:rPr>
        <w:sz w:val="24"/>
        <w:szCs w:val="24"/>
      </w:rPr>
    </w:pPr>
    <w:r>
      <w:rPr>
        <w:color w:val="005BAC"/>
        <w:sz w:val="24"/>
        <w:szCs w:val="24"/>
        <w:u w:val="single" w:color="auto"/>
      </w:rPr>
      <w:tab/>
    </w:r>
    <w:r>
      <w:rPr>
        <w:color w:val="005BAC"/>
        <w:position w:val="-6"/>
        <w:sz w:val="24"/>
        <w:szCs w:val="24"/>
      </w:rPr>
      <w:drawing>
        <wp:inline distT="0" distB="0" distL="0" distR="0">
          <wp:extent cx="2743707" cy="393065"/>
          <wp:effectExtent l="0" t="0" r="0" b="0"/>
          <wp:docPr id="1630623544" name="IM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623544" name="IM 2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743707" cy="393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5BAC"/>
        <w:spacing w:val="2"/>
        <w:sz w:val="24"/>
        <w:szCs w:val="24"/>
        <w:u w:val="single" w:color="auto"/>
      </w:rPr>
      <w:t xml:space="preserve">                              </w:t>
    </w:r>
    <w:r>
      <w:rPr>
        <w:color w:val="005BAC"/>
        <w:spacing w:val="-1"/>
        <w:sz w:val="24"/>
        <w:szCs w:val="24"/>
        <w:u w:val="single" w:color="005BAC"/>
        <w14:textOutline w14:w="4354">
          <w14:solidFill>
            <w14:srgbClr w14:val="005BAC"/>
          </w14:solidFill>
          <w14:prstDash w14:val="solid"/>
          <w14:miter w14:lim="10"/>
        </w14:textOutline>
      </w:rPr>
      <w:t>建筑装饰</w:t>
    </w:r>
    <w:r>
      <w:rPr>
        <w:rFonts w:ascii="Times New Roman" w:eastAsia="Times New Roman" w:hAnsi="Times New Roman" w:cs="Times New Roman"/>
        <w:b/>
        <w:bCs/>
        <w:color w:val="005BAC"/>
        <w:spacing w:val="-1"/>
        <w:sz w:val="24"/>
        <w:szCs w:val="24"/>
        <w:u w:val="single" w:color="auto"/>
      </w:rPr>
      <w:t>/</w:t>
    </w:r>
    <w:r>
      <w:rPr>
        <w:color w:val="005BAC"/>
        <w:spacing w:val="-1"/>
        <w:sz w:val="24"/>
        <w:szCs w:val="24"/>
        <w:u w:val="single" w:color="005BAC"/>
        <w14:textOutline w14:w="4354">
          <w14:solidFill>
            <w14:srgbClr w14:val="005BAC"/>
          </w14:solidFill>
          <w14:prstDash w14:val="solid"/>
          <w14:miter w14:lim="10"/>
        </w14:textOutline>
      </w:rPr>
      <w:t>行业</w:t>
    </w:r>
    <w:r>
      <w:rPr>
        <w:color w:val="005BAC"/>
        <w:spacing w:val="-1"/>
        <w:sz w:val="24"/>
        <w:szCs w:val="24"/>
        <w14:textOutline w14:w="4354">
          <w14:solidFill>
            <w14:srgbClr w14:val="005BAC"/>
          </w14:solidFill>
          <w14:prstDash w14:val="solid"/>
          <w14:miter w14:lim="10"/>
        </w14:textOutline>
      </w:rPr>
      <w:t>深度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tabs>
        <w:tab w:val="left" w:pos="29"/>
      </w:tabs>
      <w:spacing w:line="232" w:lineRule="auto"/>
      <w:rPr>
        <w:sz w:val="24"/>
        <w:szCs w:val="24"/>
      </w:rPr>
    </w:pPr>
    <w:r>
      <w:rPr>
        <w:color w:val="005BAC"/>
        <w:sz w:val="24"/>
        <w:szCs w:val="24"/>
        <w:u w:val="single" w:color="auto"/>
      </w:rPr>
      <w:tab/>
    </w:r>
    <w:r>
      <w:rPr>
        <w:color w:val="005BAC"/>
        <w:position w:val="-6"/>
        <w:sz w:val="24"/>
        <w:szCs w:val="24"/>
      </w:rPr>
      <w:drawing>
        <wp:inline distT="0" distB="0" distL="0" distR="0">
          <wp:extent cx="2743707" cy="393065"/>
          <wp:effectExtent l="0" t="0" r="0" b="0"/>
          <wp:docPr id="1899873581" name="IM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9873581" name="IM 2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743707" cy="393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5BAC"/>
        <w:spacing w:val="2"/>
        <w:sz w:val="24"/>
        <w:szCs w:val="24"/>
        <w:u w:val="single" w:color="auto"/>
      </w:rPr>
      <w:t xml:space="preserve">                              </w:t>
    </w:r>
    <w:r>
      <w:rPr>
        <w:color w:val="005BAC"/>
        <w:spacing w:val="-1"/>
        <w:sz w:val="24"/>
        <w:szCs w:val="24"/>
        <w:u w:val="single" w:color="005BAC"/>
        <w14:textOutline w14:w="4354">
          <w14:solidFill>
            <w14:srgbClr w14:val="005BAC"/>
          </w14:solidFill>
          <w14:prstDash w14:val="solid"/>
          <w14:miter w14:lim="10"/>
        </w14:textOutline>
      </w:rPr>
      <w:t>建筑装饰</w:t>
    </w:r>
    <w:r>
      <w:rPr>
        <w:rFonts w:ascii="Times New Roman" w:eastAsia="Times New Roman" w:hAnsi="Times New Roman" w:cs="Times New Roman"/>
        <w:b/>
        <w:bCs/>
        <w:color w:val="005BAC"/>
        <w:spacing w:val="-1"/>
        <w:sz w:val="24"/>
        <w:szCs w:val="24"/>
        <w:u w:val="single" w:color="auto"/>
      </w:rPr>
      <w:t>/</w:t>
    </w:r>
    <w:r>
      <w:rPr>
        <w:color w:val="005BAC"/>
        <w:spacing w:val="-1"/>
        <w:sz w:val="24"/>
        <w:szCs w:val="24"/>
        <w:u w:val="single" w:color="005BAC"/>
        <w14:textOutline w14:w="4354">
          <w14:solidFill>
            <w14:srgbClr w14:val="005BAC"/>
          </w14:solidFill>
          <w14:prstDash w14:val="solid"/>
          <w14:miter w14:lim="10"/>
        </w14:textOutline>
      </w:rPr>
      <w:t>行业</w:t>
    </w:r>
    <w:r>
      <w:rPr>
        <w:color w:val="005BAC"/>
        <w:spacing w:val="-1"/>
        <w:sz w:val="24"/>
        <w:szCs w:val="24"/>
        <w14:textOutline w14:w="4354">
          <w14:solidFill>
            <w14:srgbClr w14:val="005BAC"/>
          </w14:solidFill>
          <w14:prstDash w14:val="solid"/>
          <w14:miter w14:lim="10"/>
        </w14:textOutline>
      </w:rPr>
      <w:t>深度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tabs>
        <w:tab w:val="left" w:pos="29"/>
      </w:tabs>
      <w:spacing w:line="232" w:lineRule="auto"/>
      <w:rPr>
        <w:sz w:val="24"/>
        <w:szCs w:val="24"/>
      </w:rPr>
    </w:pPr>
    <w:r>
      <w:rPr>
        <w:color w:val="005BAC"/>
        <w:sz w:val="24"/>
        <w:szCs w:val="24"/>
        <w:u w:val="single" w:color="auto"/>
      </w:rPr>
      <w:tab/>
    </w:r>
    <w:r>
      <w:rPr>
        <w:color w:val="005BAC"/>
        <w:position w:val="-6"/>
        <w:sz w:val="24"/>
        <w:szCs w:val="24"/>
      </w:rPr>
      <w:drawing>
        <wp:inline distT="0" distB="0" distL="0" distR="0">
          <wp:extent cx="2743707" cy="393065"/>
          <wp:effectExtent l="0" t="0" r="0" b="0"/>
          <wp:docPr id="527334723" name="IM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7334723" name="IM 2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743707" cy="393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5BAC"/>
        <w:spacing w:val="2"/>
        <w:sz w:val="24"/>
        <w:szCs w:val="24"/>
        <w:u w:val="single" w:color="auto"/>
      </w:rPr>
      <w:t xml:space="preserve">                              </w:t>
    </w:r>
    <w:r>
      <w:rPr>
        <w:color w:val="005BAC"/>
        <w:spacing w:val="-1"/>
        <w:sz w:val="24"/>
        <w:szCs w:val="24"/>
        <w:u w:val="single" w:color="005BAC"/>
        <w14:textOutline w14:w="4354">
          <w14:solidFill>
            <w14:srgbClr w14:val="005BAC"/>
          </w14:solidFill>
          <w14:prstDash w14:val="solid"/>
          <w14:miter w14:lim="10"/>
        </w14:textOutline>
      </w:rPr>
      <w:t>建筑装饰</w:t>
    </w:r>
    <w:r>
      <w:rPr>
        <w:rFonts w:ascii="Times New Roman" w:eastAsia="Times New Roman" w:hAnsi="Times New Roman" w:cs="Times New Roman"/>
        <w:b/>
        <w:bCs/>
        <w:color w:val="005BAC"/>
        <w:spacing w:val="-1"/>
        <w:sz w:val="24"/>
        <w:szCs w:val="24"/>
        <w:u w:val="single" w:color="auto"/>
      </w:rPr>
      <w:t>/</w:t>
    </w:r>
    <w:r>
      <w:rPr>
        <w:color w:val="005BAC"/>
        <w:spacing w:val="-1"/>
        <w:sz w:val="24"/>
        <w:szCs w:val="24"/>
        <w:u w:val="single" w:color="005BAC"/>
        <w14:textOutline w14:w="4354">
          <w14:solidFill>
            <w14:srgbClr w14:val="005BAC"/>
          </w14:solidFill>
          <w14:prstDash w14:val="solid"/>
          <w14:miter w14:lim="10"/>
        </w14:textOutline>
      </w:rPr>
      <w:t>行业</w:t>
    </w:r>
    <w:r>
      <w:rPr>
        <w:color w:val="005BAC"/>
        <w:spacing w:val="-1"/>
        <w:sz w:val="24"/>
        <w:szCs w:val="24"/>
        <w14:textOutline w14:w="4354">
          <w14:solidFill>
            <w14:srgbClr w14:val="005BAC"/>
          </w14:solidFill>
          <w14:prstDash w14:val="solid"/>
          <w14:miter w14:lim="10"/>
        </w14:textOutline>
      </w:rPr>
      <w:t>深度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tabs>
        <w:tab w:val="left" w:pos="291"/>
      </w:tabs>
      <w:spacing w:line="232" w:lineRule="auto"/>
      <w:ind w:left="262"/>
      <w:rPr>
        <w:sz w:val="24"/>
        <w:szCs w:val="24"/>
      </w:rPr>
    </w:pPr>
    <w:bookmarkStart w:id="2" w:name="bookmark12"/>
    <w:bookmarkEnd w:id="2"/>
    <w:bookmarkStart w:id="3" w:name="bookmark13"/>
    <w:bookmarkEnd w:id="3"/>
    <w:bookmarkStart w:id="4" w:name="bookmark14"/>
    <w:bookmarkEnd w:id="4"/>
    <w:r>
      <w:rPr>
        <w:color w:val="005BAC"/>
        <w:sz w:val="24"/>
        <w:szCs w:val="24"/>
        <w:u w:val="single" w:color="auto"/>
      </w:rPr>
      <w:tab/>
    </w:r>
    <w:r>
      <w:rPr>
        <w:color w:val="005BAC"/>
        <w:position w:val="-6"/>
        <w:sz w:val="24"/>
        <w:szCs w:val="24"/>
      </w:rPr>
      <w:drawing>
        <wp:inline distT="0" distB="0" distL="0" distR="0">
          <wp:extent cx="2743760" cy="393065"/>
          <wp:effectExtent l="0" t="0" r="0" b="0"/>
          <wp:docPr id="26" name="IM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 2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2743760" cy="393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5BAC"/>
        <w:spacing w:val="2"/>
        <w:sz w:val="24"/>
        <w:szCs w:val="24"/>
        <w:u w:val="single" w:color="auto"/>
      </w:rPr>
      <w:t xml:space="preserve">                              </w:t>
    </w:r>
    <w:r>
      <w:rPr>
        <w:color w:val="005BAC"/>
        <w:spacing w:val="-1"/>
        <w:sz w:val="24"/>
        <w:szCs w:val="24"/>
        <w:u w:val="single" w:color="005BAC"/>
        <w14:textOutline w14:w="4354">
          <w14:solidFill>
            <w14:srgbClr w14:val="005BAC"/>
          </w14:solidFill>
          <w14:prstDash w14:val="solid"/>
          <w14:miter w14:lim="10"/>
        </w14:textOutline>
      </w:rPr>
      <w:t>建筑装饰</w:t>
    </w:r>
    <w:r>
      <w:rPr>
        <w:rFonts w:ascii="Times New Roman" w:eastAsia="Times New Roman" w:hAnsi="Times New Roman" w:cs="Times New Roman"/>
        <w:b/>
        <w:bCs/>
        <w:color w:val="005BAC"/>
        <w:spacing w:val="-1"/>
        <w:sz w:val="24"/>
        <w:szCs w:val="24"/>
        <w:u w:val="single" w:color="auto"/>
      </w:rPr>
      <w:t>/</w:t>
    </w:r>
    <w:r>
      <w:rPr>
        <w:color w:val="005BAC"/>
        <w:spacing w:val="-1"/>
        <w:sz w:val="24"/>
        <w:szCs w:val="24"/>
        <w:u w:val="single" w:color="005BAC"/>
        <w14:textOutline w14:w="4354">
          <w14:solidFill>
            <w14:srgbClr w14:val="005BAC"/>
          </w14:solidFill>
          <w14:prstDash w14:val="solid"/>
          <w14:miter w14:lim="10"/>
        </w14:textOutline>
      </w:rPr>
      <w:t>行业</w:t>
    </w:r>
    <w:r>
      <w:rPr>
        <w:color w:val="005BAC"/>
        <w:spacing w:val="-1"/>
        <w:sz w:val="24"/>
        <w:szCs w:val="24"/>
        <w14:textOutline w14:w="4354">
          <w14:solidFill>
            <w14:srgbClr w14:val="005BAC"/>
          </w14:solidFill>
          <w14:prstDash w14:val="solid"/>
          <w14:miter w14:lim="10"/>
        </w14:textOutline>
      </w:rPr>
      <w:t>深度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KaiTi" w:eastAsia="KaiTi" w:hAnsi="KaiTi" w:cs="KaiTi"/>
      <w:sz w:val="16"/>
      <w:szCs w:val="16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KaiTi" w:eastAsia="KaiTi" w:hAnsi="KaiTi" w:cs="KaiTi"/>
      <w:sz w:val="21"/>
      <w:szCs w:val="21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header" Target="header2.xml" /><Relationship Id="rId14" Type="http://schemas.openxmlformats.org/officeDocument/2006/relationships/footer" Target="footer2.xml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header" Target="header4.xml" /><Relationship Id="rId2" Type="http://schemas.openxmlformats.org/officeDocument/2006/relationships/webSettings" Target="webSettings.xml" /><Relationship Id="rId20" Type="http://schemas.openxmlformats.org/officeDocument/2006/relationships/footer" Target="footer4.xml" /><Relationship Id="rId21" Type="http://schemas.openxmlformats.org/officeDocument/2006/relationships/header" Target="header5.xml" /><Relationship Id="rId22" Type="http://schemas.openxmlformats.org/officeDocument/2006/relationships/footer" Target="footer5.xml" /><Relationship Id="rId23" Type="http://schemas.openxmlformats.org/officeDocument/2006/relationships/header" Target="header6.xml" /><Relationship Id="rId24" Type="http://schemas.openxmlformats.org/officeDocument/2006/relationships/footer" Target="footer6.xml" /><Relationship Id="rId25" Type="http://schemas.openxmlformats.org/officeDocument/2006/relationships/image" Target="media/image12.jpeg" /><Relationship Id="rId26" Type="http://schemas.openxmlformats.org/officeDocument/2006/relationships/header" Target="header7.xml" /><Relationship Id="rId27" Type="http://schemas.openxmlformats.org/officeDocument/2006/relationships/footer" Target="footer7.xml" /><Relationship Id="rId28" Type="http://schemas.openxmlformats.org/officeDocument/2006/relationships/header" Target="header8.xml" /><Relationship Id="rId29" Type="http://schemas.openxmlformats.org/officeDocument/2006/relationships/footer" Target="footer8.xml" /><Relationship Id="rId3" Type="http://schemas.openxmlformats.org/officeDocument/2006/relationships/fontTable" Target="fontTable.xml" /><Relationship Id="rId30" Type="http://schemas.openxmlformats.org/officeDocument/2006/relationships/header" Target="header9.xml" /><Relationship Id="rId31" Type="http://schemas.openxmlformats.org/officeDocument/2006/relationships/footer" Target="footer9.xml" /><Relationship Id="rId32" Type="http://schemas.openxmlformats.org/officeDocument/2006/relationships/image" Target="media/image13.png" /><Relationship Id="rId33" Type="http://schemas.openxmlformats.org/officeDocument/2006/relationships/header" Target="header10.xml" /><Relationship Id="rId34" Type="http://schemas.openxmlformats.org/officeDocument/2006/relationships/footer" Target="footer10.xml" /><Relationship Id="rId35" Type="http://schemas.openxmlformats.org/officeDocument/2006/relationships/header" Target="header11.xml" /><Relationship Id="rId36" Type="http://schemas.openxmlformats.org/officeDocument/2006/relationships/footer" Target="footer11.xml" /><Relationship Id="rId37" Type="http://schemas.openxmlformats.org/officeDocument/2006/relationships/image" Target="media/image14.png" /><Relationship Id="rId38" Type="http://schemas.openxmlformats.org/officeDocument/2006/relationships/image" Target="media/image15.png" /><Relationship Id="rId39" Type="http://schemas.openxmlformats.org/officeDocument/2006/relationships/header" Target="header12.xml" /><Relationship Id="rId4" Type="http://schemas.openxmlformats.org/officeDocument/2006/relationships/image" Target="media/image1.png" /><Relationship Id="rId40" Type="http://schemas.openxmlformats.org/officeDocument/2006/relationships/footer" Target="footer12.xml" /><Relationship Id="rId41" Type="http://schemas.openxmlformats.org/officeDocument/2006/relationships/image" Target="media/image16.png" /><Relationship Id="rId42" Type="http://schemas.openxmlformats.org/officeDocument/2006/relationships/image" Target="media/image17.png" /><Relationship Id="rId43" Type="http://schemas.openxmlformats.org/officeDocument/2006/relationships/header" Target="header13.xml" /><Relationship Id="rId44" Type="http://schemas.openxmlformats.org/officeDocument/2006/relationships/footer" Target="footer13.xml" /><Relationship Id="rId45" Type="http://schemas.openxmlformats.org/officeDocument/2006/relationships/hyperlink" Target="https://d.book118.com/618000134011006025" TargetMode="External" /><Relationship Id="rId46" Type="http://schemas.openxmlformats.org/officeDocument/2006/relationships/header" Target="header14.xml" /><Relationship Id="rId47" Type="http://schemas.openxmlformats.org/officeDocument/2006/relationships/footer" Target="footer14.xml" /><Relationship Id="rId48" Type="http://schemas.openxmlformats.org/officeDocument/2006/relationships/theme" Target="theme/theme1.xml" /><Relationship Id="rId49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1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2024-01-10T20:59:53Z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2024-01-10T21:03:04Z</vt:filetime>
  </property>
  <property fmtid="{D5CDD505-2E9C-101B-9397-08002B2CF9AE}" pid="3" name="CRO">
    <vt:lpwstr>wqlLaW5nc29mdCBQREYgdG8gV1BTIDkw</vt:lpwstr>
  </property>
</Properties>
</file>