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5" w:line="200" w:lineRule="auto"/>
        <w:ind w:left="14481"/>
        <w:rPr>
          <w:rFonts w:ascii="Arial" w:eastAsia="Arial" w:hAnsi="Arial" w:cs="Arial"/>
          <w:sz w:val="24"/>
          <w:szCs w:val="24"/>
        </w:rPr>
      </w:pPr>
      <w:r>
        <w:rPr>
          <w:rFonts w:ascii="STXihei" w:eastAsia="STXihei" w:hAnsi="STXihei" w:cs="STXihei"/>
          <w:sz w:val="24"/>
          <w:szCs w:val="24"/>
          <w14:textOutline w14:w="4354">
            <w14:solidFill>
              <w14:srgbClr w14:val="000000"/>
            </w14:solidFill>
            <w14:prstDash w14:val="solid"/>
            <w14:miter w14:lim="10"/>
          </w14:textOutline>
        </w:rPr>
        <w:t>证券研究报告</w:t>
      </w:r>
      <w:r>
        <w:rPr>
          <w:rFonts w:ascii="Arial" w:eastAsia="Arial" w:hAnsi="Arial" w:cs="Arial"/>
          <w:b/>
          <w:bCs/>
          <w:sz w:val="24"/>
          <w:szCs w:val="24"/>
        </w:rPr>
        <w:t>|</w:t>
      </w:r>
      <w:r>
        <w:rPr>
          <w:rFonts w:ascii="STXihei" w:eastAsia="STXihei" w:hAnsi="STXihei" w:cs="STXihei"/>
          <w:sz w:val="24"/>
          <w:szCs w:val="24"/>
          <w14:textOutline w14:w="4354">
            <w14:solidFill>
              <w14:srgbClr w14:val="000000"/>
            </w14:solidFill>
            <w14:prstDash w14:val="solid"/>
            <w14:miter w14:lim="10"/>
          </w14:textOutline>
        </w:rPr>
        <w:t>行业深度</w:t>
      </w:r>
      <w:r>
        <w:rPr>
          <w:rFonts w:ascii="STXihei" w:eastAsia="STXihei" w:hAnsi="STXihei" w:cs="STXihei"/>
          <w:sz w:val="24"/>
          <w:szCs w:val="24"/>
        </w:rPr>
        <w:t xml:space="preserve"> </w:t>
      </w:r>
      <w:r>
        <w:rPr>
          <w:rFonts w:ascii="Arial" w:eastAsia="Arial" w:hAnsi="Arial" w:cs="Arial"/>
          <w:b/>
          <w:bCs/>
          <w:sz w:val="24"/>
          <w:szCs w:val="24"/>
        </w:rPr>
        <w:t>2024/1/</w:t>
      </w:r>
      <w:r>
        <w:rPr>
          <w:rFonts w:ascii="Arial" w:eastAsia="Arial" w:hAnsi="Arial" w:cs="Arial"/>
          <w:b/>
          <w:bCs/>
          <w:spacing w:val="-1"/>
          <w:sz w:val="24"/>
          <w:szCs w:val="24"/>
        </w:rPr>
        <w:t>23</w:t>
      </w:r>
    </w:p>
    <w:p>
      <w:pPr>
        <w:spacing w:line="70" w:lineRule="auto"/>
        <w:rPr>
          <w:rFonts w:ascii="Arial"/>
          <w:sz w:val="2"/>
        </w:rPr>
      </w:pPr>
    </w:p>
    <w:tbl>
      <w:tblPr>
        <w:tblStyle w:val="TableNormal"/>
        <w:tblW w:w="3877" w:type="dxa"/>
        <w:tblInd w:w="1440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970"/>
        <w:gridCol w:w="1907"/>
      </w:tblGrid>
      <w:tr>
        <w:tblPrEx>
          <w:tblW w:w="3877" w:type="dxa"/>
          <w:tblInd w:w="1440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348"/>
        </w:trPr>
        <w:tc>
          <w:tcPr>
            <w:tcW w:w="3877" w:type="dxa"/>
            <w:gridSpan w:val="2"/>
            <w:tcBorders>
              <w:bottom w:val="single" w:sz="24" w:space="0" w:color="FFFFFF"/>
            </w:tcBorders>
            <w:shd w:val="clear" w:color="auto" w:fill="C00000"/>
            <w:vAlign w:val="top"/>
          </w:tcPr>
          <w:p>
            <w:pPr>
              <w:spacing w:before="71" w:line="190" w:lineRule="auto"/>
              <w:ind w:left="1239"/>
              <w:rPr>
                <w:rFonts w:ascii="STXihei" w:eastAsia="STXihei" w:hAnsi="STXihei" w:cs="STXihei"/>
                <w:sz w:val="24"/>
                <w:szCs w:val="24"/>
              </w:rPr>
            </w:pPr>
            <w:r>
              <w:rPr>
                <w:rFonts w:ascii="STXihei" w:eastAsia="STXihei" w:hAnsi="STXihei" w:cs="STXihei"/>
                <w:color w:val="FFFFFF"/>
                <w:spacing w:val="-5"/>
                <w:sz w:val="24"/>
                <w:szCs w:val="24"/>
                <w14:textOutline w14:w="4354">
                  <w14:solidFill>
                    <w14:srgbClr w14:val="FFFFFF"/>
                  </w14:solidFill>
                  <w14:prstDash w14:val="solid"/>
                  <w14:round/>
                </w14:textOutline>
              </w:rPr>
              <w:t>电气设备行业</w:t>
            </w:r>
          </w:p>
        </w:tc>
      </w:tr>
      <w:tr>
        <w:tblPrEx>
          <w:tblW w:w="3877" w:type="dxa"/>
          <w:tblInd w:w="14405" w:type="dxa"/>
          <w:tblLayout w:type="fixed"/>
        </w:tblPrEx>
        <w:trPr>
          <w:trHeight w:val="309"/>
        </w:trPr>
        <w:tc>
          <w:tcPr>
            <w:tcW w:w="1970" w:type="dxa"/>
            <w:tcBorders>
              <w:top w:val="single" w:sz="24" w:space="0" w:color="FFFFFF"/>
            </w:tcBorders>
            <w:shd w:val="clear" w:color="auto" w:fill="D9D9D9"/>
            <w:vAlign w:val="top"/>
          </w:tcPr>
          <w:p>
            <w:pPr>
              <w:spacing w:before="32" w:line="190" w:lineRule="auto"/>
              <w:ind w:left="502"/>
              <w:rPr>
                <w:rFonts w:ascii="STXihei" w:eastAsia="STXihei" w:hAnsi="STXihei" w:cs="STXihei"/>
                <w:sz w:val="24"/>
                <w:szCs w:val="24"/>
              </w:rPr>
            </w:pPr>
            <w:r>
              <w:rPr>
                <w:rFonts w:ascii="STXihei" w:eastAsia="STXihei" w:hAnsi="STXihei" w:cs="STXihei"/>
                <w:spacing w:val="-1"/>
                <w:sz w:val="24"/>
                <w:szCs w:val="24"/>
                <w14:textOutline w14:w="4354">
                  <w14:solidFill>
                    <w14:srgbClr w14:val="000000"/>
                  </w14:solidFill>
                  <w14:prstDash w14:val="solid"/>
                  <w14:round/>
                </w14:textOutline>
              </w:rPr>
              <w:t>投资评级</w:t>
            </w:r>
          </w:p>
        </w:tc>
        <w:tc>
          <w:tcPr>
            <w:tcW w:w="1907" w:type="dxa"/>
            <w:tcBorders>
              <w:top w:val="single" w:sz="24" w:space="0" w:color="FFFFFF"/>
            </w:tcBorders>
            <w:shd w:val="clear" w:color="auto" w:fill="D9D9D9"/>
            <w:vAlign w:val="top"/>
          </w:tcPr>
          <w:p>
            <w:pPr>
              <w:spacing w:before="32" w:line="190" w:lineRule="auto"/>
              <w:ind w:left="713"/>
              <w:rPr>
                <w:rFonts w:ascii="STXihei" w:eastAsia="STXihei" w:hAnsi="STXihei" w:cs="STXihei"/>
                <w:sz w:val="24"/>
                <w:szCs w:val="24"/>
              </w:rPr>
            </w:pPr>
            <w:r>
              <w:rPr>
                <w:rFonts w:ascii="STXihei" w:eastAsia="STXihei" w:hAnsi="STXihei" w:cs="STXihei"/>
                <w:spacing w:val="-3"/>
                <w:sz w:val="24"/>
                <w:szCs w:val="24"/>
                <w14:textOutline w14:w="4354">
                  <w14:solidFill>
                    <w14:srgbClr w14:val="000000"/>
                  </w14:solidFill>
                  <w14:prstDash w14:val="solid"/>
                  <w14:round/>
                </w14:textOutline>
              </w:rPr>
              <w:t>看好</w:t>
            </w:r>
          </w:p>
        </w:tc>
      </w:tr>
    </w:tbl>
    <w:p>
      <w:pPr>
        <w:pStyle w:val="BodyText"/>
        <w:spacing w:before="117" w:line="193" w:lineRule="auto"/>
        <w:ind w:left="701"/>
        <w:outlineLvl w:val="1"/>
      </w:pPr>
      <w:r>
        <w:rPr>
          <w:b/>
          <w:bCs/>
          <w:color w:val="C00000"/>
          <w:spacing w:val="12"/>
        </w:rPr>
        <w:t>追风逐光系列</w:t>
      </w:r>
      <w:r>
        <w:rPr>
          <w:b/>
          <w:bCs/>
          <w:color w:val="C00000"/>
          <w:spacing w:val="-41"/>
        </w:rPr>
        <w:t xml:space="preserve"> </w:t>
      </w:r>
      <w:r>
        <w:rPr>
          <w:b/>
          <w:bCs/>
          <w:color w:val="C00000"/>
          <w:spacing w:val="12"/>
        </w:rPr>
        <w:t>一</w:t>
      </w:r>
      <w:r>
        <w:rPr>
          <w:b/>
          <w:bCs/>
          <w:color w:val="C00000"/>
          <w:spacing w:val="-69"/>
        </w:rPr>
        <w:t xml:space="preserve"> </w:t>
      </w:r>
      <w:r>
        <w:rPr>
          <w:b/>
          <w:bCs/>
          <w:color w:val="C00000"/>
          <w:spacing w:val="12"/>
        </w:rPr>
        <w:t>：</w:t>
      </w:r>
      <w:r>
        <w:rPr>
          <w:b/>
          <w:bCs/>
          <w:color w:val="C00000"/>
          <w:spacing w:val="-64"/>
        </w:rPr>
        <w:t xml:space="preserve"> </w:t>
      </w:r>
      <w:r>
        <w:rPr>
          <w:b/>
          <w:bCs/>
          <w:color w:val="C00000"/>
          <w:spacing w:val="12"/>
        </w:rPr>
        <w:t>光</w:t>
      </w:r>
      <w:r>
        <w:rPr>
          <w:b/>
          <w:bCs/>
          <w:color w:val="C00000"/>
          <w:spacing w:val="-62"/>
        </w:rPr>
        <w:t xml:space="preserve"> </w:t>
      </w:r>
      <w:r>
        <w:rPr>
          <w:b/>
          <w:bCs/>
          <w:color w:val="C00000"/>
          <w:spacing w:val="12"/>
        </w:rPr>
        <w:t>伏</w:t>
      </w:r>
      <w:r>
        <w:rPr>
          <w:b/>
          <w:bCs/>
          <w:color w:val="C00000"/>
          <w:spacing w:val="-44"/>
        </w:rPr>
        <w:t xml:space="preserve"> </w:t>
      </w:r>
      <w:r>
        <w:rPr>
          <w:b/>
          <w:bCs/>
          <w:color w:val="C00000"/>
          <w:spacing w:val="12"/>
        </w:rPr>
        <w:t>晶</w:t>
      </w:r>
      <w:r>
        <w:rPr>
          <w:b/>
          <w:bCs/>
          <w:color w:val="C00000"/>
          <w:spacing w:val="-69"/>
        </w:rPr>
        <w:t xml:space="preserve"> </w:t>
      </w:r>
      <w:r>
        <w:rPr>
          <w:b/>
          <w:bCs/>
          <w:color w:val="C00000"/>
          <w:spacing w:val="12"/>
        </w:rPr>
        <w:t>硅</w:t>
      </w:r>
      <w:r>
        <w:rPr>
          <w:b/>
          <w:bCs/>
          <w:color w:val="C00000"/>
          <w:spacing w:val="-41"/>
        </w:rPr>
        <w:t xml:space="preserve"> </w:t>
      </w:r>
      <w:r>
        <w:rPr>
          <w:b/>
          <w:bCs/>
          <w:color w:val="C00000"/>
          <w:spacing w:val="12"/>
        </w:rPr>
        <w:t>电</w:t>
      </w:r>
      <w:r>
        <w:rPr>
          <w:b/>
          <w:bCs/>
          <w:color w:val="C00000"/>
          <w:spacing w:val="-63"/>
        </w:rPr>
        <w:t xml:space="preserve"> </w:t>
      </w:r>
      <w:r>
        <w:rPr>
          <w:b/>
          <w:bCs/>
          <w:color w:val="C00000"/>
          <w:spacing w:val="12"/>
        </w:rPr>
        <w:t>池</w:t>
      </w:r>
      <w:r>
        <w:rPr>
          <w:b/>
          <w:bCs/>
          <w:color w:val="C00000"/>
          <w:spacing w:val="-68"/>
        </w:rPr>
        <w:t xml:space="preserve"> </w:t>
      </w:r>
      <w:r>
        <w:rPr>
          <w:b/>
          <w:bCs/>
          <w:color w:val="C00000"/>
          <w:spacing w:val="12"/>
        </w:rPr>
        <w:t>新</w:t>
      </w:r>
      <w:r>
        <w:rPr>
          <w:b/>
          <w:bCs/>
          <w:color w:val="C00000"/>
          <w:spacing w:val="-62"/>
        </w:rPr>
        <w:t xml:space="preserve"> </w:t>
      </w:r>
      <w:r>
        <w:rPr>
          <w:b/>
          <w:bCs/>
          <w:color w:val="C00000"/>
          <w:spacing w:val="12"/>
        </w:rPr>
        <w:t>技</w:t>
      </w:r>
      <w:r>
        <w:rPr>
          <w:b/>
          <w:bCs/>
          <w:color w:val="C00000"/>
          <w:spacing w:val="-64"/>
        </w:rPr>
        <w:t xml:space="preserve"> </w:t>
      </w:r>
      <w:r>
        <w:rPr>
          <w:b/>
          <w:bCs/>
          <w:color w:val="C00000"/>
          <w:spacing w:val="12"/>
        </w:rPr>
        <w:t>术</w:t>
      </w:r>
      <w:r>
        <w:rPr>
          <w:b/>
          <w:bCs/>
          <w:color w:val="C00000"/>
          <w:spacing w:val="-66"/>
        </w:rPr>
        <w:t xml:space="preserve"> </w:t>
      </w:r>
      <w:r>
        <w:rPr>
          <w:b/>
          <w:bCs/>
          <w:color w:val="C00000"/>
          <w:spacing w:val="12"/>
        </w:rPr>
        <w:t>趋</w:t>
      </w:r>
      <w:r>
        <w:rPr>
          <w:b/>
          <w:bCs/>
          <w:color w:val="C00000"/>
          <w:spacing w:val="-63"/>
        </w:rPr>
        <w:t xml:space="preserve"> </w:t>
      </w:r>
      <w:r>
        <w:rPr>
          <w:b/>
          <w:bCs/>
          <w:color w:val="C00000"/>
          <w:spacing w:val="12"/>
        </w:rPr>
        <w:t>势</w:t>
      </w:r>
    </w:p>
    <w:p>
      <w:pPr>
        <w:spacing w:line="473" w:lineRule="auto"/>
        <w:rPr>
          <w:rFonts w:ascii="Arial"/>
          <w:sz w:val="21"/>
        </w:rPr>
      </w:pPr>
    </w:p>
    <w:p>
      <w:pPr>
        <w:spacing w:line="4918" w:lineRule="exact"/>
      </w:pPr>
      <w:r>
        <w:rPr>
          <w:position w:val="-98"/>
        </w:rPr>
        <w:drawing>
          <wp:inline distT="0" distB="0" distL="0" distR="0">
            <wp:extent cx="11663171" cy="31226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1663171" cy="3122676"/>
                    </a:xfrm>
                    <a:prstGeom prst="rect">
                      <a:avLst/>
                    </a:prstGeom>
                  </pic:spPr>
                </pic:pic>
              </a:graphicData>
            </a:graphic>
          </wp:inline>
        </w:drawing>
      </w:r>
    </w:p>
    <w:p>
      <w:pPr>
        <w:spacing w:before="29"/>
      </w:pPr>
    </w:p>
    <w:p>
      <w:pPr>
        <w:spacing w:before="28"/>
      </w:pPr>
    </w:p>
    <w:p>
      <w:pPr>
        <w:sectPr>
          <w:headerReference w:type="default" r:id="rId5"/>
          <w:pgSz w:w="19200" w:h="10800"/>
          <w:pgMar w:top="400" w:right="399" w:bottom="0" w:left="433" w:header="0" w:footer="0" w:gutter="0"/>
          <w:cols w:num="1" w:space="708" w:equalWidth="0">
            <w:col w:w="18368" w:space="0"/>
          </w:cols>
        </w:sectPr>
      </w:pPr>
    </w:p>
    <w:p>
      <w:pPr>
        <w:spacing w:line="206" w:lineRule="auto"/>
        <w:ind w:left="220"/>
        <w:rPr>
          <w:rFonts w:ascii="STXihei" w:eastAsia="STXihei" w:hAnsi="STXihei" w:cs="STXihei"/>
          <w:sz w:val="24"/>
          <w:szCs w:val="24"/>
        </w:rPr>
      </w:pPr>
      <w:r>
        <w:rPr>
          <w:rFonts w:ascii="STXihei" w:eastAsia="STXihei" w:hAnsi="STXihei" w:cs="STXihei"/>
          <w:spacing w:val="-2"/>
          <w:sz w:val="24"/>
          <w:szCs w:val="24"/>
          <w14:textOutline w14:w="4354">
            <w14:solidFill>
              <w14:srgbClr w14:val="000000"/>
            </w14:solidFill>
            <w14:prstDash w14:val="solid"/>
            <w14:miter w14:lim="10"/>
          </w14:textOutline>
        </w:rPr>
        <w:t>五矿证券研究所</w:t>
      </w:r>
    </w:p>
    <w:p>
      <w:pPr>
        <w:spacing w:before="58" w:line="206" w:lineRule="auto"/>
        <w:ind w:left="217"/>
        <w:rPr>
          <w:rFonts w:ascii="STXihei" w:eastAsia="STXihei" w:hAnsi="STXihei" w:cs="STXihei"/>
          <w:sz w:val="24"/>
          <w:szCs w:val="24"/>
        </w:rPr>
      </w:pPr>
      <w:r>
        <w:rPr>
          <w:rFonts w:ascii="STXihei" w:eastAsia="STXihei" w:hAnsi="STXihei" w:cs="STXihei"/>
          <w:spacing w:val="-21"/>
          <w:sz w:val="24"/>
          <w:szCs w:val="24"/>
        </w:rPr>
        <w:t>分析师：</w:t>
      </w:r>
      <w:r>
        <w:rPr>
          <w:rFonts w:ascii="STXihei" w:eastAsia="STXihei" w:hAnsi="STXihei" w:cs="STXihei"/>
          <w:spacing w:val="7"/>
          <w:sz w:val="24"/>
          <w:szCs w:val="24"/>
        </w:rPr>
        <w:t xml:space="preserve">  </w:t>
      </w:r>
      <w:r>
        <w:rPr>
          <w:rFonts w:ascii="STXihei" w:eastAsia="STXihei" w:hAnsi="STXihei" w:cs="STXihei"/>
          <w:spacing w:val="-21"/>
          <w:sz w:val="24"/>
          <w:szCs w:val="24"/>
        </w:rPr>
        <w:t>蔡紫豪</w:t>
      </w:r>
    </w:p>
    <w:p>
      <w:pPr>
        <w:spacing w:before="58" w:line="208" w:lineRule="auto"/>
        <w:ind w:left="211"/>
        <w:rPr>
          <w:rFonts w:ascii="Arial" w:eastAsia="Arial" w:hAnsi="Arial" w:cs="Arial"/>
          <w:sz w:val="24"/>
          <w:szCs w:val="24"/>
        </w:rPr>
      </w:pPr>
      <w:r>
        <w:rPr>
          <w:rFonts w:ascii="STXihei" w:eastAsia="STXihei" w:hAnsi="STXihei" w:cs="STXihei"/>
          <w:spacing w:val="-9"/>
          <w:sz w:val="24"/>
          <w:szCs w:val="24"/>
        </w:rPr>
        <w:t xml:space="preserve">登记编码：   </w:t>
      </w:r>
      <w:r>
        <w:rPr>
          <w:rFonts w:ascii="Arial" w:eastAsia="Arial" w:hAnsi="Arial" w:cs="Arial"/>
          <w:spacing w:val="-9"/>
          <w:sz w:val="24"/>
          <w:szCs w:val="24"/>
        </w:rPr>
        <w:t>S0950523070002</w:t>
      </w:r>
    </w:p>
    <w:p>
      <w:pPr>
        <w:spacing w:before="57" w:line="200" w:lineRule="auto"/>
        <w:ind w:left="226"/>
        <w:rPr>
          <w:rFonts w:ascii="Arial" w:eastAsia="Arial" w:hAnsi="Arial" w:cs="Arial"/>
          <w:sz w:val="24"/>
          <w:szCs w:val="24"/>
        </w:rPr>
      </w:pPr>
      <w:r>
        <w:rPr>
          <w:rFonts w:ascii="STXihei" w:eastAsia="STXihei" w:hAnsi="STXihei" w:cs="STXihei"/>
          <w:spacing w:val="-7"/>
          <w:sz w:val="24"/>
          <w:szCs w:val="24"/>
        </w:rPr>
        <w:t>邮箱：</w:t>
      </w:r>
      <w:r>
        <w:rPr>
          <w:rFonts w:ascii="STXihei" w:eastAsia="STXihei" w:hAnsi="STXihei" w:cs="STXihei"/>
          <w:spacing w:val="72"/>
          <w:sz w:val="24"/>
          <w:szCs w:val="24"/>
        </w:rPr>
        <w:t xml:space="preserve"> </w:t>
      </w:r>
      <w:r>
        <w:rPr>
          <w:rFonts w:ascii="Arial" w:eastAsia="Arial" w:hAnsi="Arial" w:cs="Arial"/>
          <w:spacing w:val="-7"/>
          <w:sz w:val="24"/>
          <w:szCs w:val="24"/>
        </w:rPr>
        <w:t>caizihao@wkzq.com.cn</w:t>
      </w:r>
    </w:p>
    <w:p>
      <w:pPr>
        <w:spacing w:line="14" w:lineRule="auto"/>
        <w:rPr>
          <w:rFonts w:ascii="Arial"/>
          <w:sz w:val="2"/>
        </w:rPr>
      </w:pPr>
      <w:r>
        <w:rPr>
          <w:rFonts w:ascii="Arial" w:eastAsia="Arial" w:hAnsi="Arial" w:cs="Arial"/>
          <w:sz w:val="2"/>
          <w:szCs w:val="2"/>
        </w:rPr>
        <w:br w:type="column"/>
      </w:r>
    </w:p>
    <w:p>
      <w:pPr>
        <w:spacing w:before="294" w:line="207" w:lineRule="auto"/>
        <w:rPr>
          <w:rFonts w:ascii="STXihei" w:eastAsia="STXihei" w:hAnsi="STXihei" w:cs="STXihei"/>
          <w:sz w:val="24"/>
          <w:szCs w:val="24"/>
        </w:rPr>
      </w:pPr>
      <w:r>
        <w:rPr>
          <w:rFonts w:ascii="STXihei" w:eastAsia="STXihei" w:hAnsi="STXihei" w:cs="STXihei"/>
          <w:spacing w:val="-1"/>
          <w:sz w:val="24"/>
          <w:szCs w:val="24"/>
        </w:rPr>
        <w:t>联系人：钟林志</w:t>
      </w:r>
    </w:p>
    <w:p>
      <w:pPr>
        <w:spacing w:before="58" w:line="200" w:lineRule="auto"/>
        <w:ind w:left="15"/>
        <w:rPr>
          <w:rFonts w:ascii="Arial" w:eastAsia="Arial" w:hAnsi="Arial" w:cs="Arial"/>
          <w:sz w:val="24"/>
          <w:szCs w:val="24"/>
        </w:rPr>
      </w:pPr>
      <w:r>
        <w:rPr>
          <w:rFonts w:ascii="STXihei" w:eastAsia="STXihei" w:hAnsi="STXihei" w:cs="STXihei"/>
          <w:spacing w:val="-6"/>
          <w:sz w:val="24"/>
          <w:szCs w:val="24"/>
        </w:rPr>
        <w:t>邮箱：</w:t>
      </w:r>
      <w:r>
        <w:rPr>
          <w:rFonts w:ascii="STXihei" w:eastAsia="STXihei" w:hAnsi="STXihei" w:cs="STXihei"/>
          <w:spacing w:val="64"/>
          <w:sz w:val="24"/>
          <w:szCs w:val="24"/>
        </w:rPr>
        <w:t xml:space="preserve"> </w:t>
      </w:r>
      <w:r>
        <w:rPr>
          <w:rFonts w:ascii="Arial" w:eastAsia="Arial" w:hAnsi="Arial" w:cs="Arial"/>
          <w:spacing w:val="-6"/>
          <w:sz w:val="24"/>
          <w:szCs w:val="24"/>
        </w:rPr>
        <w:t>zhonglinzhi@wkzq.com.cn</w:t>
      </w:r>
    </w:p>
    <w:p>
      <w:pPr>
        <w:spacing w:line="14" w:lineRule="auto"/>
        <w:rPr>
          <w:rFonts w:ascii="Arial"/>
          <w:sz w:val="2"/>
        </w:rPr>
        <w:sectPr>
          <w:headerReference w:type="default" r:id="rId6"/>
          <w:type w:val="continuous"/>
          <w:pgSz w:w="19200" w:h="10800"/>
          <w:pgMar w:top="400" w:right="399" w:bottom="0" w:left="433" w:header="0" w:footer="0" w:gutter="0"/>
          <w:pgNumType w:start="2"/>
          <w:cols w:num="3" w:space="708" w:equalWidth="0">
            <w:col w:w="4208" w:space="100"/>
            <w:col w:w="10408" w:space="100"/>
            <w:col w:w="3552" w:space="0"/>
          </w:cols>
        </w:sectPr>
      </w:pPr>
      <w:r>
        <w:rPr>
          <w:rFonts w:ascii="Arial" w:eastAsia="Arial" w:hAnsi="Arial" w:cs="Arial"/>
          <w:sz w:val="2"/>
          <w:szCs w:val="2"/>
        </w:rPr>
        <w:br w:type="column"/>
      </w:r>
    </w:p>
    <w:p>
      <w:pPr>
        <w:rPr>
          <w:rFonts w:ascii="Arial"/>
          <w:sz w:val="21"/>
        </w:rPr>
      </w:pPr>
    </w:p>
    <w:p>
      <w:pPr>
        <w:spacing w:line="1380" w:lineRule="exact"/>
      </w:pPr>
      <w:r>
        <w:rPr>
          <w:position w:val="-27"/>
        </w:rPr>
        <w:drawing>
          <wp:inline distT="0" distB="0" distL="0" distR="0">
            <wp:extent cx="2029206" cy="8763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2029206" cy="876300"/>
                    </a:xfrm>
                    <a:prstGeom prst="rect">
                      <a:avLst/>
                    </a:prstGeom>
                  </pic:spPr>
                </pic:pic>
              </a:graphicData>
            </a:graphic>
          </wp:inline>
        </w:drawing>
      </w:r>
    </w:p>
    <w:p>
      <w:pPr>
        <w:spacing w:line="1380" w:lineRule="exact"/>
        <w:sectPr>
          <w:headerReference w:type="default" r:id="rId8"/>
          <w:type w:val="nextPage"/>
          <w:pgSz w:w="19200" w:h="10800"/>
          <w:pgMar w:top="400" w:right="399" w:bottom="0" w:left="433" w:header="0" w:footer="0" w:gutter="0"/>
          <w:pgNumType w:start="3"/>
          <w:cols w:num="3" w:space="708" w:equalWidth="0">
            <w:col w:w="4208" w:space="100"/>
            <w:col w:w="10408" w:space="100"/>
            <w:col w:w="3552" w:space="0"/>
          </w:cols>
          <w:titlePg w:val="0"/>
        </w:sectPr>
      </w:pPr>
    </w:p>
    <w:p>
      <w:pPr>
        <w:spacing w:before="232" w:line="223" w:lineRule="auto"/>
        <w:ind w:left="25"/>
        <w:outlineLvl w:val="1"/>
        <w:rPr>
          <w:rFonts w:ascii="SimHei" w:eastAsia="SimHei" w:hAnsi="SimHei" w:cs="SimHei"/>
          <w:sz w:val="39"/>
          <w:szCs w:val="39"/>
        </w:rPr>
      </w:pPr>
      <w:r>
        <w:rPr>
          <w:rFonts w:ascii="SimHei" w:eastAsia="SimHei" w:hAnsi="SimHei" w:cs="SimHei"/>
          <w:spacing w:val="10"/>
          <w:sz w:val="39"/>
          <w:szCs w:val="39"/>
          <w14:textOutline w14:w="7249">
            <w14:solidFill>
              <w14:srgbClr w14:val="000000"/>
            </w14:solidFill>
            <w14:prstDash w14:val="solid"/>
            <w14:round/>
          </w14:textOutline>
        </w:rPr>
        <w:t>结论、建议与风险提示</w:t>
      </w:r>
    </w:p>
    <w:p>
      <w:pPr>
        <w:spacing w:line="271" w:lineRule="auto"/>
        <w:rPr>
          <w:rFonts w:ascii="Arial"/>
          <w:sz w:val="21"/>
        </w:rPr>
      </w:pPr>
    </w:p>
    <w:p>
      <w:pPr>
        <w:spacing w:before="102" w:line="211" w:lineRule="auto"/>
        <w:ind w:left="160"/>
        <w:rPr>
          <w:rFonts w:ascii="STXihei" w:eastAsia="STXihei" w:hAnsi="STXihei" w:cs="STXihei"/>
          <w:sz w:val="29"/>
          <w:szCs w:val="29"/>
        </w:rPr>
      </w:pPr>
      <w:r>
        <w:rPr>
          <w:rFonts w:ascii="STXihei" w:eastAsia="STXihei" w:hAnsi="STXihei" w:cs="STXihei"/>
          <w:color w:val="C00000"/>
          <w:spacing w:val="-16"/>
          <w:sz w:val="29"/>
          <w:szCs w:val="29"/>
          <w14:textOutline w14:w="5290">
            <w14:solidFill>
              <w14:srgbClr w14:val="C00000"/>
            </w14:solidFill>
            <w14:prstDash w14:val="solid"/>
            <w14:round/>
          </w14:textOutline>
        </w:rPr>
        <w:t>结论：</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102" w:line="523" w:lineRule="exact"/>
        <w:ind w:left="168"/>
        <w:rPr>
          <w:rFonts w:ascii="Arial" w:eastAsia="Arial" w:hAnsi="Arial" w:cs="Arial"/>
          <w:sz w:val="29"/>
          <w:szCs w:val="29"/>
        </w:rPr>
      </w:pPr>
      <w:r>
        <w:rPr>
          <w:rFonts w:ascii="Wingdings" w:eastAsia="Wingdings" w:hAnsi="Wingdings" w:cs="Wingdings"/>
          <w:color w:val="C00000"/>
          <w:spacing w:val="-2"/>
          <w:position w:val="18"/>
          <w:sz w:val="29"/>
          <w:szCs w:val="29"/>
        </w:rPr>
        <w:sym w:font="Wingdings" w:char="F070"/>
      </w:r>
      <w:r>
        <w:rPr>
          <w:rFonts w:ascii="Wingdings" w:eastAsia="Wingdings" w:hAnsi="Wingdings" w:cs="Wingdings"/>
          <w:color w:val="C00000"/>
          <w:spacing w:val="-65"/>
          <w:position w:val="18"/>
          <w:sz w:val="29"/>
          <w:szCs w:val="29"/>
        </w:rPr>
        <w:t xml:space="preserve"> </w:t>
      </w:r>
      <w:r>
        <w:rPr>
          <w:rFonts w:ascii="STXihei" w:eastAsia="STXihei" w:hAnsi="STXihei" w:cs="STXihei"/>
          <w:spacing w:val="-2"/>
          <w:position w:val="18"/>
          <w:sz w:val="29"/>
          <w:szCs w:val="29"/>
          <w14:textOutline w14:w="5290">
            <w14:solidFill>
              <w14:srgbClr w14:val="000000"/>
            </w14:solidFill>
            <w14:prstDash w14:val="solid"/>
            <w14:round/>
          </w14:textOutline>
        </w:rPr>
        <w:t>行业下行期技术革新对光伏降本效果更为明显，当前的电池技术选择成为企业中期重要竞争战略。</w:t>
      </w:r>
      <w:r>
        <w:rPr>
          <w:rFonts w:ascii="STXihei" w:eastAsia="STXihei" w:hAnsi="STXihei" w:cs="STXihei"/>
          <w:spacing w:val="22"/>
          <w:position w:val="18"/>
          <w:sz w:val="29"/>
          <w:szCs w:val="29"/>
        </w:rPr>
        <w:t xml:space="preserve">  </w:t>
      </w:r>
      <w:r>
        <w:rPr>
          <w:rFonts w:ascii="Arial" w:eastAsia="Arial" w:hAnsi="Arial" w:cs="Arial"/>
          <w:spacing w:val="-2"/>
          <w:position w:val="18"/>
          <w:sz w:val="29"/>
          <w:szCs w:val="29"/>
        </w:rPr>
        <w:t>2022~2023</w:t>
      </w:r>
      <w:r>
        <w:rPr>
          <w:rFonts w:ascii="STXihei" w:eastAsia="STXihei" w:hAnsi="STXihei" w:cs="STXihei"/>
          <w:spacing w:val="-2"/>
          <w:position w:val="18"/>
          <w:sz w:val="29"/>
          <w:szCs w:val="29"/>
        </w:rPr>
        <w:t>年，虽然</w:t>
      </w:r>
      <w:r>
        <w:rPr>
          <w:rFonts w:ascii="Arial" w:eastAsia="Arial" w:hAnsi="Arial" w:cs="Arial"/>
          <w:spacing w:val="-2"/>
          <w:position w:val="18"/>
          <w:sz w:val="29"/>
          <w:szCs w:val="29"/>
        </w:rPr>
        <w:t>TOPCON</w:t>
      </w:r>
    </w:p>
    <w:p>
      <w:pPr>
        <w:spacing w:line="206" w:lineRule="auto"/>
        <w:ind w:left="607"/>
        <w:rPr>
          <w:rFonts w:ascii="STXihei" w:eastAsia="STXihei" w:hAnsi="STXihei" w:cs="STXihei"/>
          <w:sz w:val="29"/>
          <w:szCs w:val="29"/>
        </w:rPr>
      </w:pPr>
      <w:r>
        <w:rPr>
          <w:rFonts w:ascii="STXihei" w:eastAsia="STXihei" w:hAnsi="STXihei" w:cs="STXihei"/>
          <w:spacing w:val="-1"/>
          <w:sz w:val="29"/>
          <w:szCs w:val="29"/>
        </w:rPr>
        <w:t>逐渐成为主流电池技术，但是新的电池结构或者平台技术层出不穷，</w:t>
      </w:r>
      <w:r>
        <w:rPr>
          <w:rFonts w:ascii="STXihei" w:eastAsia="STXihei" w:hAnsi="STXihei" w:cs="STXihei"/>
          <w:spacing w:val="-25"/>
          <w:sz w:val="29"/>
          <w:szCs w:val="29"/>
        </w:rPr>
        <w:t xml:space="preserve"> </w:t>
      </w:r>
      <w:r>
        <w:rPr>
          <w:rFonts w:ascii="STXihei" w:eastAsia="STXihei" w:hAnsi="STXihei" w:cs="STXihei"/>
          <w:spacing w:val="-1"/>
          <w:sz w:val="29"/>
          <w:szCs w:val="29"/>
        </w:rPr>
        <w:t>电池技术路线选择是企业中长期重要战略，这也是企业在</w:t>
      </w:r>
    </w:p>
    <w:p>
      <w:pPr>
        <w:spacing w:before="175" w:line="207" w:lineRule="auto"/>
        <w:ind w:left="602"/>
        <w:rPr>
          <w:rFonts w:ascii="STXihei" w:eastAsia="STXihei" w:hAnsi="STXihei" w:cs="STXihei"/>
          <w:sz w:val="29"/>
          <w:szCs w:val="29"/>
        </w:rPr>
      </w:pPr>
      <w:r>
        <w:rPr>
          <w:rFonts w:ascii="Arial" w:eastAsia="Arial" w:hAnsi="Arial" w:cs="Arial"/>
          <w:sz w:val="29"/>
          <w:szCs w:val="29"/>
        </w:rPr>
        <w:t>2021~2022</w:t>
      </w:r>
      <w:r>
        <w:rPr>
          <w:rFonts w:ascii="STXihei" w:eastAsia="STXihei" w:hAnsi="STXihei" w:cs="STXihei"/>
          <w:sz w:val="29"/>
          <w:szCs w:val="29"/>
        </w:rPr>
        <w:t>年扩产谨慎的重要原因。</w:t>
      </w:r>
    </w:p>
    <w:p>
      <w:pPr>
        <w:spacing w:before="241" w:line="524" w:lineRule="exact"/>
        <w:ind w:left="168"/>
        <w:rPr>
          <w:rFonts w:ascii="STXihei" w:eastAsia="STXihei" w:hAnsi="STXihei" w:cs="STXihei"/>
          <w:sz w:val="29"/>
          <w:szCs w:val="29"/>
        </w:rPr>
      </w:pPr>
      <w:r>
        <w:rPr>
          <w:rFonts w:ascii="Wingdings" w:eastAsia="Wingdings" w:hAnsi="Wingdings" w:cs="Wingdings"/>
          <w:color w:val="C00000"/>
          <w:spacing w:val="-2"/>
          <w:position w:val="19"/>
          <w:sz w:val="29"/>
          <w:szCs w:val="29"/>
        </w:rPr>
        <w:sym w:font="Wingdings" w:char="F070"/>
      </w:r>
      <w:r>
        <w:rPr>
          <w:rFonts w:ascii="Wingdings" w:eastAsia="Wingdings" w:hAnsi="Wingdings" w:cs="Wingdings"/>
          <w:color w:val="C00000"/>
          <w:spacing w:val="-2"/>
          <w:position w:val="19"/>
          <w:sz w:val="29"/>
          <w:szCs w:val="29"/>
        </w:rPr>
        <w:sym w:font="Wingdings" w:char="0020"/>
      </w:r>
      <w:r>
        <w:rPr>
          <w:rFonts w:ascii="STXihei" w:eastAsia="STXihei" w:hAnsi="STXihei" w:cs="STXihei"/>
          <w:spacing w:val="-2"/>
          <w:position w:val="19"/>
          <w:sz w:val="29"/>
          <w:szCs w:val="29"/>
        </w:rPr>
        <w:t>目前来看，</w:t>
      </w:r>
      <w:r>
        <w:rPr>
          <w:rFonts w:ascii="Arial" w:eastAsia="Arial" w:hAnsi="Arial" w:cs="Arial"/>
          <w:spacing w:val="-2"/>
          <w:position w:val="19"/>
          <w:sz w:val="29"/>
          <w:szCs w:val="29"/>
        </w:rPr>
        <w:t>TOPCON</w:t>
      </w:r>
      <w:r>
        <w:rPr>
          <w:rFonts w:ascii="STXihei" w:eastAsia="STXihei" w:hAnsi="STXihei" w:cs="STXihei"/>
          <w:spacing w:val="-2"/>
          <w:position w:val="19"/>
          <w:sz w:val="29"/>
          <w:szCs w:val="29"/>
        </w:rPr>
        <w:t>电池的生命周期还处于前期，按照理想的回收期来计算，需要</w:t>
      </w:r>
      <w:r>
        <w:rPr>
          <w:rFonts w:ascii="Arial" w:eastAsia="Arial" w:hAnsi="Arial" w:cs="Arial"/>
          <w:spacing w:val="-2"/>
          <w:position w:val="19"/>
          <w:sz w:val="29"/>
          <w:szCs w:val="29"/>
        </w:rPr>
        <w:t>5~6</w:t>
      </w:r>
      <w:r>
        <w:rPr>
          <w:rFonts w:ascii="STXihei" w:eastAsia="STXihei" w:hAnsi="STXihei" w:cs="STXihei"/>
          <w:spacing w:val="-2"/>
          <w:position w:val="19"/>
          <w:sz w:val="29"/>
          <w:szCs w:val="29"/>
        </w:rPr>
        <w:t>年完成产线投资回收；站在企业革新的动</w:t>
      </w:r>
    </w:p>
    <w:p>
      <w:pPr>
        <w:spacing w:line="207" w:lineRule="auto"/>
        <w:ind w:left="617"/>
        <w:rPr>
          <w:rFonts w:ascii="STXihei" w:eastAsia="STXihei" w:hAnsi="STXihei" w:cs="STXihei"/>
          <w:sz w:val="29"/>
          <w:szCs w:val="29"/>
        </w:rPr>
      </w:pPr>
      <w:r>
        <w:rPr>
          <w:rFonts w:ascii="STXihei" w:eastAsia="STXihei" w:hAnsi="STXihei" w:cs="STXihei"/>
          <w:spacing w:val="-1"/>
          <w:sz w:val="29"/>
          <w:szCs w:val="29"/>
        </w:rPr>
        <w:t>力上看，</w:t>
      </w:r>
      <w:r>
        <w:rPr>
          <w:rFonts w:ascii="Arial" w:eastAsia="Arial" w:hAnsi="Arial" w:cs="Arial"/>
          <w:spacing w:val="-1"/>
          <w:sz w:val="29"/>
          <w:szCs w:val="29"/>
        </w:rPr>
        <w:t>TOPCON</w:t>
      </w:r>
      <w:r>
        <w:rPr>
          <w:rFonts w:ascii="STXihei" w:eastAsia="STXihei" w:hAnsi="STXihei" w:cs="STXihei"/>
          <w:spacing w:val="-1"/>
          <w:sz w:val="29"/>
          <w:szCs w:val="29"/>
        </w:rPr>
        <w:t>电池技术生命或许会延续这个周期以上的时间。</w:t>
      </w:r>
    </w:p>
    <w:p>
      <w:pPr>
        <w:spacing w:before="244" w:line="309" w:lineRule="auto"/>
        <w:ind w:left="604" w:right="527" w:hanging="436"/>
        <w:rPr>
          <w:rFonts w:ascii="STXihei" w:eastAsia="STXihei" w:hAnsi="STXihei" w:cs="STXihei"/>
          <w:sz w:val="29"/>
          <w:szCs w:val="29"/>
        </w:rPr>
      </w:pPr>
      <w:r>
        <w:rPr>
          <w:rFonts w:ascii="Wingdings" w:eastAsia="Wingdings" w:hAnsi="Wingdings" w:cs="Wingdings"/>
          <w:color w:val="C00000"/>
          <w:spacing w:val="-7"/>
          <w:sz w:val="29"/>
          <w:szCs w:val="29"/>
        </w:rPr>
        <w:sym w:font="Wingdings" w:char="F070"/>
      </w:r>
      <w:r>
        <w:rPr>
          <w:rFonts w:ascii="Wingdings" w:eastAsia="Wingdings" w:hAnsi="Wingdings" w:cs="Wingdings"/>
          <w:color w:val="C00000"/>
          <w:spacing w:val="-7"/>
          <w:sz w:val="29"/>
          <w:szCs w:val="29"/>
        </w:rPr>
        <w:sym w:font="Wingdings" w:char="0020"/>
      </w:r>
      <w:r>
        <w:rPr>
          <w:rFonts w:ascii="Arial" w:eastAsia="Arial" w:hAnsi="Arial" w:cs="Arial"/>
          <w:b/>
          <w:bCs/>
          <w:spacing w:val="-7"/>
          <w:sz w:val="29"/>
          <w:szCs w:val="29"/>
        </w:rPr>
        <w:t>HJT</w:t>
      </w:r>
      <w:r>
        <w:rPr>
          <w:rFonts w:ascii="STXihei" w:eastAsia="STXihei" w:hAnsi="STXihei" w:cs="STXihei"/>
          <w:spacing w:val="-7"/>
          <w:sz w:val="29"/>
          <w:szCs w:val="29"/>
          <w14:textOutline w14:w="5297">
            <w14:solidFill>
              <w14:srgbClr w14:val="000000"/>
            </w14:solidFill>
            <w14:prstDash w14:val="solid"/>
            <w14:round/>
          </w14:textOutline>
        </w:rPr>
        <w:t>降本提效还在推进，</w:t>
      </w:r>
      <w:r>
        <w:rPr>
          <w:rFonts w:ascii="STXihei" w:eastAsia="STXihei" w:hAnsi="STXihei" w:cs="STXihei"/>
          <w:spacing w:val="-7"/>
          <w:sz w:val="29"/>
          <w:szCs w:val="29"/>
        </w:rPr>
        <w:t xml:space="preserve">   </w:t>
      </w:r>
      <w:r>
        <w:rPr>
          <w:rFonts w:ascii="Arial" w:eastAsia="Arial" w:hAnsi="Arial" w:cs="Arial"/>
          <w:b/>
          <w:bCs/>
          <w:spacing w:val="-7"/>
          <w:sz w:val="29"/>
          <w:szCs w:val="29"/>
        </w:rPr>
        <w:t>BC</w:t>
      </w:r>
      <w:r>
        <w:rPr>
          <w:rFonts w:ascii="STXihei" w:eastAsia="STXihei" w:hAnsi="STXihei" w:cs="STXihei"/>
          <w:spacing w:val="-7"/>
          <w:sz w:val="29"/>
          <w:szCs w:val="29"/>
          <w14:textOutline w14:w="5297">
            <w14:solidFill>
              <w14:srgbClr w14:val="000000"/>
            </w14:solidFill>
            <w14:prstDash w14:val="solid"/>
            <w14:round/>
          </w14:textOutline>
        </w:rPr>
        <w:t>电池优势逐步凸显。</w:t>
      </w:r>
      <w:r>
        <w:rPr>
          <w:rFonts w:ascii="STXihei" w:eastAsia="STXihei" w:hAnsi="STXihei" w:cs="STXihei"/>
          <w:spacing w:val="16"/>
          <w:sz w:val="29"/>
          <w:szCs w:val="29"/>
        </w:rPr>
        <w:t xml:space="preserve">  </w:t>
      </w:r>
      <w:r>
        <w:rPr>
          <w:rFonts w:ascii="STXihei" w:eastAsia="STXihei" w:hAnsi="STXihei" w:cs="STXihei"/>
          <w:spacing w:val="-7"/>
          <w:sz w:val="29"/>
          <w:szCs w:val="29"/>
        </w:rPr>
        <w:t>目前看</w:t>
      </w:r>
      <w:r>
        <w:rPr>
          <w:rFonts w:ascii="Arial" w:eastAsia="Arial" w:hAnsi="Arial" w:cs="Arial"/>
          <w:spacing w:val="-7"/>
          <w:sz w:val="29"/>
          <w:szCs w:val="29"/>
        </w:rPr>
        <w:t>HJT</w:t>
      </w:r>
      <w:r>
        <w:rPr>
          <w:rFonts w:ascii="STXihei" w:eastAsia="STXihei" w:hAnsi="STXihei" w:cs="STXihei"/>
          <w:spacing w:val="-7"/>
          <w:sz w:val="29"/>
          <w:szCs w:val="29"/>
        </w:rPr>
        <w:t>实现经济性需要较多的技术（如电</w:t>
      </w:r>
      <w:r>
        <w:rPr>
          <w:rFonts w:ascii="STXihei" w:eastAsia="STXihei" w:hAnsi="STXihei" w:cs="STXihei"/>
          <w:spacing w:val="-8"/>
          <w:sz w:val="29"/>
          <w:szCs w:val="29"/>
        </w:rPr>
        <w:t>镀铜、少铟无铟化等）突破，但其</w:t>
      </w:r>
      <w:r>
        <w:rPr>
          <w:rFonts w:ascii="STXihei" w:eastAsia="STXihei" w:hAnsi="STXihei" w:cs="STXihei"/>
          <w:spacing w:val="1"/>
          <w:sz w:val="29"/>
          <w:szCs w:val="29"/>
        </w:rPr>
        <w:t xml:space="preserve"> </w:t>
      </w:r>
      <w:r>
        <w:rPr>
          <w:rFonts w:ascii="STXihei" w:eastAsia="STXihei" w:hAnsi="STXihei" w:cs="STXihei"/>
          <w:sz w:val="29"/>
          <w:szCs w:val="29"/>
        </w:rPr>
        <w:t>双面率以及高转化效率可以帮助其在地面电站市场率先得到应用。</w:t>
      </w:r>
      <w:r>
        <w:rPr>
          <w:rFonts w:ascii="Arial" w:eastAsia="Arial" w:hAnsi="Arial" w:cs="Arial"/>
          <w:sz w:val="29"/>
          <w:szCs w:val="29"/>
        </w:rPr>
        <w:t>BC</w:t>
      </w:r>
      <w:r>
        <w:rPr>
          <w:rFonts w:ascii="STXihei" w:eastAsia="STXihei" w:hAnsi="STXihei" w:cs="STXihei"/>
          <w:sz w:val="29"/>
          <w:szCs w:val="29"/>
        </w:rPr>
        <w:t>电池是平台技术，较多电池技术可以叠加实现产品优</w:t>
      </w:r>
      <w:r>
        <w:rPr>
          <w:rFonts w:ascii="STXihei" w:eastAsia="STXihei" w:hAnsi="STXihei" w:cs="STXihei"/>
          <w:spacing w:val="-1"/>
          <w:sz w:val="29"/>
          <w:szCs w:val="29"/>
        </w:rPr>
        <w:t>化，估</w:t>
      </w:r>
    </w:p>
    <w:p>
      <w:pPr>
        <w:spacing w:before="1" w:line="206" w:lineRule="auto"/>
        <w:ind w:left="606"/>
        <w:rPr>
          <w:rFonts w:ascii="STXihei" w:eastAsia="STXihei" w:hAnsi="STXihei" w:cs="STXihei"/>
          <w:sz w:val="29"/>
          <w:szCs w:val="29"/>
        </w:rPr>
      </w:pPr>
      <w:r>
        <w:rPr>
          <w:rFonts w:ascii="STXihei" w:eastAsia="STXihei" w:hAnsi="STXihei" w:cs="STXihei"/>
          <w:sz w:val="29"/>
          <w:szCs w:val="29"/>
        </w:rPr>
        <w:t>计实现产业化的顺序是</w:t>
      </w:r>
      <w:r>
        <w:rPr>
          <w:rFonts w:ascii="Arial" w:eastAsia="Arial" w:hAnsi="Arial" w:cs="Arial"/>
          <w:sz w:val="29"/>
          <w:szCs w:val="29"/>
        </w:rPr>
        <w:t>HPBC</w:t>
      </w:r>
      <w:r>
        <w:rPr>
          <w:rFonts w:ascii="STXihei" w:eastAsia="STXihei" w:hAnsi="STXihei" w:cs="STXihei"/>
          <w:sz w:val="29"/>
          <w:szCs w:val="29"/>
        </w:rPr>
        <w:t>、</w:t>
      </w:r>
      <w:r>
        <w:rPr>
          <w:rFonts w:ascii="Arial" w:eastAsia="Arial" w:hAnsi="Arial" w:cs="Arial"/>
          <w:sz w:val="29"/>
          <w:szCs w:val="29"/>
        </w:rPr>
        <w:t>TBC</w:t>
      </w:r>
      <w:r>
        <w:rPr>
          <w:rFonts w:ascii="STXihei" w:eastAsia="STXihei" w:hAnsi="STXihei" w:cs="STXihei"/>
          <w:sz w:val="29"/>
          <w:szCs w:val="29"/>
        </w:rPr>
        <w:t>和</w:t>
      </w:r>
      <w:r>
        <w:rPr>
          <w:rFonts w:ascii="Arial" w:eastAsia="Arial" w:hAnsi="Arial" w:cs="Arial"/>
          <w:sz w:val="29"/>
          <w:szCs w:val="29"/>
        </w:rPr>
        <w:t>HBC</w:t>
      </w:r>
      <w:r>
        <w:rPr>
          <w:rFonts w:ascii="STXihei" w:eastAsia="STXihei" w:hAnsi="STXihei" w:cs="STXihei"/>
          <w:sz w:val="29"/>
          <w:szCs w:val="29"/>
        </w:rPr>
        <w:t>，</w:t>
      </w:r>
      <w:r>
        <w:rPr>
          <w:rFonts w:ascii="Arial" w:eastAsia="Arial" w:hAnsi="Arial" w:cs="Arial"/>
          <w:sz w:val="29"/>
          <w:szCs w:val="29"/>
        </w:rPr>
        <w:t>BC</w:t>
      </w:r>
      <w:r>
        <w:rPr>
          <w:rFonts w:ascii="STXihei" w:eastAsia="STXihei" w:hAnsi="STXihei" w:cs="STXihei"/>
          <w:sz w:val="29"/>
          <w:szCs w:val="29"/>
        </w:rPr>
        <w:t>技术的成熟会对电池技术产生较大变化，龙头企业有望脱颖而出。</w:t>
      </w:r>
    </w:p>
    <w:p>
      <w:pPr>
        <w:spacing w:before="242" w:line="525" w:lineRule="exact"/>
        <w:ind w:left="168"/>
        <w:rPr>
          <w:rFonts w:ascii="STXihei" w:eastAsia="STXihei" w:hAnsi="STXihei" w:cs="STXihei"/>
          <w:sz w:val="29"/>
          <w:szCs w:val="29"/>
        </w:rPr>
      </w:pPr>
      <w:r>
        <w:rPr>
          <w:rFonts w:ascii="Wingdings" w:eastAsia="Wingdings" w:hAnsi="Wingdings" w:cs="Wingdings"/>
          <w:color w:val="C00000"/>
          <w:spacing w:val="-5"/>
          <w:position w:val="19"/>
          <w:sz w:val="29"/>
          <w:szCs w:val="29"/>
        </w:rPr>
        <w:sym w:font="Wingdings" w:char="F070"/>
      </w:r>
      <w:r>
        <w:rPr>
          <w:rFonts w:ascii="Wingdings" w:eastAsia="Wingdings" w:hAnsi="Wingdings" w:cs="Wingdings"/>
          <w:color w:val="C00000"/>
          <w:spacing w:val="-5"/>
          <w:position w:val="19"/>
          <w:sz w:val="29"/>
          <w:szCs w:val="29"/>
        </w:rPr>
        <w:sym w:font="Wingdings" w:char="0020"/>
      </w:r>
      <w:r>
        <w:rPr>
          <w:rFonts w:ascii="STXihei" w:eastAsia="STXihei" w:hAnsi="STXihei" w:cs="STXihei"/>
          <w:spacing w:val="-5"/>
          <w:position w:val="19"/>
          <w:sz w:val="29"/>
          <w:szCs w:val="29"/>
          <w14:textOutline w14:w="5290">
            <w14:solidFill>
              <w14:srgbClr w14:val="000000"/>
            </w14:solidFill>
            <w14:prstDash w14:val="solid"/>
            <w14:round/>
          </w14:textOutline>
        </w:rPr>
        <w:t>电池技术的更替大概率由头部厂商引导，更替速度往往也会相对漫长。</w:t>
      </w:r>
      <w:r>
        <w:rPr>
          <w:rFonts w:ascii="STXihei" w:eastAsia="STXihei" w:hAnsi="STXihei" w:cs="STXihei"/>
          <w:spacing w:val="29"/>
          <w:position w:val="19"/>
          <w:sz w:val="29"/>
          <w:szCs w:val="29"/>
        </w:rPr>
        <w:t xml:space="preserve">  </w:t>
      </w:r>
      <w:r>
        <w:rPr>
          <w:rFonts w:ascii="STXihei" w:eastAsia="STXihei" w:hAnsi="STXihei" w:cs="STXihei"/>
          <w:spacing w:val="-5"/>
          <w:position w:val="19"/>
          <w:sz w:val="29"/>
          <w:szCs w:val="29"/>
        </w:rPr>
        <w:t>历史</w:t>
      </w:r>
      <w:r>
        <w:rPr>
          <w:rFonts w:ascii="STXihei" w:eastAsia="STXihei" w:hAnsi="STXihei" w:cs="STXihei"/>
          <w:spacing w:val="-6"/>
          <w:position w:val="19"/>
          <w:sz w:val="29"/>
          <w:szCs w:val="29"/>
        </w:rPr>
        <w:t>上看，</w:t>
      </w:r>
      <w:r>
        <w:rPr>
          <w:rFonts w:ascii="STXihei" w:eastAsia="STXihei" w:hAnsi="STXihei" w:cs="STXihei"/>
          <w:spacing w:val="-40"/>
          <w:position w:val="19"/>
          <w:sz w:val="29"/>
          <w:szCs w:val="29"/>
        </w:rPr>
        <w:t xml:space="preserve"> </w:t>
      </w:r>
      <w:r>
        <w:rPr>
          <w:rFonts w:ascii="STXihei" w:eastAsia="STXihei" w:hAnsi="STXihei" w:cs="STXihei"/>
          <w:spacing w:val="-6"/>
          <w:position w:val="19"/>
          <w:sz w:val="29"/>
          <w:szCs w:val="29"/>
        </w:rPr>
        <w:t>引导技术进步的企业往往是头部企业，</w:t>
      </w:r>
      <w:r>
        <w:rPr>
          <w:rFonts w:ascii="STXihei" w:eastAsia="STXihei" w:hAnsi="STXihei" w:cs="STXihei"/>
          <w:spacing w:val="-34"/>
          <w:position w:val="19"/>
          <w:sz w:val="29"/>
          <w:szCs w:val="29"/>
        </w:rPr>
        <w:t xml:space="preserve"> </w:t>
      </w:r>
      <w:r>
        <w:rPr>
          <w:rFonts w:ascii="STXihei" w:eastAsia="STXihei" w:hAnsi="STXihei" w:cs="STXihei"/>
          <w:spacing w:val="-6"/>
          <w:position w:val="19"/>
          <w:sz w:val="29"/>
          <w:szCs w:val="29"/>
        </w:rPr>
        <w:t>同时这</w:t>
      </w:r>
    </w:p>
    <w:p>
      <w:pPr>
        <w:spacing w:before="1" w:line="206" w:lineRule="auto"/>
        <w:ind w:left="608"/>
        <w:rPr>
          <w:rFonts w:ascii="STXihei" w:eastAsia="STXihei" w:hAnsi="STXihei" w:cs="STXihei"/>
          <w:sz w:val="29"/>
          <w:szCs w:val="29"/>
        </w:rPr>
        <w:sectPr>
          <w:headerReference w:type="default" r:id="rId9"/>
          <w:footerReference w:type="default" r:id="rId10"/>
          <w:pgSz w:w="19200" w:h="10800"/>
          <w:pgMar w:top="1136" w:right="723" w:bottom="524" w:left="992" w:header="273" w:footer="337" w:gutter="0"/>
          <w:pgNumType w:start="4"/>
          <w:cols w:space="708"/>
        </w:sectPr>
      </w:pPr>
      <w:r>
        <w:rPr>
          <w:rFonts w:ascii="STXihei" w:eastAsia="STXihei" w:hAnsi="STXihei" w:cs="STXihei"/>
          <w:sz w:val="29"/>
          <w:szCs w:val="29"/>
        </w:rPr>
        <w:t>些企业在行业下行期具备更强的资金实力，财务报表也更加稳健。短期内一体化企业已经基本完成电池产能与</w:t>
      </w:r>
      <w:r>
        <w:rPr>
          <w:rFonts w:ascii="STXihei" w:eastAsia="STXihei" w:hAnsi="STXihei" w:cs="STXihei"/>
          <w:spacing w:val="-1"/>
          <w:sz w:val="29"/>
          <w:szCs w:val="29"/>
        </w:rPr>
        <w:t>组件产能的匹配，</w:t>
      </w:r>
    </w:p>
    <w:p>
      <w:pPr>
        <w:spacing w:before="172" w:line="207" w:lineRule="auto"/>
        <w:ind w:left="611"/>
        <w:rPr>
          <w:rFonts w:ascii="STXihei" w:eastAsia="STXihei" w:hAnsi="STXihei" w:cs="STXihei"/>
          <w:sz w:val="29"/>
          <w:szCs w:val="29"/>
        </w:rPr>
      </w:pPr>
      <w:r>
        <w:rPr>
          <w:rFonts w:ascii="STXihei" w:eastAsia="STXihei" w:hAnsi="STXihei" w:cs="STXihei"/>
          <w:sz w:val="29"/>
          <w:szCs w:val="29"/>
        </w:rPr>
        <w:t>新技术的产生还需要新的产能缺口带来企业扩张动力，可见新技术对现</w:t>
      </w:r>
      <w:r>
        <w:rPr>
          <w:rFonts w:ascii="STXihei" w:eastAsia="STXihei" w:hAnsi="STXihei" w:cs="STXihei"/>
          <w:spacing w:val="-1"/>
          <w:sz w:val="29"/>
          <w:szCs w:val="29"/>
        </w:rPr>
        <w:t>有技术的替代也是缓慢的。</w:t>
      </w:r>
    </w:p>
    <w:p>
      <w:pPr>
        <w:spacing w:line="207" w:lineRule="auto"/>
        <w:rPr>
          <w:rFonts w:ascii="STXihei" w:eastAsia="STXihei" w:hAnsi="STXihei" w:cs="STXihei"/>
          <w:sz w:val="29"/>
          <w:szCs w:val="29"/>
        </w:rPr>
        <w:sectPr>
          <w:headerReference w:type="default" r:id="rId11"/>
          <w:footerReference w:type="default" r:id="rId12"/>
          <w:type w:val="nextPage"/>
          <w:pgSz w:w="19200" w:h="10800"/>
          <w:pgMar w:top="1136" w:right="723" w:bottom="524" w:left="992" w:header="273" w:footer="337" w:gutter="0"/>
          <w:pgNumType w:start="5"/>
          <w:cols w:space="708"/>
          <w:titlePg w:val="0"/>
        </w:sectPr>
      </w:pPr>
    </w:p>
    <w:p>
      <w:pPr>
        <w:spacing w:before="232" w:line="223" w:lineRule="auto"/>
        <w:ind w:left="25"/>
        <w:outlineLvl w:val="1"/>
        <w:rPr>
          <w:rFonts w:ascii="SimHei" w:eastAsia="SimHei" w:hAnsi="SimHei" w:cs="SimHei"/>
          <w:sz w:val="39"/>
          <w:szCs w:val="39"/>
        </w:rPr>
      </w:pPr>
      <w:r>
        <w:rPr>
          <w:rFonts w:ascii="SimHei" w:eastAsia="SimHei" w:hAnsi="SimHei" w:cs="SimHei"/>
          <w:spacing w:val="10"/>
          <w:sz w:val="39"/>
          <w:szCs w:val="39"/>
          <w14:textOutline w14:w="7249">
            <w14:solidFill>
              <w14:srgbClr w14:val="000000"/>
            </w14:solidFill>
            <w14:prstDash w14:val="solid"/>
            <w14:round/>
          </w14:textOutline>
        </w:rPr>
        <w:t>结论、建议与风险提示</w:t>
      </w:r>
    </w:p>
    <w:p>
      <w:pPr>
        <w:spacing w:line="271" w:lineRule="auto"/>
        <w:rPr>
          <w:rFonts w:ascii="Arial"/>
          <w:sz w:val="21"/>
        </w:rPr>
      </w:pPr>
    </w:p>
    <w:p>
      <w:pPr>
        <w:spacing w:before="102" w:line="209" w:lineRule="auto"/>
        <w:ind w:left="153"/>
        <w:rPr>
          <w:rFonts w:ascii="STXihei" w:eastAsia="STXihei" w:hAnsi="STXihei" w:cs="STXihei"/>
          <w:sz w:val="29"/>
          <w:szCs w:val="29"/>
        </w:rPr>
      </w:pPr>
      <w:r>
        <w:rPr>
          <w:rFonts w:ascii="STXihei" w:eastAsia="STXihei" w:hAnsi="STXihei" w:cs="STXihei"/>
          <w:color w:val="C00000"/>
          <w:spacing w:val="-14"/>
          <w:sz w:val="29"/>
          <w:szCs w:val="29"/>
          <w14:textOutline w14:w="5290">
            <w14:solidFill>
              <w14:srgbClr w14:val="C00000"/>
            </w14:solidFill>
            <w14:prstDash w14:val="solid"/>
            <w14:round/>
          </w14:textOutline>
        </w:rPr>
        <w:t>建议：</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102" w:line="309" w:lineRule="auto"/>
        <w:ind w:left="619" w:right="300" w:hanging="451"/>
        <w:rPr>
          <w:rFonts w:ascii="STXihei" w:eastAsia="STXihei" w:hAnsi="STXihei" w:cs="STXihei"/>
          <w:sz w:val="29"/>
          <w:szCs w:val="29"/>
        </w:rPr>
      </w:pPr>
      <w:r>
        <w:rPr>
          <w:rFonts w:ascii="Wingdings" w:eastAsia="Wingdings" w:hAnsi="Wingdings" w:cs="Wingdings"/>
          <w:color w:val="C00000"/>
          <w:spacing w:val="-3"/>
          <w:sz w:val="29"/>
          <w:szCs w:val="29"/>
        </w:rPr>
        <w:sym w:font="Wingdings" w:char="F070"/>
      </w:r>
      <w:r>
        <w:rPr>
          <w:rFonts w:ascii="Wingdings" w:eastAsia="Wingdings" w:hAnsi="Wingdings" w:cs="Wingdings"/>
          <w:color w:val="C00000"/>
          <w:spacing w:val="-3"/>
          <w:sz w:val="29"/>
          <w:szCs w:val="29"/>
        </w:rPr>
        <w:sym w:font="Wingdings" w:char="0020"/>
      </w:r>
      <w:r>
        <w:rPr>
          <w:rFonts w:ascii="STXihei" w:eastAsia="STXihei" w:hAnsi="STXihei" w:cs="STXihei"/>
          <w:spacing w:val="-3"/>
          <w:sz w:val="29"/>
          <w:szCs w:val="29"/>
          <w14:textOutline w14:w="5290">
            <w14:solidFill>
              <w14:srgbClr w14:val="000000"/>
            </w14:solidFill>
            <w14:prstDash w14:val="solid"/>
            <w14:round/>
          </w14:textOutline>
        </w:rPr>
        <w:t>引导技术革新是企业在行业下行期的重要战略。</w:t>
      </w:r>
      <w:r>
        <w:rPr>
          <w:rFonts w:ascii="STXihei" w:eastAsia="STXihei" w:hAnsi="STXihei" w:cs="STXihei"/>
          <w:spacing w:val="40"/>
          <w:sz w:val="29"/>
          <w:szCs w:val="29"/>
        </w:rPr>
        <w:t xml:space="preserve"> </w:t>
      </w:r>
      <w:r>
        <w:rPr>
          <w:rFonts w:ascii="STXihei" w:eastAsia="STXihei" w:hAnsi="STXihei" w:cs="STXihei"/>
          <w:spacing w:val="-3"/>
          <w:sz w:val="29"/>
          <w:szCs w:val="29"/>
        </w:rPr>
        <w:t>行业下行期，技术进步对产业发展的贡献更加凸显，产业链发展方向在于提效降本</w:t>
      </w:r>
      <w:r>
        <w:rPr>
          <w:rFonts w:ascii="STXihei" w:eastAsia="STXihei" w:hAnsi="STXihei" w:cs="STXihei"/>
          <w:sz w:val="29"/>
          <w:szCs w:val="29"/>
        </w:rPr>
        <w:t xml:space="preserve"> </w:t>
      </w:r>
      <w:r>
        <w:rPr>
          <w:rFonts w:ascii="STXihei" w:eastAsia="STXihei" w:hAnsi="STXihei" w:cs="STXihei"/>
          <w:sz w:val="29"/>
          <w:szCs w:val="29"/>
        </w:rPr>
        <w:t>的优胜劣汰，高效产能的稳健、持续投资依然是产业发展的方向，也是企业过冬的重</w:t>
      </w:r>
      <w:r>
        <w:rPr>
          <w:rFonts w:ascii="STXihei" w:eastAsia="STXihei" w:hAnsi="STXihei" w:cs="STXihei"/>
          <w:spacing w:val="-1"/>
          <w:sz w:val="29"/>
          <w:szCs w:val="29"/>
        </w:rPr>
        <w:t>要方式之一。强研发强储备的企业可以获得弯</w:t>
      </w:r>
    </w:p>
    <w:p>
      <w:pPr>
        <w:spacing w:line="207" w:lineRule="auto"/>
        <w:ind w:left="607"/>
        <w:rPr>
          <w:rFonts w:ascii="STXihei" w:eastAsia="STXihei" w:hAnsi="STXihei" w:cs="STXihei"/>
          <w:sz w:val="29"/>
          <w:szCs w:val="29"/>
        </w:rPr>
      </w:pPr>
      <w:r>
        <w:rPr>
          <w:rFonts w:ascii="STXihei" w:eastAsia="STXihei" w:hAnsi="STXihei" w:cs="STXihei"/>
          <w:spacing w:val="-1"/>
          <w:sz w:val="29"/>
          <w:szCs w:val="29"/>
        </w:rPr>
        <w:t>道超车的行业红利。</w:t>
      </w:r>
    </w:p>
    <w:p>
      <w:pPr>
        <w:spacing w:before="241" w:line="309" w:lineRule="auto"/>
        <w:ind w:left="614" w:right="323" w:hanging="446"/>
        <w:rPr>
          <w:rFonts w:ascii="STXihei" w:eastAsia="STXihei" w:hAnsi="STXihei" w:cs="STXihei"/>
          <w:sz w:val="29"/>
          <w:szCs w:val="29"/>
        </w:rPr>
      </w:pPr>
      <w:r>
        <w:rPr>
          <w:rFonts w:ascii="Wingdings" w:eastAsia="Wingdings" w:hAnsi="Wingdings" w:cs="Wingdings"/>
          <w:color w:val="C00000"/>
          <w:spacing w:val="-4"/>
          <w:sz w:val="29"/>
          <w:szCs w:val="29"/>
        </w:rPr>
        <w:sym w:font="Wingdings" w:char="F070"/>
      </w:r>
      <w:r>
        <w:rPr>
          <w:rFonts w:ascii="Wingdings" w:eastAsia="Wingdings" w:hAnsi="Wingdings" w:cs="Wingdings"/>
          <w:color w:val="C00000"/>
          <w:spacing w:val="-63"/>
          <w:sz w:val="29"/>
          <w:szCs w:val="29"/>
        </w:rPr>
        <w:t xml:space="preserve"> </w:t>
      </w:r>
      <w:r>
        <w:rPr>
          <w:rFonts w:ascii="STXihei" w:eastAsia="STXihei" w:hAnsi="STXihei" w:cs="STXihei"/>
          <w:spacing w:val="-4"/>
          <w:sz w:val="29"/>
          <w:szCs w:val="29"/>
          <w14:textOutline w14:w="5290">
            <w14:solidFill>
              <w14:srgbClr w14:val="000000"/>
            </w14:solidFill>
            <w14:prstDash w14:val="solid"/>
            <w14:round/>
          </w14:textOutline>
        </w:rPr>
        <w:t>跟随战略也是不错的选择。</w:t>
      </w:r>
      <w:r>
        <w:rPr>
          <w:rFonts w:ascii="STXihei" w:eastAsia="STXihei" w:hAnsi="STXihei" w:cs="STXihei"/>
          <w:spacing w:val="27"/>
          <w:w w:val="101"/>
          <w:sz w:val="29"/>
          <w:szCs w:val="29"/>
        </w:rPr>
        <w:t xml:space="preserve">  </w:t>
      </w:r>
      <w:r>
        <w:rPr>
          <w:rFonts w:ascii="STXihei" w:eastAsia="STXihei" w:hAnsi="STXihei" w:cs="STXihei"/>
          <w:spacing w:val="-4"/>
          <w:sz w:val="29"/>
          <w:szCs w:val="29"/>
        </w:rPr>
        <w:t>新技术的普及需要整个产业的协同配合，并</w:t>
      </w:r>
      <w:r>
        <w:rPr>
          <w:rFonts w:ascii="STXihei" w:eastAsia="STXihei" w:hAnsi="STXihei" w:cs="STXihei"/>
          <w:spacing w:val="-5"/>
          <w:sz w:val="29"/>
          <w:szCs w:val="29"/>
        </w:rPr>
        <w:t>非某家或者某几家企业可以快速推动，</w:t>
      </w:r>
      <w:r>
        <w:rPr>
          <w:rFonts w:ascii="STXihei" w:eastAsia="STXihei" w:hAnsi="STXihei" w:cs="STXihei"/>
          <w:spacing w:val="-39"/>
          <w:sz w:val="29"/>
          <w:szCs w:val="29"/>
        </w:rPr>
        <w:t xml:space="preserve"> </w:t>
      </w:r>
      <w:r>
        <w:rPr>
          <w:rFonts w:ascii="STXihei" w:eastAsia="STXihei" w:hAnsi="STXihei" w:cs="STXihei"/>
          <w:spacing w:val="-5"/>
          <w:sz w:val="29"/>
          <w:szCs w:val="29"/>
        </w:rPr>
        <w:t>引领新技术发展的企</w:t>
      </w:r>
      <w:r>
        <w:rPr>
          <w:rFonts w:ascii="STXihei" w:eastAsia="STXihei" w:hAnsi="STXihei" w:cs="STXihei"/>
          <w:sz w:val="29"/>
          <w:szCs w:val="29"/>
        </w:rPr>
        <w:t xml:space="preserve"> </w:t>
      </w:r>
      <w:r>
        <w:rPr>
          <w:rFonts w:ascii="STXihei" w:eastAsia="STXihei" w:hAnsi="STXihei" w:cs="STXihei"/>
          <w:sz w:val="29"/>
          <w:szCs w:val="29"/>
        </w:rPr>
        <w:t>业可以获得产业化前中期的超额盈利，但也可能需要独自度过较长的等待期。若不具备强研发强投</w:t>
      </w:r>
      <w:r>
        <w:rPr>
          <w:rFonts w:ascii="STXihei" w:eastAsia="STXihei" w:hAnsi="STXihei" w:cs="STXihei"/>
          <w:spacing w:val="-1"/>
          <w:sz w:val="29"/>
          <w:szCs w:val="29"/>
        </w:rPr>
        <w:t>资能力，作为跟随者也是不错的</w:t>
      </w:r>
    </w:p>
    <w:p>
      <w:pPr>
        <w:spacing w:line="207" w:lineRule="auto"/>
        <w:ind w:left="606"/>
        <w:rPr>
          <w:rFonts w:ascii="STXihei" w:eastAsia="STXihei" w:hAnsi="STXihei" w:cs="STXihei"/>
          <w:sz w:val="29"/>
          <w:szCs w:val="29"/>
        </w:rPr>
      </w:pPr>
      <w:r>
        <w:rPr>
          <w:rFonts w:ascii="STXihei" w:eastAsia="STXihei" w:hAnsi="STXihei" w:cs="STXihei"/>
          <w:spacing w:val="-4"/>
          <w:sz w:val="29"/>
          <w:szCs w:val="29"/>
        </w:rPr>
        <w:t>策略，  可以避免度过产业链配套的艰难时光，但是跟随速度需要较为快速，</w:t>
      </w:r>
      <w:r>
        <w:rPr>
          <w:rFonts w:ascii="STXihei" w:eastAsia="STXihei" w:hAnsi="STXihei" w:cs="STXihei"/>
          <w:spacing w:val="-28"/>
          <w:sz w:val="29"/>
          <w:szCs w:val="29"/>
        </w:rPr>
        <w:t xml:space="preserve"> </w:t>
      </w:r>
      <w:r>
        <w:rPr>
          <w:rFonts w:ascii="STXihei" w:eastAsia="STXihei" w:hAnsi="STXihei" w:cs="STXihei"/>
          <w:spacing w:val="-4"/>
          <w:sz w:val="29"/>
          <w:szCs w:val="29"/>
        </w:rPr>
        <w:t>同样对研发提出了不低的要求。</w:t>
      </w:r>
    </w:p>
    <w:p>
      <w:pPr>
        <w:spacing w:before="242" w:line="206" w:lineRule="auto"/>
        <w:ind w:left="168"/>
        <w:rPr>
          <w:rFonts w:ascii="STXihei" w:eastAsia="STXihei" w:hAnsi="STXihei" w:cs="STXihei"/>
          <w:sz w:val="29"/>
          <w:szCs w:val="29"/>
        </w:rPr>
      </w:pPr>
      <w:r>
        <w:rPr>
          <w:rFonts w:ascii="Wingdings" w:eastAsia="Wingdings" w:hAnsi="Wingdings" w:cs="Wingdings"/>
          <w:color w:val="C00000"/>
          <w:spacing w:val="-2"/>
          <w:sz w:val="29"/>
          <w:szCs w:val="29"/>
        </w:rPr>
        <w:sym w:font="Wingdings" w:char="F070"/>
      </w:r>
      <w:r>
        <w:rPr>
          <w:rFonts w:ascii="Wingdings" w:eastAsia="Wingdings" w:hAnsi="Wingdings" w:cs="Wingdings"/>
          <w:color w:val="C00000"/>
          <w:spacing w:val="-44"/>
          <w:sz w:val="29"/>
          <w:szCs w:val="29"/>
        </w:rPr>
        <w:t xml:space="preserve"> </w:t>
      </w:r>
      <w:r>
        <w:rPr>
          <w:rFonts w:ascii="STXihei" w:eastAsia="STXihei" w:hAnsi="STXihei" w:cs="STXihei"/>
          <w:spacing w:val="-2"/>
          <w:sz w:val="29"/>
          <w:szCs w:val="29"/>
        </w:rPr>
        <w:t>二级市场方面，</w:t>
      </w:r>
      <w:r>
        <w:rPr>
          <w:rFonts w:ascii="STXihei" w:eastAsia="STXihei" w:hAnsi="STXihei" w:cs="STXihei"/>
          <w:spacing w:val="-35"/>
          <w:sz w:val="29"/>
          <w:szCs w:val="29"/>
        </w:rPr>
        <w:t xml:space="preserve"> </w:t>
      </w:r>
      <w:r>
        <w:rPr>
          <w:rFonts w:ascii="STXihei" w:eastAsia="STXihei" w:hAnsi="STXihei" w:cs="STXihei"/>
          <w:spacing w:val="-2"/>
          <w:sz w:val="29"/>
          <w:szCs w:val="29"/>
        </w:rPr>
        <w:t>因行业依然处于下行期，整体不具备较为明确的趋势性机会，技术突破等事件可能会带来阶段性投资机会。</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02" w:line="208" w:lineRule="auto"/>
        <w:ind w:left="154"/>
        <w:rPr>
          <w:rFonts w:ascii="STXihei" w:eastAsia="STXihei" w:hAnsi="STXihei" w:cs="STXihei"/>
          <w:sz w:val="29"/>
          <w:szCs w:val="29"/>
        </w:rPr>
      </w:pPr>
      <w:r>
        <w:rPr>
          <w:rFonts w:ascii="STXihei" w:eastAsia="STXihei" w:hAnsi="STXihei" w:cs="STXihei"/>
          <w:color w:val="C00000"/>
          <w:spacing w:val="-10"/>
          <w:sz w:val="29"/>
          <w:szCs w:val="29"/>
          <w14:textOutline w14:w="5290">
            <w14:solidFill>
              <w14:srgbClr w14:val="C00000"/>
            </w14:solidFill>
            <w14:prstDash w14:val="solid"/>
            <w14:round/>
          </w14:textOutline>
        </w:rPr>
        <w:t>风险提示：</w:t>
      </w:r>
    </w:p>
    <w:p>
      <w:pPr>
        <w:spacing w:line="242" w:lineRule="auto"/>
        <w:rPr>
          <w:rFonts w:ascii="Arial"/>
          <w:sz w:val="21"/>
        </w:rPr>
        <w:sectPr>
          <w:headerReference w:type="default" r:id="rId13"/>
          <w:footerReference w:type="default" r:id="rId14"/>
          <w:pgSz w:w="19200" w:h="10800"/>
          <w:pgMar w:top="1136" w:right="723" w:bottom="330" w:left="992" w:header="273" w:footer="0" w:gutter="0"/>
          <w:pgNumType w:start="6"/>
          <w:cols w:space="708"/>
        </w:sectPr>
      </w:pPr>
    </w:p>
    <w:p>
      <w:pPr>
        <w:spacing w:line="243" w:lineRule="auto"/>
        <w:rPr>
          <w:rFonts w:ascii="Arial"/>
          <w:sz w:val="21"/>
        </w:rPr>
      </w:pPr>
    </w:p>
    <w:p>
      <w:pPr>
        <w:spacing w:line="243" w:lineRule="auto"/>
        <w:rPr>
          <w:rFonts w:ascii="Arial"/>
          <w:sz w:val="21"/>
        </w:rPr>
      </w:pPr>
    </w:p>
    <w:p>
      <w:pPr>
        <w:spacing w:before="102" w:line="207" w:lineRule="auto"/>
        <w:ind w:left="168"/>
        <w:rPr>
          <w:rFonts w:ascii="STXihei" w:eastAsia="STXihei" w:hAnsi="STXihei" w:cs="STXihei"/>
          <w:sz w:val="29"/>
          <w:szCs w:val="29"/>
        </w:rPr>
      </w:pPr>
      <w:r>
        <w:rPr>
          <w:rFonts w:ascii="Wingdings" w:eastAsia="Wingdings" w:hAnsi="Wingdings" w:cs="Wingdings"/>
          <w:color w:val="C00000"/>
          <w:spacing w:val="-1"/>
          <w:sz w:val="29"/>
          <w:szCs w:val="29"/>
        </w:rPr>
        <w:sym w:font="Wingdings" w:char="F070"/>
      </w:r>
      <w:r>
        <w:rPr>
          <w:rFonts w:ascii="Wingdings" w:eastAsia="Wingdings" w:hAnsi="Wingdings" w:cs="Wingdings"/>
          <w:color w:val="C00000"/>
          <w:spacing w:val="-65"/>
          <w:sz w:val="29"/>
          <w:szCs w:val="29"/>
        </w:rPr>
        <w:t xml:space="preserve"> </w:t>
      </w:r>
      <w:r>
        <w:rPr>
          <w:rFonts w:ascii="STXihei" w:eastAsia="STXihei" w:hAnsi="STXihei" w:cs="STXihei"/>
          <w:spacing w:val="-1"/>
          <w:sz w:val="29"/>
          <w:szCs w:val="29"/>
        </w:rPr>
        <w:t>行业需求不及预期，会带来竞争进一步恶化，竞争加剧会减缓新技术发展，导</w:t>
      </w:r>
      <w:r>
        <w:rPr>
          <w:rFonts w:ascii="STXihei" w:eastAsia="STXihei" w:hAnsi="STXihei" w:cs="STXihei"/>
          <w:spacing w:val="-2"/>
          <w:sz w:val="29"/>
          <w:szCs w:val="29"/>
        </w:rPr>
        <w:t>致新技术发展迟缓。</w:t>
      </w:r>
    </w:p>
    <w:p>
      <w:pPr>
        <w:spacing w:before="242" w:line="207" w:lineRule="auto"/>
        <w:ind w:left="168"/>
        <w:rPr>
          <w:rFonts w:ascii="STXihei" w:eastAsia="STXihei" w:hAnsi="STXihei" w:cs="STXihei"/>
          <w:sz w:val="29"/>
          <w:szCs w:val="29"/>
        </w:rPr>
      </w:pPr>
      <w:r>
        <w:rPr>
          <w:rFonts w:ascii="Wingdings" w:eastAsia="Wingdings" w:hAnsi="Wingdings" w:cs="Wingdings"/>
          <w:color w:val="C00000"/>
          <w:spacing w:val="-1"/>
          <w:sz w:val="29"/>
          <w:szCs w:val="29"/>
        </w:rPr>
        <w:sym w:font="Wingdings" w:char="F070"/>
      </w:r>
      <w:r>
        <w:rPr>
          <w:rFonts w:ascii="Wingdings" w:eastAsia="Wingdings" w:hAnsi="Wingdings" w:cs="Wingdings"/>
          <w:color w:val="C00000"/>
          <w:spacing w:val="-68"/>
          <w:sz w:val="29"/>
          <w:szCs w:val="29"/>
        </w:rPr>
        <w:t xml:space="preserve"> </w:t>
      </w:r>
      <w:r>
        <w:rPr>
          <w:rFonts w:ascii="STXihei" w:eastAsia="STXihei" w:hAnsi="STXihei" w:cs="STXihei"/>
          <w:spacing w:val="-1"/>
          <w:sz w:val="29"/>
          <w:szCs w:val="29"/>
        </w:rPr>
        <w:t>地缘政治风险，逆全球化带来落后产能出现，</w:t>
      </w:r>
      <w:r>
        <w:rPr>
          <w:rFonts w:ascii="STXihei" w:eastAsia="STXihei" w:hAnsi="STXihei" w:cs="STXihei"/>
          <w:spacing w:val="-35"/>
          <w:sz w:val="29"/>
          <w:szCs w:val="29"/>
        </w:rPr>
        <w:t xml:space="preserve"> </w:t>
      </w:r>
      <w:r>
        <w:rPr>
          <w:rFonts w:ascii="STXihei" w:eastAsia="STXihei" w:hAnsi="STXihei" w:cs="STXihei"/>
          <w:spacing w:val="-1"/>
          <w:sz w:val="29"/>
          <w:szCs w:val="29"/>
        </w:rPr>
        <w:t>中国产能相对领先，其他国家建设产能预计较为落后，</w:t>
      </w:r>
      <w:r>
        <w:rPr>
          <w:rFonts w:ascii="STXihei" w:eastAsia="STXihei" w:hAnsi="STXihei" w:cs="STXihei"/>
          <w:spacing w:val="-2"/>
          <w:sz w:val="29"/>
          <w:szCs w:val="29"/>
        </w:rPr>
        <w:t>会引起行业产能整体落后，新</w:t>
      </w:r>
    </w:p>
    <w:p>
      <w:pPr>
        <w:spacing w:before="174" w:line="166" w:lineRule="auto"/>
        <w:jc w:val="right"/>
        <w:rPr>
          <w:rFonts w:ascii="Arial" w:eastAsia="Arial" w:hAnsi="Arial" w:cs="Arial"/>
          <w:sz w:val="20"/>
          <w:szCs w:val="20"/>
        </w:rPr>
      </w:pPr>
      <w:r>
        <w:rPr>
          <w:rFonts w:ascii="STXihei" w:eastAsia="STXihei" w:hAnsi="STXihei" w:cs="STXihei"/>
          <w:sz w:val="29"/>
          <w:szCs w:val="29"/>
        </w:rPr>
        <w:t xml:space="preserve">技术进步也会放缓。                                                                                                                                                   </w:t>
      </w:r>
      <w:r>
        <w:rPr>
          <w:rFonts w:ascii="STXihei" w:eastAsia="STXihei" w:hAnsi="STXihei" w:cs="STXihei"/>
          <w:spacing w:val="-1"/>
          <w:sz w:val="29"/>
          <w:szCs w:val="29"/>
        </w:rPr>
        <w:t xml:space="preserve">                                                 </w:t>
      </w:r>
      <w:r>
        <w:rPr>
          <w:rFonts w:ascii="Arial" w:eastAsia="Arial" w:hAnsi="Arial" w:cs="Arial"/>
          <w:color w:val="898989"/>
          <w:spacing w:val="-1"/>
          <w:sz w:val="20"/>
          <w:szCs w:val="20"/>
        </w:rPr>
        <w:t>3</w:t>
      </w:r>
    </w:p>
    <w:p>
      <w:pPr>
        <w:spacing w:line="166" w:lineRule="auto"/>
        <w:rPr>
          <w:rFonts w:ascii="Arial" w:eastAsia="Arial" w:hAnsi="Arial" w:cs="Arial"/>
          <w:sz w:val="20"/>
          <w:szCs w:val="20"/>
        </w:rPr>
        <w:sectPr>
          <w:headerReference w:type="default" r:id="rId15"/>
          <w:footerReference w:type="default" r:id="rId16"/>
          <w:type w:val="nextPage"/>
          <w:pgSz w:w="19200" w:h="10800"/>
          <w:pgMar w:top="1136" w:right="723" w:bottom="330" w:left="992" w:header="273" w:footer="0" w:gutter="0"/>
          <w:pgNumType w:start="7"/>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line="1896" w:lineRule="exact"/>
      </w:pPr>
      <w:r>
        <w:rPr>
          <w:position w:val="-37"/>
        </w:rPr>
        <w:pict>
          <v:group id="_x0000_i1025" style="width:959.95pt;height:94.85pt;mso-position-horizontal-relative:char;mso-position-vertical-relative:line" coordorigin="0,0" coordsize="19199,189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9198;height:1896;position:absolute" filled="f" stroked="f">
              <v:imagedata r:id="rId17" o:title=""/>
            </v:shape>
            <v:rect id="_x0000_s1027" style="width:9425;height:1896;left:9772;position:absolute" filled="t" fillcolor="#221714" stroked="f">
              <v:fill opacity="6168f"/>
            </v:rect>
            <v:shapetype id="_x0000_t202" coordsize="21600,21600" o:spt="202" path="m,l,21600r21600,l21600,xe">
              <v:stroke joinstyle="miter"/>
              <v:path gradientshapeok="t" o:connecttype="rect"/>
            </v:shapetype>
            <v:shape id="_x0000_s1028" type="#_x0000_t202" style="width:2380;height:525;left:1851;position:absolute;top:662" filled="f" stroked="f">
              <o:lock v:ext="edit" aspectratio="f"/>
              <v:textbox inset="0,0,0,0">
                <w:txbxContent>
                  <w:p>
                    <w:pPr>
                      <w:spacing w:before="20" w:line="197" w:lineRule="auto"/>
                      <w:jc w:val="right"/>
                      <w:outlineLvl w:val="1"/>
                      <w:rPr>
                        <w:rFonts w:ascii="Arial" w:eastAsia="Arial" w:hAnsi="Arial" w:cs="Arial"/>
                        <w:sz w:val="65"/>
                        <w:szCs w:val="65"/>
                      </w:rPr>
                    </w:pPr>
                    <w:r>
                      <w:rPr>
                        <w:rFonts w:ascii="Arial" w:eastAsia="Arial" w:hAnsi="Arial" w:cs="Arial"/>
                        <w:color w:val="FFFFFF"/>
                        <w:spacing w:val="-34"/>
                        <w:sz w:val="65"/>
                        <w:szCs w:val="65"/>
                      </w:rPr>
                      <w:t>Content</w:t>
                    </w:r>
                    <w:r>
                      <w:rPr>
                        <w:rFonts w:ascii="Arial" w:eastAsia="Arial" w:hAnsi="Arial" w:cs="Arial"/>
                        <w:color w:val="FFFFFF"/>
                        <w:spacing w:val="-26"/>
                        <w:sz w:val="65"/>
                        <w:szCs w:val="65"/>
                      </w:rPr>
                      <w:t>s</w:t>
                    </w:r>
                  </w:p>
                </w:txbxContent>
              </v:textbox>
            </v:shape>
            <v:shape id="_x0000_s1029" type="#_x0000_t202" style="width:940;height:537;left:4441;position:absolute;top:733" filled="f" stroked="f">
              <o:lock v:ext="edit" aspectratio="f"/>
              <v:textbox inset="0,0,0,0">
                <w:txbxContent>
                  <w:p>
                    <w:pPr>
                      <w:spacing w:before="18" w:line="199" w:lineRule="auto"/>
                      <w:ind w:left="20"/>
                      <w:rPr>
                        <w:rFonts w:ascii="Microsoft YaHei" w:eastAsia="Microsoft YaHei" w:hAnsi="Microsoft YaHei" w:cs="Microsoft YaHei"/>
                        <w:sz w:val="46"/>
                        <w:szCs w:val="46"/>
                      </w:rPr>
                    </w:pPr>
                    <w:r>
                      <w:rPr>
                        <w:rFonts w:ascii="Microsoft YaHei" w:eastAsia="Microsoft YaHei" w:hAnsi="Microsoft YaHei" w:cs="Microsoft YaHei"/>
                        <w:color w:val="FFFFFF"/>
                        <w:spacing w:val="-5"/>
                        <w:sz w:val="46"/>
                        <w:szCs w:val="46"/>
                      </w:rPr>
                      <w:t>目录</w:t>
                    </w:r>
                  </w:p>
                </w:txbxContent>
              </v:textbox>
            </v:shape>
            <w10:wrap type="none"/>
          </v:group>
        </w:pict>
      </w:r>
    </w:p>
    <w:p>
      <w:pPr>
        <w:spacing w:before="15"/>
      </w:pPr>
    </w:p>
    <w:p>
      <w:pPr>
        <w:spacing w:before="15"/>
      </w:pPr>
    </w:p>
    <w:p>
      <w:pPr>
        <w:spacing w:before="15"/>
      </w:pPr>
    </w:p>
    <w:p>
      <w:pPr>
        <w:spacing w:before="15"/>
      </w:pPr>
    </w:p>
    <w:p>
      <w:pPr>
        <w:spacing w:before="15"/>
      </w:pPr>
    </w:p>
    <w:p>
      <w:pPr>
        <w:spacing w:before="15"/>
      </w:pPr>
    </w:p>
    <w:p>
      <w:pPr>
        <w:sectPr>
          <w:headerReference w:type="default" r:id="rId18"/>
          <w:footerReference w:type="default" r:id="rId19"/>
          <w:pgSz w:w="19200" w:h="10800"/>
          <w:pgMar w:top="400" w:right="0" w:bottom="400" w:left="1" w:header="0" w:footer="0" w:gutter="0"/>
          <w:pgNumType w:start="8"/>
          <w:cols w:num="1" w:space="708" w:equalWidth="0">
            <w:col w:w="19199" w:space="0"/>
          </w:cols>
        </w:sectPr>
      </w:pPr>
    </w:p>
    <w:p>
      <w:pPr>
        <w:pStyle w:val="BodyText"/>
        <w:spacing w:line="1136" w:lineRule="exact"/>
        <w:ind w:firstLine="1822"/>
      </w:pPr>
      <w:r>
        <w:rPr>
          <w:position w:val="-22"/>
        </w:rPr>
        <w:pict>
          <v:group id="_x0000_i1030" style="width:56.9pt;height:56.85pt;mso-position-horizontal-relative:char;mso-position-vertical-relative:line" coordorigin="0,0" coordsize="1138,1136" filled="f" stroked="f">
            <v:shape id="_x0000_s1031" style="width:1138;height:1136;position:absolute" coordorigin="0,0" coordsize="1138,1136" path="m1119,567l1118,522l1112,478l1103,435l1091,393l1076,353l1058,314l1037,277l1013,242l987,209l958,178l927,149l894,123l858,99l821,78l783,60l742,45l701,33l658,24l613,19l568,17l523,19l479,24l436,33l394,45l354,60l315,78l278,99l243,123l209,149l178,178l150,209l123,242l99,277l78,314l60,353l45,393l33,435l24,478l19,522l17,567l19,613l24,657l33,700l45,742l60,782l78,821l99,858l123,893l150,926l178,957l209,986l243,1012l278,1036l315,1057l354,1075l394,1090l436,1102l479,1111l523,1116l568,1118l613,1116l658,1111l701,1102l742,1090l783,1075l821,1057l858,1036l894,1012l927,986l958,957l987,926l1013,893l1037,858l1058,821l1076,782l1091,742l1103,700l1112,657l1118,613l1119,567xe" filled="f" strokecolor="#3d3939" strokeweight="1.73pt"/>
            <v:shape id="_x0000_s1032" type="#_x0000_t202" style="width:1178;height:1176;left:-20;position:absolute;top:-20" filled="f" stroked="f">
              <o:lock v:ext="edit" aspectratio="f"/>
              <v:textbox inset="0,0,0,0">
                <w:txbxContent>
                  <w:p>
                    <w:pPr>
                      <w:spacing w:before="345" w:line="173" w:lineRule="auto"/>
                      <w:ind w:left="333"/>
                      <w:rPr>
                        <w:rFonts w:ascii="Microsoft YaHei" w:eastAsia="Microsoft YaHei" w:hAnsi="Microsoft YaHei" w:cs="Microsoft YaHei"/>
                        <w:sz w:val="59"/>
                        <w:szCs w:val="59"/>
                      </w:rPr>
                    </w:pPr>
                    <w:r>
                      <w:rPr>
                        <w:rFonts w:ascii="Microsoft YaHei" w:eastAsia="Microsoft YaHei" w:hAnsi="Microsoft YaHei" w:cs="Microsoft YaHei"/>
                        <w:spacing w:val="-12"/>
                        <w:sz w:val="59"/>
                        <w:szCs w:val="59"/>
                      </w:rPr>
                      <w:t>01</w:t>
                    </w:r>
                  </w:p>
                </w:txbxContent>
              </v:textbox>
            </v:shape>
            <w10:wrap type="none"/>
          </v:group>
        </w:pict>
      </w:r>
    </w:p>
    <w:p>
      <w:pPr>
        <w:spacing w:line="14" w:lineRule="auto"/>
        <w:rPr>
          <w:rFonts w:ascii="Arial"/>
          <w:sz w:val="2"/>
        </w:rPr>
      </w:pPr>
      <w:r>
        <w:rPr>
          <w:rFonts w:ascii="Arial" w:eastAsia="Arial" w:hAnsi="Arial" w:cs="Arial"/>
          <w:sz w:val="2"/>
          <w:szCs w:val="2"/>
        </w:rPr>
        <w:br w:type="column"/>
      </w:r>
    </w:p>
    <w:p>
      <w:pPr>
        <w:spacing w:line="280" w:lineRule="auto"/>
        <w:rPr>
          <w:rFonts w:ascii="Arial"/>
          <w:sz w:val="21"/>
        </w:rPr>
      </w:pPr>
    </w:p>
    <w:p>
      <w:pPr>
        <w:spacing w:before="132" w:line="204" w:lineRule="auto"/>
        <w:ind w:right="1188"/>
        <w:rPr>
          <w:rFonts w:ascii="DengXian" w:eastAsia="DengXian" w:hAnsi="DengXian" w:cs="DengXian"/>
          <w:sz w:val="39"/>
          <w:szCs w:val="39"/>
        </w:rPr>
      </w:pPr>
      <w:r>
        <w:rPr>
          <w:rFonts w:ascii="DengXian" w:eastAsia="DengXian" w:hAnsi="DengXian" w:cs="DengXian"/>
          <w:spacing w:val="11"/>
          <w:sz w:val="39"/>
          <w:szCs w:val="39"/>
        </w:rPr>
        <w:t>光伏行业进入下行期，技术进</w:t>
      </w:r>
      <w:r>
        <w:rPr>
          <w:rFonts w:ascii="DengXian" w:eastAsia="DengXian" w:hAnsi="DengXian" w:cs="DengXian"/>
          <w:spacing w:val="2"/>
          <w:sz w:val="39"/>
          <w:szCs w:val="39"/>
        </w:rPr>
        <w:t xml:space="preserve"> </w:t>
      </w:r>
      <w:r>
        <w:rPr>
          <w:rFonts w:ascii="DengXian" w:eastAsia="DengXian" w:hAnsi="DengXian" w:cs="DengXian"/>
          <w:spacing w:val="9"/>
          <w:sz w:val="39"/>
          <w:szCs w:val="39"/>
        </w:rPr>
        <w:t>步作用更加凸显</w:t>
      </w:r>
    </w:p>
    <w:p>
      <w:pPr>
        <w:spacing w:line="14" w:lineRule="auto"/>
        <w:rPr>
          <w:rFonts w:ascii="Arial"/>
          <w:sz w:val="2"/>
        </w:rPr>
      </w:pPr>
      <w:r>
        <w:rPr>
          <w:rFonts w:ascii="Arial" w:eastAsia="Arial" w:hAnsi="Arial" w:cs="Arial"/>
          <w:sz w:val="2"/>
          <w:szCs w:val="2"/>
        </w:rPr>
        <w:br w:type="column"/>
      </w:r>
    </w:p>
    <w:p>
      <w:pPr>
        <w:pStyle w:val="BodyText"/>
        <w:spacing w:line="1134" w:lineRule="exact"/>
      </w:pPr>
      <w:r>
        <w:rPr>
          <w:position w:val="-22"/>
        </w:rPr>
        <w:pict>
          <v:group id="_x0000_i1033" style="width:56.9pt;height:56.85pt;mso-position-horizontal-relative:char;mso-position-vertical-relative:line" coordorigin="0,0" coordsize="1138,1136" filled="f" stroked="f">
            <v:shape id="_x0000_s1034" style="width:1138;height:1136;position:absolute" coordorigin="0,0" coordsize="1138,1136" path="m1119,567l1118,522l1112,478l1103,435l1091,393l1076,353l1058,314l1037,277l1013,242l987,209l958,178l927,149l894,123l858,99l821,78l783,60l742,45l701,33l658,24l613,19l568,17l523,19l479,24l436,33l394,45l354,60l315,78l278,99l243,123l209,149l178,178l150,209l123,242l99,277l78,314l60,353l45,393l33,435l24,478l19,522l17,567l19,613l24,657l33,700l45,742l60,782l78,821l99,858l123,893l150,926l178,957l209,986l243,1012l278,1036l315,1057l354,1075l394,1090l436,1102l479,1111l523,1116l568,1118l613,1116l658,1111l701,1102l742,1090l783,1075l821,1057l858,1036l894,1012l927,986l958,957l987,926l1013,893l1037,858l1058,821l1076,782l1091,742l1103,700l1112,657l1118,613l1119,567xe" filled="f" strokecolor="#3d3939" strokeweight="1.73pt"/>
            <v:shape id="_x0000_s1035" type="#_x0000_t202" style="width:1178;height:1176;left:-20;position:absolute;top:-20" filled="f" stroked="f">
              <o:lock v:ext="edit" aspectratio="f"/>
              <v:textbox inset="0,0,0,0">
                <w:txbxContent>
                  <w:p>
                    <w:pPr>
                      <w:spacing w:before="345" w:line="173" w:lineRule="auto"/>
                      <w:ind w:left="297"/>
                      <w:rPr>
                        <w:rFonts w:ascii="Microsoft YaHei" w:eastAsia="Microsoft YaHei" w:hAnsi="Microsoft YaHei" w:cs="Microsoft YaHei"/>
                        <w:sz w:val="59"/>
                        <w:szCs w:val="59"/>
                      </w:rPr>
                    </w:pPr>
                    <w:r>
                      <w:rPr>
                        <w:rFonts w:ascii="Microsoft YaHei" w:eastAsia="Microsoft YaHei" w:hAnsi="Microsoft YaHei" w:cs="Microsoft YaHei"/>
                        <w:spacing w:val="-12"/>
                        <w:sz w:val="59"/>
                        <w:szCs w:val="59"/>
                      </w:rPr>
                      <w:t>02</w:t>
                    </w:r>
                  </w:p>
                </w:txbxContent>
              </v:textbox>
            </v:shape>
            <w10:wrap type="none"/>
          </v:group>
        </w:pict>
      </w:r>
    </w:p>
    <w:p>
      <w:pPr>
        <w:spacing w:line="14" w:lineRule="auto"/>
        <w:rPr>
          <w:rFonts w:ascii="Arial"/>
          <w:sz w:val="2"/>
        </w:rPr>
      </w:pPr>
      <w:r>
        <w:rPr>
          <w:rFonts w:ascii="Arial" w:eastAsia="Arial" w:hAnsi="Arial" w:cs="Arial"/>
          <w:sz w:val="2"/>
          <w:szCs w:val="2"/>
        </w:rPr>
        <w:br w:type="column"/>
      </w:r>
    </w:p>
    <w:p>
      <w:pPr>
        <w:spacing w:line="280" w:lineRule="auto"/>
        <w:rPr>
          <w:rFonts w:ascii="Arial"/>
          <w:sz w:val="21"/>
        </w:rPr>
      </w:pPr>
    </w:p>
    <w:p>
      <w:pPr>
        <w:spacing w:before="132" w:line="218" w:lineRule="auto"/>
        <w:ind w:left="33"/>
        <w:rPr>
          <w:rFonts w:ascii="DengXian" w:eastAsia="DengXian" w:hAnsi="DengXian" w:cs="DengXian"/>
          <w:sz w:val="39"/>
          <w:szCs w:val="39"/>
        </w:rPr>
      </w:pPr>
      <w:r>
        <w:rPr>
          <w:rFonts w:ascii="DengXian" w:eastAsia="DengXian" w:hAnsi="DengXian" w:cs="DengXian"/>
          <w:spacing w:val="5"/>
          <w:sz w:val="39"/>
          <w:szCs w:val="39"/>
        </w:rPr>
        <w:t>电池技术迭代时间较长，企业</w:t>
      </w:r>
    </w:p>
    <w:p>
      <w:pPr>
        <w:spacing w:line="190" w:lineRule="auto"/>
        <w:rPr>
          <w:rFonts w:ascii="DengXian" w:eastAsia="DengXian" w:hAnsi="DengXian" w:cs="DengXian"/>
          <w:sz w:val="39"/>
          <w:szCs w:val="39"/>
        </w:rPr>
      </w:pPr>
      <w:r>
        <w:rPr>
          <w:rFonts w:ascii="DengXian" w:eastAsia="DengXian" w:hAnsi="DengXian" w:cs="DengXian"/>
          <w:spacing w:val="7"/>
          <w:sz w:val="39"/>
          <w:szCs w:val="39"/>
        </w:rPr>
        <w:t>技术路线选择慎重</w:t>
      </w:r>
    </w:p>
    <w:p>
      <w:pPr>
        <w:spacing w:line="190" w:lineRule="auto"/>
        <w:rPr>
          <w:rFonts w:ascii="DengXian" w:eastAsia="DengXian" w:hAnsi="DengXian" w:cs="DengXian"/>
          <w:sz w:val="39"/>
          <w:szCs w:val="39"/>
        </w:rPr>
        <w:sectPr>
          <w:headerReference w:type="default" r:id="rId20"/>
          <w:footerReference w:type="default" r:id="rId21"/>
          <w:type w:val="continuous"/>
          <w:pgSz w:w="19200" w:h="10800"/>
          <w:pgMar w:top="400" w:right="0" w:bottom="400" w:left="1" w:header="0" w:footer="0" w:gutter="0"/>
          <w:pgNumType w:start="9"/>
          <w:cols w:num="4" w:space="708" w:equalWidth="0">
            <w:col w:w="3182" w:space="100"/>
            <w:col w:w="6407" w:space="100"/>
            <w:col w:w="1542" w:space="100"/>
            <w:col w:w="7770" w:space="0"/>
          </w:cols>
        </w:sectPr>
      </w:pPr>
    </w:p>
    <w:p>
      <w:pPr>
        <w:spacing w:before="8"/>
      </w:pPr>
    </w:p>
    <w:p>
      <w:pPr>
        <w:spacing w:before="8"/>
      </w:pPr>
    </w:p>
    <w:p>
      <w:pPr>
        <w:spacing w:before="7"/>
      </w:pPr>
    </w:p>
    <w:p>
      <w:pPr>
        <w:spacing w:before="7"/>
      </w:pPr>
    </w:p>
    <w:p>
      <w:pPr>
        <w:spacing w:before="7"/>
      </w:pPr>
    </w:p>
    <w:p>
      <w:pPr>
        <w:spacing w:before="7"/>
      </w:pPr>
    </w:p>
    <w:p>
      <w:pPr>
        <w:sectPr>
          <w:headerReference w:type="default" r:id="rId22"/>
          <w:footerReference w:type="default" r:id="rId23"/>
          <w:type w:val="continuous"/>
          <w:pgSz w:w="19200" w:h="10800"/>
          <w:pgMar w:top="400" w:right="0" w:bottom="400" w:left="1" w:header="0" w:footer="0" w:gutter="0"/>
          <w:pgNumType w:start="10"/>
          <w:cols w:num="1" w:space="708" w:equalWidth="0">
            <w:col w:w="19199" w:space="0"/>
          </w:cols>
        </w:sectPr>
      </w:pPr>
    </w:p>
    <w:p>
      <w:pPr>
        <w:pStyle w:val="BodyText"/>
        <w:spacing w:line="1137" w:lineRule="exact"/>
        <w:ind w:firstLine="1822"/>
      </w:pPr>
      <w:r>
        <w:rPr>
          <w:position w:val="-22"/>
        </w:rPr>
        <w:pict>
          <v:group id="_x0000_i1036" style="width:56.9pt;height:56.9pt;mso-position-horizontal-relative:char;mso-position-vertical-relative:line" coordorigin="0,0" coordsize="1138,1138" filled="f" stroked="f">
            <v:shape id="_x0000_s1037" style="width:1138;height:1138;position:absolute" coordorigin="0,0" coordsize="1138,1138" path="m1119,568l1118,523l1112,479l1103,436l1091,394l1076,354l1058,315l1037,278l1013,243l987,209l958,178l927,150l894,123l858,99l821,78l783,60l742,45l701,33l658,24l613,19l568,17l523,19l479,24l436,33l394,45l354,60l315,78l278,99l243,123l209,150l178,178l150,209l123,243l99,278l78,315l60,354l45,394l33,436l24,479l19,523l17,568l19,613l24,658l33,701l45,742l60,783l78,821l99,858l123,894l150,927l178,958l209,987l243,1013l278,1037l315,1058l354,1076l394,1091l436,1103l479,1112l523,1118l568,1119l613,1118l658,1112l701,1103l742,1091l783,1076l821,1058l858,1037l894,1013l927,987l958,958l987,927l1013,894l1037,858l1058,821l1076,783l1091,742l1103,701l1112,658l1118,613l1119,568xe" filled="f" strokecolor="#3d3939" strokeweight="1.73pt"/>
            <v:shape id="_x0000_s1038" type="#_x0000_t202" style="width:1178;height:1178;left:-20;position:absolute;top:-20" filled="f" stroked="f">
              <o:lock v:ext="edit" aspectratio="f"/>
              <v:textbox inset="0,0,0,0">
                <w:txbxContent>
                  <w:p>
                    <w:pPr>
                      <w:spacing w:before="347" w:line="173" w:lineRule="auto"/>
                      <w:ind w:left="305"/>
                      <w:rPr>
                        <w:rFonts w:ascii="Microsoft YaHei" w:eastAsia="Microsoft YaHei" w:hAnsi="Microsoft YaHei" w:cs="Microsoft YaHei"/>
                        <w:sz w:val="59"/>
                        <w:szCs w:val="59"/>
                      </w:rPr>
                    </w:pPr>
                    <w:r>
                      <w:rPr>
                        <w:rFonts w:ascii="Microsoft YaHei" w:eastAsia="Microsoft YaHei" w:hAnsi="Microsoft YaHei" w:cs="Microsoft YaHei"/>
                        <w:spacing w:val="-12"/>
                        <w:sz w:val="59"/>
                        <w:szCs w:val="59"/>
                      </w:rPr>
                      <w:t>03</w:t>
                    </w:r>
                  </w:p>
                </w:txbxContent>
              </v:textbox>
            </v:shape>
            <w10:wrap type="none"/>
          </v:group>
        </w:pict>
      </w:r>
    </w:p>
    <w:p>
      <w:pPr>
        <w:spacing w:line="14" w:lineRule="auto"/>
        <w:rPr>
          <w:rFonts w:ascii="Arial"/>
          <w:sz w:val="2"/>
        </w:rPr>
      </w:pPr>
      <w:r>
        <w:rPr>
          <w:rFonts w:ascii="Arial" w:eastAsia="Arial" w:hAnsi="Arial" w:cs="Arial"/>
          <w:sz w:val="2"/>
          <w:szCs w:val="2"/>
        </w:rPr>
        <w:br w:type="column"/>
      </w:r>
    </w:p>
    <w:p>
      <w:pPr>
        <w:spacing w:before="353" w:line="204" w:lineRule="auto"/>
        <w:ind w:right="1244" w:firstLine="27"/>
        <w:rPr>
          <w:rFonts w:ascii="DengXian" w:eastAsia="DengXian" w:hAnsi="DengXian" w:cs="DengXian"/>
          <w:sz w:val="39"/>
          <w:szCs w:val="39"/>
        </w:rPr>
      </w:pPr>
      <w:r>
        <w:rPr>
          <w:rFonts w:ascii="DengXian" w:eastAsia="DengXian" w:hAnsi="DengXian" w:cs="DengXian"/>
          <w:spacing w:val="6"/>
          <w:sz w:val="39"/>
          <w:szCs w:val="39"/>
        </w:rPr>
        <w:t>晶硅电池路径多样，发展方向</w:t>
      </w:r>
      <w:r>
        <w:rPr>
          <w:rFonts w:ascii="DengXian" w:eastAsia="DengXian" w:hAnsi="DengXian" w:cs="DengXian"/>
          <w:spacing w:val="2"/>
          <w:sz w:val="39"/>
          <w:szCs w:val="39"/>
        </w:rPr>
        <w:t xml:space="preserve"> </w:t>
      </w:r>
      <w:r>
        <w:rPr>
          <w:rFonts w:ascii="DengXian" w:eastAsia="DengXian" w:hAnsi="DengXian" w:cs="DengXian"/>
          <w:spacing w:val="5"/>
          <w:sz w:val="39"/>
          <w:szCs w:val="39"/>
        </w:rPr>
        <w:t>逐渐清晰</w:t>
      </w:r>
    </w:p>
    <w:p>
      <w:pPr>
        <w:spacing w:line="14" w:lineRule="auto"/>
        <w:rPr>
          <w:rFonts w:ascii="Arial"/>
          <w:sz w:val="2"/>
        </w:rPr>
      </w:pPr>
      <w:r>
        <w:rPr>
          <w:rFonts w:ascii="Arial" w:eastAsia="Arial" w:hAnsi="Arial" w:cs="Arial"/>
          <w:sz w:val="2"/>
          <w:szCs w:val="2"/>
        </w:rPr>
        <w:br w:type="column"/>
      </w:r>
    </w:p>
    <w:p>
      <w:pPr>
        <w:pStyle w:val="BodyText"/>
        <w:spacing w:line="1135" w:lineRule="exact"/>
      </w:pPr>
      <w:r>
        <w:rPr>
          <w:position w:val="-22"/>
        </w:rPr>
        <w:pict>
          <v:group id="_x0000_i1039" style="width:56.9pt;height:56.9pt;mso-position-horizontal-relative:char;mso-position-vertical-relative:line" coordorigin="0,0" coordsize="1138,1138" filled="f" stroked="f">
            <v:shape id="_x0000_s1040" style="width:1138;height:1138;position:absolute" coordorigin="0,0" coordsize="1138,1138" path="m1119,568l1118,523l1112,479l1103,436l1091,394l1076,354l1058,315l1037,278l1013,243l987,209l958,178l927,150l894,123l858,99l821,78l783,60l742,45l701,33l658,24l613,19l568,17l523,19l479,24l436,33l394,45l354,60l315,78l278,99l243,123l209,150l178,178l150,209l123,243l99,278l78,315l60,354l45,394l33,436l24,479l19,523l17,568l19,613l24,658l33,701l45,742l60,783l78,821l99,858l123,894l150,927l178,958l209,987l243,1013l278,1037l315,1058l354,1076l394,1091l436,1103l479,1112l523,1118l568,1119l613,1118l658,1112l701,1103l742,1091l783,1076l821,1058l858,1037l894,1013l927,987l958,958l987,927l1013,894l1037,858l1058,821l1076,783l1091,742l1103,701l1112,658l1118,613l1119,568xe" filled="f" strokecolor="#3d3939" strokeweight="1.73pt"/>
            <v:shape id="_x0000_s1041" type="#_x0000_t202" style="width:1178;height:1178;left:-20;position:absolute;top:-20" filled="f" stroked="f">
              <o:lock v:ext="edit" aspectratio="f"/>
              <v:textbox inset="0,0,0,0">
                <w:txbxContent>
                  <w:p>
                    <w:pPr>
                      <w:spacing w:before="347" w:line="173" w:lineRule="auto"/>
                      <w:ind w:left="297"/>
                      <w:rPr>
                        <w:rFonts w:ascii="Microsoft YaHei" w:eastAsia="Microsoft YaHei" w:hAnsi="Microsoft YaHei" w:cs="Microsoft YaHei"/>
                        <w:sz w:val="59"/>
                        <w:szCs w:val="59"/>
                      </w:rPr>
                    </w:pPr>
                    <w:r>
                      <w:rPr>
                        <w:rFonts w:ascii="Microsoft YaHei" w:eastAsia="Microsoft YaHei" w:hAnsi="Microsoft YaHei" w:cs="Microsoft YaHei"/>
                        <w:spacing w:val="-12"/>
                        <w:sz w:val="59"/>
                        <w:szCs w:val="59"/>
                      </w:rPr>
                      <w:t>04</w:t>
                    </w:r>
                  </w:p>
                </w:txbxContent>
              </v:textbox>
            </v:shape>
            <w10:wrap type="none"/>
          </v:group>
        </w:pict>
      </w:r>
    </w:p>
    <w:p>
      <w:pPr>
        <w:spacing w:line="14" w:lineRule="auto"/>
        <w:rPr>
          <w:rFonts w:ascii="Arial"/>
          <w:sz w:val="2"/>
        </w:rPr>
      </w:pPr>
      <w:r>
        <w:rPr>
          <w:rFonts w:ascii="Arial" w:eastAsia="Arial" w:hAnsi="Arial" w:cs="Arial"/>
          <w:sz w:val="2"/>
          <w:szCs w:val="2"/>
        </w:rPr>
        <w:br w:type="column"/>
      </w:r>
    </w:p>
    <w:p>
      <w:pPr>
        <w:spacing w:before="355" w:line="218" w:lineRule="auto"/>
        <w:ind w:left="9"/>
        <w:rPr>
          <w:rFonts w:ascii="DengXian" w:eastAsia="DengXian" w:hAnsi="DengXian" w:cs="DengXian"/>
          <w:sz w:val="39"/>
          <w:szCs w:val="39"/>
        </w:rPr>
      </w:pPr>
      <w:r>
        <w:rPr>
          <w:rFonts w:ascii="DengXian" w:eastAsia="DengXian" w:hAnsi="DengXian" w:cs="DengXian"/>
          <w:spacing w:val="7"/>
          <w:sz w:val="39"/>
          <w:szCs w:val="39"/>
        </w:rPr>
        <w:t>头部企业更易引导电池技</w:t>
      </w:r>
    </w:p>
    <w:p>
      <w:pPr>
        <w:spacing w:line="189" w:lineRule="auto"/>
        <w:rPr>
          <w:rFonts w:ascii="DengXian" w:eastAsia="DengXian" w:hAnsi="DengXian" w:cs="DengXian"/>
          <w:sz w:val="39"/>
          <w:szCs w:val="39"/>
        </w:rPr>
      </w:pPr>
      <w:r>
        <w:rPr>
          <w:rFonts w:ascii="DengXian" w:eastAsia="DengXian" w:hAnsi="DengXian" w:cs="DengXian"/>
          <w:spacing w:val="4"/>
          <w:sz w:val="39"/>
          <w:szCs w:val="39"/>
        </w:rPr>
        <w:t>术革新</w:t>
      </w:r>
    </w:p>
    <w:p>
      <w:pPr>
        <w:spacing w:line="189" w:lineRule="auto"/>
        <w:rPr>
          <w:rFonts w:ascii="DengXian" w:eastAsia="DengXian" w:hAnsi="DengXian" w:cs="DengXian"/>
          <w:sz w:val="39"/>
          <w:szCs w:val="39"/>
        </w:rPr>
        <w:sectPr>
          <w:headerReference w:type="default" r:id="rId24"/>
          <w:footerReference w:type="default" r:id="rId25"/>
          <w:type w:val="continuous"/>
          <w:pgSz w:w="19200" w:h="10800"/>
          <w:pgMar w:top="400" w:right="0" w:bottom="400" w:left="1" w:header="0" w:footer="0" w:gutter="0"/>
          <w:pgNumType w:start="11"/>
          <w:cols w:num="4" w:space="708" w:equalWidth="0">
            <w:col w:w="3165" w:space="100"/>
            <w:col w:w="6423" w:space="100"/>
            <w:col w:w="1543" w:space="100"/>
            <w:col w:w="7769" w:space="0"/>
          </w:cols>
        </w:sectPr>
      </w:pPr>
    </w:p>
    <w:p>
      <w:pPr>
        <w:spacing w:before="4"/>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2" type="#_x0000_t136" style="width:155.2pt;height:105.85pt;margin-top:205.36pt;margin-left:227.97pt;mso-position-horizontal-relative:page;mso-position-vertical-relative:page;position:absolute;z-index:251658240" o:allowincell="f" filled="t" fillcolor="#f73535" stroked="f">
            <v:textpath style="font-family:Arial;font-size:144.5pt;mso-text-shadow:auto;v-text-kern:t" string="01"/>
          </v:shape>
        </w:pic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tbl>
      <w:tblPr>
        <w:tblStyle w:val="TableNormal0"/>
        <w:tblW w:w="7026" w:type="dxa"/>
        <w:tblInd w:w="7553" w:type="dxa"/>
        <w:tblBorders>
          <w:top w:val="single" w:sz="18" w:space="0" w:color="F73535"/>
          <w:bottom w:val="single" w:sz="18" w:space="0" w:color="F73535"/>
          <w:right w:val="single" w:sz="18" w:space="0" w:color="F73535"/>
        </w:tblBorders>
        <w:tblLayout w:type="fixed"/>
      </w:tblPr>
      <w:tblGrid>
        <w:gridCol w:w="7026"/>
      </w:tblGrid>
      <w:tr>
        <w:tblPrEx>
          <w:tblW w:w="7026" w:type="dxa"/>
          <w:tblInd w:w="7553" w:type="dxa"/>
          <w:tblBorders>
            <w:top w:val="single" w:sz="18" w:space="0" w:color="F73535"/>
            <w:bottom w:val="single" w:sz="18" w:space="0" w:color="F73535"/>
            <w:right w:val="single" w:sz="18" w:space="0" w:color="F73535"/>
          </w:tblBorders>
          <w:tblLayout w:type="fixed"/>
        </w:tblPrEx>
        <w:trPr>
          <w:trHeight w:val="2002"/>
        </w:trPr>
        <w:tc>
          <w:tcPr>
            <w:tcW w:w="7026" w:type="dxa"/>
            <w:vAlign w:val="top"/>
          </w:tcPr>
          <w:p>
            <w:pPr>
              <w:spacing w:before="324" w:line="183" w:lineRule="auto"/>
              <w:ind w:left="95" w:right="489" w:firstLine="34"/>
              <w:rPr>
                <w:rFonts w:ascii="Microsoft YaHei" w:eastAsia="Microsoft YaHei" w:hAnsi="Microsoft YaHei" w:cs="Microsoft YaHei"/>
                <w:sz w:val="63"/>
                <w:szCs w:val="63"/>
              </w:rPr>
            </w:pPr>
            <w:r>
              <w:rPr>
                <w:rFonts w:ascii="Microsoft YaHei" w:eastAsia="Microsoft YaHei" w:hAnsi="Microsoft YaHei" w:cs="Microsoft YaHei"/>
                <w:b/>
                <w:bCs/>
                <w:color w:val="FFFFFF"/>
                <w:sz w:val="63"/>
                <w:szCs w:val="63"/>
              </w:rPr>
              <w:t>光伏行业进入下行期，</w:t>
            </w:r>
            <w:r>
              <w:rPr>
                <w:rFonts w:ascii="Microsoft YaHei" w:eastAsia="Microsoft YaHei" w:hAnsi="Microsoft YaHei" w:cs="Microsoft YaHei"/>
                <w:b/>
                <w:bCs/>
                <w:color w:val="FFFFFF"/>
                <w:spacing w:val="1"/>
                <w:sz w:val="63"/>
                <w:szCs w:val="63"/>
              </w:rPr>
              <w:t xml:space="preserve"> </w:t>
            </w:r>
            <w:r>
              <w:rPr>
                <w:rFonts w:ascii="Microsoft YaHei" w:eastAsia="Microsoft YaHei" w:hAnsi="Microsoft YaHei" w:cs="Microsoft YaHei"/>
                <w:b/>
                <w:bCs/>
                <w:color w:val="FFFFFF"/>
                <w:spacing w:val="11"/>
                <w:sz w:val="63"/>
                <w:szCs w:val="63"/>
              </w:rPr>
              <w:t>技术进步作用更加凸显</w:t>
            </w:r>
          </w:p>
        </w:tc>
      </w:tr>
    </w:tbl>
    <w:p>
      <w:pPr>
        <w:rPr>
          <w:rFonts w:ascii="Arial"/>
          <w:sz w:val="21"/>
        </w:rPr>
      </w:pPr>
    </w:p>
    <w:p>
      <w:pPr>
        <w:rPr>
          <w:rFonts w:ascii="Arial" w:eastAsia="Arial" w:hAnsi="Arial" w:cs="Arial"/>
          <w:sz w:val="21"/>
          <w:szCs w:val="21"/>
        </w:rPr>
        <w:sectPr>
          <w:headerReference w:type="default" r:id="rId26"/>
          <w:footerReference w:type="default" r:id="rId27"/>
          <w:pgSz w:w="19200" w:h="10800"/>
          <w:pgMar w:top="400" w:right="0" w:bottom="400" w:left="0" w:header="0" w:footer="0" w:gutter="0"/>
          <w:pgNumType w:start="12"/>
          <w:cols w:space="708"/>
        </w:sectPr>
      </w:pPr>
    </w:p>
    <w:p>
      <w:pPr>
        <w:pStyle w:val="BodyText"/>
        <w:spacing w:before="269" w:line="200" w:lineRule="auto"/>
        <w:ind w:left="15303"/>
        <w:rPr>
          <w:sz w:val="21"/>
          <w:szCs w:val="21"/>
        </w:rPr>
      </w:pPr>
      <w:r>
        <w:pict>
          <v:rect id="_x0000_s1043" style="width:19.25pt;height:4.5pt;margin-top:394.98pt;margin-left:363.84pt;mso-position-horizontal-relative:page;mso-position-vertical-relative:page;position:absolute;z-index:251664384" o:allowincell="f" filled="t" fillcolor="#ffba55" stroked="f"/>
        </w:pict>
      </w:r>
      <w:r>
        <w:pict>
          <v:rect id="_x0000_s1044" style="width:19.25pt;height:4.5pt;margin-top:394.98pt;margin-left:432.06pt;mso-position-horizontal-relative:page;mso-position-vertical-relative:page;position:absolute;z-index:251665408" o:allowincell="f" filled="t" fillcolor="#f18870" stroked="f"/>
        </w:pict>
      </w:r>
      <w:r>
        <w:pict>
          <v:rect id="_x0000_s1045" style="width:19.25pt;height:4.5pt;margin-top:394.98pt;margin-left:482.28pt;mso-position-horizontal-relative:page;mso-position-vertical-relative:page;position:absolute;z-index:251663360" o:allowincell="f" filled="t" fillcolor="#ec5f74" stroked="f"/>
        </w:pict>
      </w:r>
      <w:r>
        <w:pict>
          <v:rect id="_x0000_s1046" style="width:19.25pt;height:4.5pt;margin-top:394.98pt;margin-left:532.5pt;mso-position-horizontal-relative:page;mso-position-vertical-relative:page;position:absolute;z-index:251666432" o:allowincell="f" filled="t" fillcolor="#1b54a9" stroked="f"/>
        </w:pict>
      </w:r>
      <w:r>
        <w:pict>
          <v:rect id="_x0000_s1047" style="width:19.25pt;height:4.5pt;margin-top:394.98pt;margin-left:600.72pt;mso-position-horizontal-relative:page;mso-position-vertical-relative:page;position:absolute;z-index:251667456" o:allowincell="f" filled="t" fillcolor="#1a76a5" stroked="f"/>
        </w:pict>
      </w:r>
      <w:r>
        <w:pict>
          <v:rect id="_x0000_s1048" style="width:19.25pt;height:4.5pt;margin-top:394.98pt;margin-left:650.94pt;mso-position-horizontal-relative:page;mso-position-vertical-relative:page;position:absolute;z-index:251669504" o:allowincell="f" filled="t" fillcolor="#29845a" stroked="f"/>
        </w:pict>
      </w:r>
      <w:r>
        <w:pict>
          <v:rect id="_x0000_s1049" style="width:729.25pt;height:0.75pt;margin-top:134.54pt;margin-left:115.65pt;mso-position-horizontal-relative:page;mso-position-vertical-relative:page;position:absolute;z-index:251668480" o:allowincell="f" filled="t" fillcolor="#d9d9d9" stroked="f"/>
        </w:pict>
      </w:r>
      <w:r>
        <w:pict>
          <v:shape id="_x0000_s1050" style="width:860.05pt;height:0.9pt;margin-top:55.97pt;margin-left:49.98pt;mso-position-horizontal-relative:page;mso-position-vertical-relative:page;position:absolute;z-index:251660288" coordorigin="0,0" coordsize="17200,17" o:allowincell="f" path="m,8l17200,8e" filled="f" strokecolor="#c41425" strokeweight="0.86pt"/>
        </w:pict>
      </w:r>
      <w:r>
        <w:pict>
          <v:shape id="_x0000_s1051" style="width:804.8pt;height:0.5pt;margin-top:122.33pt;margin-left:68.88pt;mso-position-horizontal-relative:page;mso-position-vertical-relative:page;position:absolute;z-index:251662336" coordorigin="0,0" coordsize="16095,10" o:allowincell="f" path="m,5l16095,5e" filled="f" strokecolor="black" strokeweight="0.5pt">
            <v:stroke joinstyle="miter"/>
          </v:shape>
        </w:pict>
      </w:r>
      <w:r>
        <w:pict>
          <v:shape id="_x0000_s1052" style="width:808.3pt;height:0.5pt;margin-top:411.47pt;margin-left:68.88pt;mso-position-horizontal-relative:page;mso-position-vertical-relative:page;position:absolute;z-index:251661312" coordorigin="0,0" coordsize="16165,10" o:allowincell="f" path="m,5l16165,5e" filled="f" strokecolor="black" strokeweight="0.5pt">
            <v:stroke joinstyle="miter"/>
          </v:shape>
        </w:pict>
      </w:r>
      <w:r>
        <w:drawing>
          <wp:anchor distT="0" distB="0" distL="0" distR="0" simplePos="0" relativeHeight="251659264"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8"/>
                    <a:stretch>
                      <a:fillRect/>
                    </a:stretch>
                  </pic:blipFill>
                  <pic:spPr>
                    <a:xfrm>
                      <a:off x="0" y="0"/>
                      <a:ext cx="1367027" cy="524255"/>
                    </a:xfrm>
                    <a:prstGeom prst="rect">
                      <a:avLst/>
                    </a:prstGeom>
                  </pic:spPr>
                </pic:pic>
              </a:graphicData>
            </a:graphic>
          </wp:anchor>
        </w:drawing>
      </w: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p>
      <w:pPr>
        <w:spacing w:line="269" w:lineRule="auto"/>
        <w:rPr>
          <w:rFonts w:ascii="Arial"/>
          <w:sz w:val="21"/>
        </w:rPr>
      </w:pPr>
    </w:p>
    <w:p>
      <w:pPr>
        <w:spacing w:before="126" w:line="215" w:lineRule="auto"/>
        <w:ind w:left="31"/>
        <w:outlineLvl w:val="1"/>
        <w:rPr>
          <w:rFonts w:ascii="SimHei" w:eastAsia="SimHei" w:hAnsi="SimHei" w:cs="SimHei"/>
          <w:sz w:val="39"/>
          <w:szCs w:val="39"/>
        </w:rPr>
      </w:pPr>
      <w:r>
        <w:rPr>
          <w:rFonts w:ascii="SimHei" w:eastAsia="SimHei" w:hAnsi="SimHei" w:cs="SimHei"/>
          <w:spacing w:val="10"/>
          <w:sz w:val="39"/>
          <w:szCs w:val="39"/>
          <w14:textOutline w14:w="7249">
            <w14:solidFill>
              <w14:srgbClr w14:val="000000"/>
            </w14:solidFill>
            <w14:prstDash w14:val="solid"/>
            <w14:round/>
          </w14:textOutline>
        </w:rPr>
        <w:t>经过快速增长期，全球光伏增长降速</w:t>
      </w:r>
    </w:p>
    <w:p>
      <w:pPr>
        <w:spacing w:before="302" w:line="210" w:lineRule="auto"/>
        <w:ind w:left="557"/>
        <w:rPr>
          <w:rFonts w:ascii="STXihei" w:eastAsia="STXihei" w:hAnsi="STXihei" w:cs="STXihei"/>
          <w:sz w:val="24"/>
          <w:szCs w:val="24"/>
        </w:rPr>
      </w:pPr>
      <w:r>
        <w:rPr>
          <w:rFonts w:ascii="STXihei" w:eastAsia="STXihei" w:hAnsi="STXihei" w:cs="STXihei"/>
          <w:sz w:val="24"/>
          <w:szCs w:val="24"/>
        </w:rPr>
        <w:t>图表</w:t>
      </w:r>
      <w:r>
        <w:rPr>
          <w:rFonts w:ascii="Arial" w:eastAsia="Arial" w:hAnsi="Arial" w:cs="Arial"/>
          <w:sz w:val="24"/>
          <w:szCs w:val="24"/>
        </w:rPr>
        <w:t>1</w:t>
      </w:r>
      <w:r>
        <w:rPr>
          <w:rFonts w:ascii="STXihei" w:eastAsia="STXihei" w:hAnsi="STXihei" w:cs="STXihei"/>
          <w:sz w:val="24"/>
          <w:szCs w:val="24"/>
        </w:rPr>
        <w:t>：全球光伏需求（</w:t>
      </w:r>
      <w:r>
        <w:rPr>
          <w:rFonts w:ascii="Arial" w:eastAsia="Arial" w:hAnsi="Arial" w:cs="Arial"/>
          <w:sz w:val="24"/>
          <w:szCs w:val="24"/>
        </w:rPr>
        <w:t>MW</w:t>
      </w:r>
      <w:r>
        <w:rPr>
          <w:rFonts w:ascii="STXihei" w:eastAsia="STXihei" w:hAnsi="STXihei" w:cs="STXihei"/>
          <w:sz w:val="24"/>
          <w:szCs w:val="24"/>
        </w:rPr>
        <w:t>）</w:t>
      </w:r>
    </w:p>
    <w:p>
      <w:pPr>
        <w:spacing w:line="206" w:lineRule="exact"/>
      </w:pPr>
    </w:p>
    <w:p>
      <w:pPr>
        <w:spacing w:line="206" w:lineRule="exact"/>
        <w:sectPr>
          <w:headerReference w:type="default" r:id="rId29"/>
          <w:footerReference w:type="default" r:id="rId30"/>
          <w:pgSz w:w="19200" w:h="10800"/>
          <w:pgMar w:top="400" w:right="723" w:bottom="77" w:left="992" w:header="0" w:footer="0" w:gutter="0"/>
          <w:pgNumType w:start="13"/>
          <w:cols w:num="1" w:space="708" w:equalWidth="0">
            <w:col w:w="17485" w:space="0"/>
          </w:cols>
        </w:sectPr>
      </w:pPr>
    </w:p>
    <w:p>
      <w:pPr>
        <w:spacing w:before="1" w:line="194" w:lineRule="auto"/>
        <w:ind w:left="522"/>
        <w:rPr>
          <w:rFonts w:ascii="Arial" w:eastAsia="Arial" w:hAnsi="Arial" w:cs="Arial"/>
          <w:sz w:val="18"/>
          <w:szCs w:val="18"/>
        </w:rPr>
      </w:pPr>
      <w:r>
        <w:rPr>
          <w:rFonts w:ascii="Arial" w:eastAsia="Arial" w:hAnsi="Arial" w:cs="Arial"/>
          <w:color w:val="595959"/>
          <w:spacing w:val="-2"/>
          <w:sz w:val="18"/>
          <w:szCs w:val="18"/>
        </w:rPr>
        <w:t>800000</w:t>
      </w:r>
    </w:p>
    <w:p>
      <w:pPr>
        <w:spacing w:line="359" w:lineRule="auto"/>
        <w:rPr>
          <w:rFonts w:ascii="Arial"/>
          <w:sz w:val="21"/>
        </w:rPr>
      </w:pPr>
    </w:p>
    <w:p>
      <w:pPr>
        <w:spacing w:before="52" w:line="194" w:lineRule="auto"/>
        <w:ind w:left="523"/>
        <w:rPr>
          <w:rFonts w:ascii="Arial" w:eastAsia="Arial" w:hAnsi="Arial" w:cs="Arial"/>
          <w:sz w:val="18"/>
          <w:szCs w:val="18"/>
        </w:rPr>
      </w:pPr>
      <w:r>
        <w:rPr>
          <w:rFonts w:ascii="Arial" w:eastAsia="Arial" w:hAnsi="Arial" w:cs="Arial"/>
          <w:color w:val="595959"/>
          <w:spacing w:val="-2"/>
          <w:sz w:val="18"/>
          <w:szCs w:val="18"/>
        </w:rPr>
        <w:t>700000</w:t>
      </w:r>
    </w:p>
    <w:p>
      <w:pPr>
        <w:spacing w:line="359" w:lineRule="auto"/>
        <w:rPr>
          <w:rFonts w:ascii="Arial"/>
          <w:sz w:val="21"/>
        </w:rPr>
      </w:pPr>
    </w:p>
    <w:p>
      <w:pPr>
        <w:spacing w:before="53" w:line="194" w:lineRule="auto"/>
        <w:ind w:left="522"/>
        <w:rPr>
          <w:rFonts w:ascii="Arial" w:eastAsia="Arial" w:hAnsi="Arial" w:cs="Arial"/>
          <w:sz w:val="18"/>
          <w:szCs w:val="18"/>
        </w:rPr>
      </w:pPr>
      <w:r>
        <w:rPr>
          <w:rFonts w:ascii="Arial" w:eastAsia="Arial" w:hAnsi="Arial" w:cs="Arial"/>
          <w:color w:val="595959"/>
          <w:spacing w:val="-1"/>
          <w:sz w:val="18"/>
          <w:szCs w:val="18"/>
        </w:rPr>
        <w:t>600000</w:t>
      </w:r>
    </w:p>
    <w:p>
      <w:pPr>
        <w:spacing w:line="359" w:lineRule="auto"/>
        <w:rPr>
          <w:rFonts w:ascii="Arial"/>
          <w:sz w:val="21"/>
        </w:rPr>
      </w:pPr>
    </w:p>
    <w:p>
      <w:pPr>
        <w:spacing w:before="52" w:line="194" w:lineRule="auto"/>
        <w:ind w:left="522"/>
        <w:rPr>
          <w:rFonts w:ascii="Arial" w:eastAsia="Arial" w:hAnsi="Arial" w:cs="Arial"/>
          <w:sz w:val="18"/>
          <w:szCs w:val="18"/>
        </w:rPr>
      </w:pPr>
      <w:r>
        <w:rPr>
          <w:rFonts w:ascii="Arial" w:eastAsia="Arial" w:hAnsi="Arial" w:cs="Arial"/>
          <w:color w:val="595959"/>
          <w:spacing w:val="-2"/>
          <w:sz w:val="18"/>
          <w:szCs w:val="18"/>
        </w:rPr>
        <w:t>500000</w:t>
      </w:r>
    </w:p>
    <w:p>
      <w:pPr>
        <w:spacing w:line="359" w:lineRule="auto"/>
        <w:rPr>
          <w:rFonts w:ascii="Arial"/>
          <w:sz w:val="21"/>
        </w:rPr>
      </w:pPr>
    </w:p>
    <w:p>
      <w:pPr>
        <w:spacing w:before="53" w:line="194" w:lineRule="auto"/>
        <w:ind w:left="517"/>
        <w:rPr>
          <w:rFonts w:ascii="Arial" w:eastAsia="Arial" w:hAnsi="Arial" w:cs="Arial"/>
          <w:sz w:val="18"/>
          <w:szCs w:val="18"/>
        </w:rPr>
      </w:pPr>
      <w:r>
        <w:rPr>
          <w:rFonts w:ascii="Arial" w:eastAsia="Arial" w:hAnsi="Arial" w:cs="Arial"/>
          <w:color w:val="595959"/>
          <w:spacing w:val="-1"/>
          <w:sz w:val="18"/>
          <w:szCs w:val="18"/>
        </w:rPr>
        <w:t>400000</w:t>
      </w:r>
    </w:p>
    <w:p>
      <w:pPr>
        <w:spacing w:line="359" w:lineRule="auto"/>
        <w:rPr>
          <w:rFonts w:ascii="Arial"/>
          <w:sz w:val="21"/>
        </w:rPr>
      </w:pPr>
    </w:p>
    <w:p>
      <w:pPr>
        <w:spacing w:before="52" w:line="194" w:lineRule="auto"/>
        <w:ind w:left="522"/>
        <w:rPr>
          <w:rFonts w:ascii="Arial" w:eastAsia="Arial" w:hAnsi="Arial" w:cs="Arial"/>
          <w:sz w:val="18"/>
          <w:szCs w:val="18"/>
        </w:rPr>
      </w:pPr>
      <w:r>
        <w:rPr>
          <w:rFonts w:ascii="Arial" w:eastAsia="Arial" w:hAnsi="Arial" w:cs="Arial"/>
          <w:color w:val="595959"/>
          <w:spacing w:val="-2"/>
          <w:sz w:val="18"/>
          <w:szCs w:val="18"/>
        </w:rPr>
        <w:t>300000</w:t>
      </w:r>
    </w:p>
    <w:p>
      <w:pPr>
        <w:spacing w:line="359" w:lineRule="auto"/>
        <w:rPr>
          <w:rFonts w:ascii="Arial"/>
          <w:sz w:val="21"/>
        </w:rPr>
      </w:pPr>
    </w:p>
    <w:p>
      <w:pPr>
        <w:spacing w:before="53" w:line="194" w:lineRule="auto"/>
        <w:ind w:left="520"/>
        <w:rPr>
          <w:rFonts w:ascii="Arial" w:eastAsia="Arial" w:hAnsi="Arial" w:cs="Arial"/>
          <w:sz w:val="18"/>
          <w:szCs w:val="18"/>
        </w:rPr>
      </w:pPr>
      <w:r>
        <w:rPr>
          <w:rFonts w:ascii="Arial" w:eastAsia="Arial" w:hAnsi="Arial" w:cs="Arial"/>
          <w:color w:val="595959"/>
          <w:spacing w:val="-1"/>
          <w:sz w:val="18"/>
          <w:szCs w:val="18"/>
        </w:rPr>
        <w:t>200000</w:t>
      </w:r>
    </w:p>
    <w:p>
      <w:pPr>
        <w:spacing w:line="359" w:lineRule="auto"/>
        <w:rPr>
          <w:rFonts w:ascii="Arial"/>
          <w:sz w:val="21"/>
        </w:rPr>
      </w:pPr>
    </w:p>
    <w:p>
      <w:pPr>
        <w:spacing w:before="52" w:line="194" w:lineRule="auto"/>
        <w:ind w:left="534"/>
        <w:rPr>
          <w:rFonts w:ascii="Arial" w:eastAsia="Arial" w:hAnsi="Arial" w:cs="Arial"/>
          <w:sz w:val="18"/>
          <w:szCs w:val="18"/>
        </w:rPr>
      </w:pPr>
      <w:r>
        <w:rPr>
          <w:rFonts w:ascii="Arial" w:eastAsia="Arial" w:hAnsi="Arial" w:cs="Arial"/>
          <w:color w:val="595959"/>
          <w:spacing w:val="-3"/>
          <w:sz w:val="18"/>
          <w:szCs w:val="18"/>
        </w:rPr>
        <w:t>100000</w:t>
      </w:r>
    </w:p>
    <w:p>
      <w:pPr>
        <w:spacing w:line="359" w:lineRule="auto"/>
        <w:rPr>
          <w:rFonts w:ascii="Arial"/>
          <w:sz w:val="21"/>
        </w:rPr>
      </w:pPr>
    </w:p>
    <w:p>
      <w:pPr>
        <w:spacing w:before="53" w:line="194" w:lineRule="auto"/>
        <w:ind w:left="1023"/>
        <w:rPr>
          <w:rFonts w:ascii="Arial" w:eastAsia="Arial" w:hAnsi="Arial" w:cs="Arial"/>
          <w:sz w:val="18"/>
          <w:szCs w:val="18"/>
        </w:rPr>
      </w:pPr>
      <w:r>
        <w:rPr>
          <w:rFonts w:ascii="Arial" w:eastAsia="Arial" w:hAnsi="Arial" w:cs="Arial"/>
          <w:color w:val="595959"/>
          <w:sz w:val="18"/>
          <w:szCs w:val="18"/>
        </w:rPr>
        <w:t>0</w:t>
      </w:r>
    </w:p>
    <w:p>
      <w:pPr>
        <w:spacing w:line="14" w:lineRule="auto"/>
        <w:rPr>
          <w:rFonts w:ascii="Arial"/>
          <w:sz w:val="2"/>
        </w:rPr>
      </w:pPr>
      <w:r>
        <w:rPr>
          <w:rFonts w:ascii="Arial" w:eastAsia="Arial" w:hAnsi="Arial" w:cs="Arial"/>
          <w:sz w:val="2"/>
          <w:szCs w:val="2"/>
        </w:rPr>
        <w:br w:type="column"/>
      </w:r>
    </w:p>
    <w:p>
      <w:pPr>
        <w:spacing w:line="394" w:lineRule="auto"/>
        <w:rPr>
          <w:rFonts w:ascii="Arial"/>
          <w:sz w:val="21"/>
        </w:rPr>
      </w:pPr>
    </w:p>
    <w:p>
      <w:pPr>
        <w:spacing w:line="4330" w:lineRule="exact"/>
      </w:pPr>
      <w:r>
        <w:rPr>
          <w:position w:val="-86"/>
        </w:rPr>
        <w:drawing>
          <wp:inline distT="0" distB="0" distL="0" distR="0">
            <wp:extent cx="9261347" cy="27496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9261347" cy="2749677"/>
                    </a:xfrm>
                    <a:prstGeom prst="rect">
                      <a:avLst/>
                    </a:prstGeom>
                  </pic:spPr>
                </pic:pic>
              </a:graphicData>
            </a:graphic>
          </wp:inline>
        </w:drawing>
      </w:r>
    </w:p>
    <w:p>
      <w:pPr>
        <w:spacing w:before="136" w:line="194" w:lineRule="auto"/>
        <w:ind w:left="261"/>
        <w:rPr>
          <w:rFonts w:ascii="Arial" w:eastAsia="Arial" w:hAnsi="Arial" w:cs="Arial"/>
          <w:sz w:val="18"/>
          <w:szCs w:val="18"/>
        </w:rPr>
      </w:pPr>
      <w:r>
        <w:rPr>
          <w:rFonts w:ascii="Arial" w:eastAsia="Arial" w:hAnsi="Arial" w:cs="Arial"/>
          <w:color w:val="595959"/>
          <w:sz w:val="18"/>
          <w:szCs w:val="18"/>
        </w:rPr>
        <w:t xml:space="preserve">2015          2016          2017           2018          2019          </w:t>
      </w:r>
      <w:r>
        <w:rPr>
          <w:rFonts w:ascii="Arial" w:eastAsia="Arial" w:hAnsi="Arial" w:cs="Arial"/>
          <w:color w:val="595959"/>
          <w:spacing w:val="-1"/>
          <w:sz w:val="18"/>
          <w:szCs w:val="18"/>
        </w:rPr>
        <w:t xml:space="preserve"> 2020          2021           2022         2023E        2024E        2025E        2026E        2027E        2028E        2029E        2030E</w:t>
      </w:r>
    </w:p>
    <w:p>
      <w:pPr>
        <w:pStyle w:val="BodyText"/>
        <w:spacing w:before="209" w:line="191" w:lineRule="exact"/>
        <w:ind w:left="1950"/>
        <w:rPr>
          <w:rFonts w:ascii="Arial" w:eastAsia="Arial" w:hAnsi="Arial" w:cs="Arial"/>
          <w:sz w:val="18"/>
          <w:szCs w:val="18"/>
        </w:rPr>
      </w:pPr>
      <w:r>
        <w:rPr>
          <w:color w:val="595959"/>
          <w:position w:val="2"/>
          <w:sz w:val="18"/>
          <w:szCs w:val="18"/>
        </w:rPr>
        <w:drawing>
          <wp:inline distT="0" distB="0" distL="0" distR="0">
            <wp:extent cx="243839" cy="5715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2"/>
                    <a:stretch>
                      <a:fillRect/>
                    </a:stretch>
                  </pic:blipFill>
                  <pic:spPr>
                    <a:xfrm>
                      <a:off x="0" y="0"/>
                      <a:ext cx="243839" cy="57150"/>
                    </a:xfrm>
                    <a:prstGeom prst="rect">
                      <a:avLst/>
                    </a:prstGeom>
                  </pic:spPr>
                </pic:pic>
              </a:graphicData>
            </a:graphic>
          </wp:inline>
        </w:drawing>
      </w:r>
      <w:r>
        <w:rPr>
          <w:color w:val="595959"/>
          <w:spacing w:val="-1"/>
          <w:sz w:val="18"/>
          <w:szCs w:val="18"/>
        </w:rPr>
        <w:t xml:space="preserve"> 欧洲    </w:t>
      </w:r>
      <w:r>
        <w:rPr>
          <w:position w:val="2"/>
          <w:sz w:val="18"/>
          <w:szCs w:val="18"/>
        </w:rPr>
        <w:drawing>
          <wp:inline distT="0" distB="0" distL="0" distR="0">
            <wp:extent cx="243840" cy="5715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3"/>
                    <a:stretch>
                      <a:fillRect/>
                    </a:stretch>
                  </pic:blipFill>
                  <pic:spPr>
                    <a:xfrm>
                      <a:off x="0" y="0"/>
                      <a:ext cx="243840" cy="57150"/>
                    </a:xfrm>
                    <a:prstGeom prst="rect">
                      <a:avLst/>
                    </a:prstGeom>
                  </pic:spPr>
                </pic:pic>
              </a:graphicData>
            </a:graphic>
          </wp:inline>
        </w:drawing>
      </w:r>
      <w:r>
        <w:rPr>
          <w:color w:val="595959"/>
          <w:spacing w:val="2"/>
          <w:sz w:val="18"/>
          <w:szCs w:val="18"/>
        </w:rPr>
        <w:t xml:space="preserve"> </w:t>
      </w:r>
      <w:r>
        <w:rPr>
          <w:color w:val="595959"/>
          <w:spacing w:val="-1"/>
          <w:sz w:val="18"/>
          <w:szCs w:val="18"/>
        </w:rPr>
        <w:t xml:space="preserve">中国    </w:t>
      </w:r>
      <w:r>
        <w:rPr>
          <w:position w:val="2"/>
          <w:sz w:val="18"/>
          <w:szCs w:val="18"/>
        </w:rPr>
        <w:drawing>
          <wp:inline distT="0" distB="0" distL="0" distR="0">
            <wp:extent cx="243840" cy="571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243840" cy="57150"/>
                    </a:xfrm>
                    <a:prstGeom prst="rect">
                      <a:avLst/>
                    </a:prstGeom>
                  </pic:spPr>
                </pic:pic>
              </a:graphicData>
            </a:graphic>
          </wp:inline>
        </w:drawing>
      </w:r>
      <w:r>
        <w:rPr>
          <w:color w:val="595959"/>
          <w:spacing w:val="-4"/>
          <w:sz w:val="18"/>
          <w:szCs w:val="18"/>
        </w:rPr>
        <w:t xml:space="preserve"> </w:t>
      </w:r>
      <w:r>
        <w:rPr>
          <w:color w:val="595959"/>
          <w:spacing w:val="-1"/>
          <w:sz w:val="18"/>
          <w:szCs w:val="18"/>
        </w:rPr>
        <w:t xml:space="preserve">印度            亚洲其他             北美            南美             中东北非            南非            其他  </w:t>
      </w:r>
      <w:r>
        <w:rPr>
          <w:color w:val="595959"/>
          <w:spacing w:val="-2"/>
          <w:sz w:val="18"/>
          <w:szCs w:val="18"/>
        </w:rPr>
        <w:t xml:space="preserve">  </w:t>
      </w:r>
      <w:r>
        <w:rPr>
          <w:position w:val="4"/>
          <w:sz w:val="18"/>
          <w:szCs w:val="18"/>
        </w:rPr>
        <w:drawing>
          <wp:inline distT="0" distB="0" distL="0" distR="0">
            <wp:extent cx="272415" cy="285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5"/>
                    <a:stretch>
                      <a:fillRect/>
                    </a:stretch>
                  </pic:blipFill>
                  <pic:spPr>
                    <a:xfrm>
                      <a:off x="0" y="0"/>
                      <a:ext cx="272415" cy="28575"/>
                    </a:xfrm>
                    <a:prstGeom prst="rect">
                      <a:avLst/>
                    </a:prstGeom>
                  </pic:spPr>
                </pic:pic>
              </a:graphicData>
            </a:graphic>
          </wp:inline>
        </w:drawing>
      </w:r>
      <w:r>
        <w:rPr>
          <w:color w:val="595959"/>
          <w:spacing w:val="-32"/>
          <w:sz w:val="18"/>
          <w:szCs w:val="18"/>
        </w:rPr>
        <w:t xml:space="preserve"> </w:t>
      </w:r>
      <w:r>
        <w:rPr>
          <w:rFonts w:ascii="Arial" w:eastAsia="Arial" w:hAnsi="Arial" w:cs="Arial"/>
          <w:color w:val="595959"/>
          <w:spacing w:val="-2"/>
          <w:sz w:val="18"/>
          <w:szCs w:val="18"/>
        </w:rPr>
        <w:t>yoy</w:t>
      </w:r>
    </w:p>
    <w:p>
      <w:pPr>
        <w:spacing w:line="14" w:lineRule="auto"/>
        <w:rPr>
          <w:rFonts w:ascii="Arial"/>
          <w:sz w:val="2"/>
        </w:rPr>
      </w:pPr>
      <w:r>
        <w:rPr>
          <w:rFonts w:ascii="Arial" w:eastAsia="Arial" w:hAnsi="Arial" w:cs="Arial"/>
          <w:sz w:val="2"/>
          <w:szCs w:val="2"/>
        </w:rPr>
        <w:br w:type="column"/>
      </w:r>
    </w:p>
    <w:p>
      <w:pPr>
        <w:spacing w:line="194" w:lineRule="auto"/>
        <w:ind w:left="4"/>
        <w:rPr>
          <w:rFonts w:ascii="Arial" w:eastAsia="Arial" w:hAnsi="Arial" w:cs="Arial"/>
          <w:sz w:val="18"/>
          <w:szCs w:val="18"/>
        </w:rPr>
      </w:pPr>
      <w:r>
        <w:rPr>
          <w:rFonts w:ascii="Arial" w:eastAsia="Arial" w:hAnsi="Arial" w:cs="Arial"/>
          <w:color w:val="595959"/>
          <w:spacing w:val="-2"/>
          <w:sz w:val="18"/>
          <w:szCs w:val="18"/>
        </w:rPr>
        <w:t>60%</w:t>
      </w:r>
    </w:p>
    <w:p>
      <w:pPr>
        <w:spacing w:line="275" w:lineRule="auto"/>
        <w:rPr>
          <w:rFonts w:ascii="Arial"/>
          <w:sz w:val="21"/>
        </w:rPr>
      </w:pPr>
    </w:p>
    <w:p>
      <w:pPr>
        <w:spacing w:line="275" w:lineRule="auto"/>
        <w:rPr>
          <w:rFonts w:ascii="Arial"/>
          <w:sz w:val="21"/>
        </w:rPr>
      </w:pPr>
    </w:p>
    <w:p>
      <w:pPr>
        <w:spacing w:before="52" w:line="196" w:lineRule="auto"/>
        <w:ind w:left="5"/>
        <w:rPr>
          <w:rFonts w:ascii="Arial" w:eastAsia="Arial" w:hAnsi="Arial" w:cs="Arial"/>
          <w:sz w:val="18"/>
          <w:szCs w:val="18"/>
        </w:rPr>
      </w:pPr>
      <w:r>
        <w:rPr>
          <w:rFonts w:ascii="Arial" w:eastAsia="Arial" w:hAnsi="Arial" w:cs="Arial"/>
          <w:color w:val="595959"/>
          <w:spacing w:val="-2"/>
          <w:sz w:val="18"/>
          <w:szCs w:val="18"/>
        </w:rPr>
        <w:t>50%</w:t>
      </w:r>
    </w:p>
    <w:p>
      <w:pPr>
        <w:spacing w:line="275" w:lineRule="auto"/>
        <w:rPr>
          <w:rFonts w:ascii="Arial"/>
          <w:sz w:val="21"/>
        </w:rPr>
      </w:pPr>
    </w:p>
    <w:p>
      <w:pPr>
        <w:spacing w:line="275" w:lineRule="auto"/>
        <w:rPr>
          <w:rFonts w:ascii="Arial"/>
          <w:sz w:val="21"/>
        </w:rPr>
      </w:pPr>
    </w:p>
    <w:p>
      <w:pPr>
        <w:spacing w:before="52" w:line="196" w:lineRule="auto"/>
        <w:rPr>
          <w:rFonts w:ascii="Arial" w:eastAsia="Arial" w:hAnsi="Arial" w:cs="Arial"/>
          <w:sz w:val="18"/>
          <w:szCs w:val="18"/>
        </w:rPr>
      </w:pPr>
      <w:r>
        <w:rPr>
          <w:rFonts w:ascii="Arial" w:eastAsia="Arial" w:hAnsi="Arial" w:cs="Arial"/>
          <w:color w:val="595959"/>
          <w:spacing w:val="-1"/>
          <w:sz w:val="18"/>
          <w:szCs w:val="18"/>
        </w:rPr>
        <w:t>40%</w:t>
      </w:r>
    </w:p>
    <w:p>
      <w:pPr>
        <w:spacing w:line="275" w:lineRule="auto"/>
        <w:rPr>
          <w:rFonts w:ascii="Arial"/>
          <w:sz w:val="21"/>
        </w:rPr>
      </w:pPr>
    </w:p>
    <w:p>
      <w:pPr>
        <w:spacing w:line="275" w:lineRule="auto"/>
        <w:rPr>
          <w:rFonts w:ascii="Arial"/>
          <w:sz w:val="21"/>
        </w:rPr>
      </w:pPr>
    </w:p>
    <w:p>
      <w:pPr>
        <w:spacing w:before="52" w:line="196" w:lineRule="auto"/>
        <w:ind w:left="5"/>
        <w:rPr>
          <w:rFonts w:ascii="Arial" w:eastAsia="Arial" w:hAnsi="Arial" w:cs="Arial"/>
          <w:sz w:val="18"/>
          <w:szCs w:val="18"/>
        </w:rPr>
      </w:pPr>
      <w:r>
        <w:rPr>
          <w:rFonts w:ascii="Arial" w:eastAsia="Arial" w:hAnsi="Arial" w:cs="Arial"/>
          <w:color w:val="595959"/>
          <w:spacing w:val="-2"/>
          <w:sz w:val="18"/>
          <w:szCs w:val="18"/>
        </w:rPr>
        <w:t>30%</w:t>
      </w:r>
    </w:p>
    <w:p>
      <w:pPr>
        <w:spacing w:line="275" w:lineRule="auto"/>
        <w:rPr>
          <w:rFonts w:ascii="Arial"/>
          <w:sz w:val="21"/>
        </w:rPr>
      </w:pPr>
    </w:p>
    <w:p>
      <w:pPr>
        <w:spacing w:line="275" w:lineRule="auto"/>
        <w:rPr>
          <w:rFonts w:ascii="Arial"/>
          <w:sz w:val="21"/>
        </w:rPr>
      </w:pPr>
    </w:p>
    <w:p>
      <w:pPr>
        <w:spacing w:before="52" w:line="196" w:lineRule="auto"/>
        <w:ind w:left="2"/>
        <w:rPr>
          <w:rFonts w:ascii="Arial" w:eastAsia="Arial" w:hAnsi="Arial" w:cs="Arial"/>
          <w:sz w:val="18"/>
          <w:szCs w:val="18"/>
        </w:rPr>
      </w:pPr>
      <w:r>
        <w:rPr>
          <w:rFonts w:ascii="Arial" w:eastAsia="Arial" w:hAnsi="Arial" w:cs="Arial"/>
          <w:color w:val="595959"/>
          <w:spacing w:val="-1"/>
          <w:sz w:val="18"/>
          <w:szCs w:val="18"/>
        </w:rPr>
        <w:t>20%</w:t>
      </w:r>
    </w:p>
    <w:p>
      <w:pPr>
        <w:spacing w:line="275" w:lineRule="auto"/>
        <w:rPr>
          <w:rFonts w:ascii="Arial"/>
          <w:sz w:val="21"/>
        </w:rPr>
      </w:pPr>
    </w:p>
    <w:p>
      <w:pPr>
        <w:spacing w:line="275" w:lineRule="auto"/>
        <w:rPr>
          <w:rFonts w:ascii="Arial"/>
          <w:sz w:val="21"/>
        </w:rPr>
      </w:pPr>
    </w:p>
    <w:p>
      <w:pPr>
        <w:spacing w:before="53" w:line="196" w:lineRule="auto"/>
        <w:ind w:left="17"/>
        <w:rPr>
          <w:rFonts w:ascii="Arial" w:eastAsia="Arial" w:hAnsi="Arial" w:cs="Arial"/>
          <w:sz w:val="18"/>
          <w:szCs w:val="18"/>
        </w:rPr>
      </w:pPr>
      <w:r>
        <w:rPr>
          <w:rFonts w:ascii="Arial" w:eastAsia="Arial" w:hAnsi="Arial" w:cs="Arial"/>
          <w:color w:val="595959"/>
          <w:spacing w:val="-4"/>
          <w:sz w:val="18"/>
          <w:szCs w:val="18"/>
        </w:rPr>
        <w:t>10%</w:t>
      </w:r>
    </w:p>
    <w:p>
      <w:pPr>
        <w:spacing w:line="275" w:lineRule="auto"/>
        <w:rPr>
          <w:rFonts w:ascii="Arial"/>
          <w:sz w:val="21"/>
        </w:rPr>
      </w:pPr>
    </w:p>
    <w:p>
      <w:pPr>
        <w:spacing w:line="275" w:lineRule="auto"/>
        <w:rPr>
          <w:rFonts w:ascii="Arial"/>
          <w:sz w:val="21"/>
        </w:rPr>
      </w:pPr>
    </w:p>
    <w:p>
      <w:pPr>
        <w:spacing w:before="52" w:line="196" w:lineRule="auto"/>
        <w:ind w:left="5"/>
        <w:rPr>
          <w:rFonts w:ascii="Arial" w:eastAsia="Arial" w:hAnsi="Arial" w:cs="Arial"/>
          <w:sz w:val="18"/>
          <w:szCs w:val="18"/>
        </w:rPr>
      </w:pPr>
      <w:r>
        <w:rPr>
          <w:rFonts w:ascii="Arial" w:eastAsia="Arial" w:hAnsi="Arial" w:cs="Arial"/>
          <w:color w:val="595959"/>
          <w:spacing w:val="-2"/>
          <w:sz w:val="18"/>
          <w:szCs w:val="18"/>
        </w:rPr>
        <w:t>0%</w:t>
      </w:r>
    </w:p>
    <w:p>
      <w:pPr>
        <w:spacing w:line="196" w:lineRule="auto"/>
        <w:rPr>
          <w:rFonts w:ascii="Arial" w:eastAsia="Arial" w:hAnsi="Arial" w:cs="Arial"/>
          <w:sz w:val="18"/>
          <w:szCs w:val="18"/>
        </w:rPr>
        <w:sectPr>
          <w:headerReference w:type="default" r:id="rId36"/>
          <w:footerReference w:type="default" r:id="rId37"/>
          <w:type w:val="continuous"/>
          <w:pgSz w:w="19200" w:h="10800"/>
          <w:pgMar w:top="400" w:right="723" w:bottom="77" w:left="992" w:header="0" w:footer="0" w:gutter="0"/>
          <w:pgNumType w:start="14"/>
          <w:cols w:num="3" w:space="708" w:equalWidth="0">
            <w:col w:w="1221" w:space="100"/>
            <w:col w:w="14644" w:space="100"/>
            <w:col w:w="1421" w:space="0"/>
          </w:cols>
        </w:sectPr>
      </w:pPr>
    </w:p>
    <w:p>
      <w:pPr>
        <w:spacing w:before="289" w:line="214" w:lineRule="auto"/>
        <w:ind w:left="546"/>
        <w:rPr>
          <w:rFonts w:ascii="STXihei" w:eastAsia="STXihei" w:hAnsi="STXihei" w:cs="STXihei"/>
          <w:sz w:val="21"/>
          <w:szCs w:val="21"/>
        </w:rPr>
      </w:pPr>
      <w:r>
        <w:rPr>
          <w:rFonts w:ascii="STXihei" w:eastAsia="STXihei" w:hAnsi="STXihei" w:cs="STXihei"/>
          <w:spacing w:val="-2"/>
          <w:sz w:val="21"/>
          <w:szCs w:val="21"/>
        </w:rPr>
        <w:t xml:space="preserve">资料来源：    </w:t>
      </w:r>
      <w:r>
        <w:rPr>
          <w:rFonts w:ascii="Arial" w:eastAsia="Arial" w:hAnsi="Arial" w:cs="Arial"/>
          <w:spacing w:val="-2"/>
          <w:sz w:val="21"/>
          <w:szCs w:val="21"/>
        </w:rPr>
        <w:t>BNEF</w:t>
      </w:r>
      <w:r>
        <w:rPr>
          <w:rFonts w:ascii="STXihei" w:eastAsia="STXihei" w:hAnsi="STXihei" w:cs="STXihei"/>
          <w:spacing w:val="-2"/>
          <w:sz w:val="21"/>
          <w:szCs w:val="21"/>
        </w:rPr>
        <w:t>，五矿证券研究所</w:t>
      </w:r>
    </w:p>
    <w:p>
      <w:pPr>
        <w:spacing w:before="181" w:line="524" w:lineRule="exact"/>
        <w:ind w:left="553"/>
        <w:rPr>
          <w:rFonts w:ascii="STXihei" w:eastAsia="STXihei" w:hAnsi="STXihei" w:cs="STXihei"/>
          <w:sz w:val="29"/>
          <w:szCs w:val="29"/>
        </w:rPr>
      </w:pPr>
      <w:r>
        <w:rPr>
          <w:rFonts w:ascii="Wingdings" w:eastAsia="Wingdings" w:hAnsi="Wingdings" w:cs="Wingdings"/>
          <w:color w:val="C00000"/>
          <w:spacing w:val="-4"/>
          <w:position w:val="19"/>
          <w:sz w:val="29"/>
          <w:szCs w:val="29"/>
        </w:rPr>
        <w:sym w:font="Wingdings" w:char="F070"/>
      </w:r>
      <w:r>
        <w:rPr>
          <w:rFonts w:ascii="Wingdings" w:eastAsia="Wingdings" w:hAnsi="Wingdings" w:cs="Wingdings"/>
          <w:color w:val="C00000"/>
          <w:spacing w:val="-65"/>
          <w:position w:val="19"/>
          <w:sz w:val="29"/>
          <w:szCs w:val="29"/>
        </w:rPr>
        <w:t xml:space="preserve"> </w:t>
      </w:r>
      <w:r>
        <w:rPr>
          <w:rFonts w:ascii="STXihei" w:eastAsia="STXihei" w:hAnsi="STXihei" w:cs="STXihei"/>
          <w:spacing w:val="-4"/>
          <w:position w:val="19"/>
          <w:sz w:val="29"/>
          <w:szCs w:val="29"/>
          <w14:textOutline w14:w="5290">
            <w14:solidFill>
              <w14:srgbClr w14:val="000000"/>
            </w14:solidFill>
            <w14:prstDash w14:val="solid"/>
            <w14:round/>
          </w14:textOutline>
        </w:rPr>
        <w:t>行业上行期：</w:t>
      </w:r>
      <w:r>
        <w:rPr>
          <w:rFonts w:ascii="STXihei" w:eastAsia="STXihei" w:hAnsi="STXihei" w:cs="STXihei"/>
          <w:spacing w:val="-4"/>
          <w:position w:val="19"/>
          <w:sz w:val="29"/>
          <w:szCs w:val="29"/>
        </w:rPr>
        <w:t xml:space="preserve">   </w:t>
      </w:r>
      <w:r>
        <w:rPr>
          <w:rFonts w:ascii="Arial" w:eastAsia="Arial" w:hAnsi="Arial" w:cs="Arial"/>
          <w:spacing w:val="-4"/>
          <w:position w:val="19"/>
          <w:sz w:val="29"/>
          <w:szCs w:val="29"/>
        </w:rPr>
        <w:t>2020~2023</w:t>
      </w:r>
      <w:r>
        <w:rPr>
          <w:rFonts w:ascii="STXihei" w:eastAsia="STXihei" w:hAnsi="STXihei" w:cs="STXihei"/>
          <w:spacing w:val="-4"/>
          <w:position w:val="19"/>
          <w:sz w:val="29"/>
          <w:szCs w:val="29"/>
        </w:rPr>
        <w:t>年，全球光伏迎来了快速发</w:t>
      </w:r>
      <w:r>
        <w:rPr>
          <w:rFonts w:ascii="STXihei" w:eastAsia="STXihei" w:hAnsi="STXihei" w:cs="STXihei"/>
          <w:spacing w:val="-5"/>
          <w:position w:val="19"/>
          <w:sz w:val="29"/>
          <w:szCs w:val="29"/>
        </w:rPr>
        <w:t>展，</w:t>
      </w:r>
      <w:r>
        <w:rPr>
          <w:rFonts w:ascii="STXihei" w:eastAsia="STXihei" w:hAnsi="STXihei" w:cs="STXihei"/>
          <w:spacing w:val="-33"/>
          <w:position w:val="19"/>
          <w:sz w:val="29"/>
          <w:szCs w:val="29"/>
        </w:rPr>
        <w:t xml:space="preserve"> </w:t>
      </w:r>
      <w:r>
        <w:rPr>
          <w:rFonts w:ascii="STXihei" w:eastAsia="STXihei" w:hAnsi="STXihei" w:cs="STXihei"/>
          <w:spacing w:val="-5"/>
          <w:position w:val="19"/>
          <w:sz w:val="29"/>
          <w:szCs w:val="29"/>
        </w:rPr>
        <w:t>中、美、欧三个国家地区贡献了主要增量。</w:t>
      </w:r>
      <w:r>
        <w:rPr>
          <w:rFonts w:ascii="Arial" w:eastAsia="Arial" w:hAnsi="Arial" w:cs="Arial"/>
          <w:spacing w:val="-5"/>
          <w:position w:val="19"/>
          <w:sz w:val="29"/>
          <w:szCs w:val="29"/>
        </w:rPr>
        <w:t>2023</w:t>
      </w:r>
      <w:r>
        <w:rPr>
          <w:rFonts w:ascii="STXihei" w:eastAsia="STXihei" w:hAnsi="STXihei" w:cs="STXihei"/>
          <w:spacing w:val="-5"/>
          <w:position w:val="19"/>
          <w:sz w:val="29"/>
          <w:szCs w:val="29"/>
        </w:rPr>
        <w:t>年硅料价格下</w:t>
      </w:r>
    </w:p>
    <w:p>
      <w:pPr>
        <w:spacing w:before="1" w:line="205" w:lineRule="auto"/>
        <w:ind w:left="1005"/>
        <w:rPr>
          <w:rFonts w:ascii="STXihei" w:eastAsia="STXihei" w:hAnsi="STXihei" w:cs="STXihei"/>
          <w:sz w:val="29"/>
          <w:szCs w:val="29"/>
        </w:rPr>
      </w:pPr>
      <w:r>
        <w:rPr>
          <w:rFonts w:ascii="STXihei" w:eastAsia="STXihei" w:hAnsi="STXihei" w:cs="STXihei"/>
          <w:sz w:val="29"/>
          <w:szCs w:val="29"/>
        </w:rPr>
        <w:t>降，进一步释放国内需求，我们预计国内装机大约</w:t>
      </w:r>
      <w:r>
        <w:rPr>
          <w:rFonts w:ascii="Arial" w:eastAsia="Arial" w:hAnsi="Arial" w:cs="Arial"/>
          <w:sz w:val="29"/>
          <w:szCs w:val="29"/>
        </w:rPr>
        <w:t>200GW</w:t>
      </w:r>
      <w:r>
        <w:rPr>
          <w:rFonts w:ascii="STXihei" w:eastAsia="STXihei" w:hAnsi="STXihei" w:cs="STXihei"/>
          <w:sz w:val="29"/>
          <w:szCs w:val="29"/>
        </w:rPr>
        <w:t>，同比增长</w:t>
      </w:r>
      <w:r>
        <w:rPr>
          <w:rFonts w:ascii="Arial" w:eastAsia="Arial" w:hAnsi="Arial" w:cs="Arial"/>
          <w:sz w:val="29"/>
          <w:szCs w:val="29"/>
        </w:rPr>
        <w:t>129%</w:t>
      </w:r>
      <w:r>
        <w:rPr>
          <w:rFonts w:ascii="STXihei" w:eastAsia="STXihei" w:hAnsi="STXihei" w:cs="STXihei"/>
          <w:sz w:val="29"/>
          <w:szCs w:val="29"/>
        </w:rPr>
        <w:t>，全球需求有望冲击</w:t>
      </w:r>
      <w:r>
        <w:rPr>
          <w:rFonts w:ascii="Arial" w:eastAsia="Arial" w:hAnsi="Arial" w:cs="Arial"/>
          <w:sz w:val="29"/>
          <w:szCs w:val="29"/>
        </w:rPr>
        <w:t>400GW</w:t>
      </w:r>
      <w:r>
        <w:rPr>
          <w:rFonts w:ascii="STXihei" w:eastAsia="STXihei" w:hAnsi="STXihei" w:cs="STXihei"/>
          <w:sz w:val="29"/>
          <w:szCs w:val="29"/>
        </w:rPr>
        <w:t>，同增</w:t>
      </w:r>
      <w:r>
        <w:rPr>
          <w:rFonts w:ascii="Arial" w:eastAsia="Arial" w:hAnsi="Arial" w:cs="Arial"/>
          <w:sz w:val="29"/>
          <w:szCs w:val="29"/>
        </w:rPr>
        <w:t>5</w:t>
      </w:r>
      <w:r>
        <w:rPr>
          <w:rFonts w:ascii="Arial" w:eastAsia="Arial" w:hAnsi="Arial" w:cs="Arial"/>
          <w:spacing w:val="-1"/>
          <w:sz w:val="29"/>
          <w:szCs w:val="29"/>
        </w:rPr>
        <w:t>6%</w:t>
      </w:r>
      <w:r>
        <w:rPr>
          <w:rFonts w:ascii="STXihei" w:eastAsia="STXihei" w:hAnsi="STXihei" w:cs="STXihei"/>
          <w:spacing w:val="-1"/>
          <w:sz w:val="29"/>
          <w:szCs w:val="29"/>
        </w:rPr>
        <w:t>。</w:t>
      </w:r>
    </w:p>
    <w:p>
      <w:pPr>
        <w:spacing w:before="246" w:line="516" w:lineRule="exact"/>
        <w:ind w:left="553"/>
        <w:rPr>
          <w:rFonts w:ascii="STXihei" w:eastAsia="STXihei" w:hAnsi="STXihei" w:cs="STXihei"/>
          <w:sz w:val="29"/>
          <w:szCs w:val="29"/>
        </w:rPr>
      </w:pPr>
      <w:r>
        <w:pict>
          <v:shape id="_x0000_s1053" type="#_x0000_t202" style="width:7.2pt;height:11.35pt;margin-top:29.7pt;margin-left:868.02pt;position:absolute;z-index:251670528" filled="f" stroked="f">
            <o:lock v:ext="edit" aspectratio="f"/>
            <v:textbox inset="0,0,0,0">
              <w:txbxContent>
                <w:p>
                  <w:pPr>
                    <w:spacing w:before="20" w:line="194" w:lineRule="auto"/>
                    <w:ind w:left="20"/>
                    <w:rPr>
                      <w:rFonts w:ascii="Arial" w:eastAsia="Arial" w:hAnsi="Arial" w:cs="Arial"/>
                      <w:sz w:val="20"/>
                      <w:szCs w:val="20"/>
                    </w:rPr>
                  </w:pPr>
                  <w:r>
                    <w:rPr>
                      <w:rFonts w:ascii="Arial" w:eastAsia="Arial" w:hAnsi="Arial" w:cs="Arial"/>
                      <w:color w:val="898989"/>
                      <w:sz w:val="20"/>
                      <w:szCs w:val="20"/>
                    </w:rPr>
                    <w:t>6</w:t>
                  </w:r>
                </w:p>
              </w:txbxContent>
            </v:textbox>
          </v:shape>
        </w:pict>
      </w:r>
      <w:r>
        <w:rPr>
          <w:rFonts w:ascii="Wingdings" w:eastAsia="Wingdings" w:hAnsi="Wingdings" w:cs="Wingdings"/>
          <w:color w:val="C00000"/>
          <w:spacing w:val="-4"/>
          <w:position w:val="18"/>
          <w:sz w:val="29"/>
          <w:szCs w:val="29"/>
        </w:rPr>
        <w:sym w:font="Wingdings" w:char="F070"/>
      </w:r>
      <w:r>
        <w:rPr>
          <w:rFonts w:ascii="Wingdings" w:eastAsia="Wingdings" w:hAnsi="Wingdings" w:cs="Wingdings"/>
          <w:color w:val="C00000"/>
          <w:spacing w:val="-65"/>
          <w:position w:val="18"/>
          <w:sz w:val="29"/>
          <w:szCs w:val="29"/>
        </w:rPr>
        <w:t xml:space="preserve"> </w:t>
      </w:r>
      <w:r>
        <w:rPr>
          <w:rFonts w:ascii="STXihei" w:eastAsia="STXihei" w:hAnsi="STXihei" w:cs="STXihei"/>
          <w:spacing w:val="-4"/>
          <w:position w:val="18"/>
          <w:sz w:val="29"/>
          <w:szCs w:val="29"/>
          <w14:textOutline w14:w="5290">
            <w14:solidFill>
              <w14:srgbClr w14:val="000000"/>
            </w14:solidFill>
            <w14:prstDash w14:val="solid"/>
            <w14:round/>
          </w14:textOutline>
        </w:rPr>
        <w:t>行业下行期：</w:t>
      </w:r>
      <w:r>
        <w:rPr>
          <w:rFonts w:ascii="STXihei" w:eastAsia="STXihei" w:hAnsi="STXihei" w:cs="STXihei"/>
          <w:spacing w:val="34"/>
          <w:position w:val="18"/>
          <w:sz w:val="29"/>
          <w:szCs w:val="29"/>
        </w:rPr>
        <w:t xml:space="preserve">  </w:t>
      </w:r>
      <w:r>
        <w:rPr>
          <w:rFonts w:ascii="STXihei" w:eastAsia="STXihei" w:hAnsi="STXihei" w:cs="STXihei"/>
          <w:spacing w:val="-4"/>
          <w:position w:val="18"/>
          <w:sz w:val="29"/>
          <w:szCs w:val="29"/>
        </w:rPr>
        <w:t>根据</w:t>
      </w:r>
      <w:r>
        <w:rPr>
          <w:rFonts w:ascii="Arial" w:eastAsia="Arial" w:hAnsi="Arial" w:cs="Arial"/>
          <w:spacing w:val="-4"/>
          <w:position w:val="18"/>
          <w:sz w:val="29"/>
          <w:szCs w:val="29"/>
        </w:rPr>
        <w:t>BNEF</w:t>
      </w:r>
      <w:r>
        <w:rPr>
          <w:rFonts w:ascii="STXihei" w:eastAsia="STXihei" w:hAnsi="STXihei" w:cs="STXihei"/>
          <w:spacing w:val="-4"/>
          <w:position w:val="18"/>
          <w:sz w:val="29"/>
          <w:szCs w:val="29"/>
        </w:rPr>
        <w:t>，未来全球光伏增长开始降速，主</w:t>
      </w:r>
      <w:r>
        <w:rPr>
          <w:rFonts w:ascii="STXihei" w:eastAsia="STXihei" w:hAnsi="STXihei" w:cs="STXihei"/>
          <w:spacing w:val="-5"/>
          <w:position w:val="18"/>
          <w:sz w:val="29"/>
          <w:szCs w:val="29"/>
        </w:rPr>
        <w:t>要因新能源电源侧增长过快，新能源电价下行带来新能源需求</w:t>
      </w:r>
    </w:p>
    <w:p>
      <w:pPr>
        <w:spacing w:before="2" w:line="169" w:lineRule="auto"/>
        <w:ind w:left="1005"/>
        <w:rPr>
          <w:rFonts w:ascii="STXihei" w:eastAsia="STXihei" w:hAnsi="STXihei" w:cs="STXihei"/>
          <w:sz w:val="29"/>
          <w:szCs w:val="29"/>
        </w:rPr>
      </w:pPr>
      <w:r>
        <w:rPr>
          <w:rFonts w:ascii="STXihei" w:eastAsia="STXihei" w:hAnsi="STXihei" w:cs="STXihei"/>
          <w:spacing w:val="-4"/>
          <w:sz w:val="29"/>
          <w:szCs w:val="29"/>
        </w:rPr>
        <w:t>的抑制；</w:t>
      </w:r>
      <w:r>
        <w:rPr>
          <w:rFonts w:ascii="STXihei" w:eastAsia="STXihei" w:hAnsi="STXihei" w:cs="STXihei"/>
          <w:spacing w:val="-23"/>
          <w:sz w:val="29"/>
          <w:szCs w:val="29"/>
        </w:rPr>
        <w:t xml:space="preserve"> </w:t>
      </w:r>
      <w:r>
        <w:rPr>
          <w:rFonts w:ascii="STXihei" w:eastAsia="STXihei" w:hAnsi="STXihei" w:cs="STXihei"/>
          <w:spacing w:val="-4"/>
          <w:sz w:val="29"/>
          <w:szCs w:val="29"/>
        </w:rPr>
        <w:t>同时新能源不具备调节能力，</w:t>
      </w:r>
      <w:r>
        <w:rPr>
          <w:rFonts w:ascii="STXihei" w:eastAsia="STXihei" w:hAnsi="STXihei" w:cs="STXihei"/>
          <w:spacing w:val="-35"/>
          <w:sz w:val="29"/>
          <w:szCs w:val="29"/>
        </w:rPr>
        <w:t xml:space="preserve"> </w:t>
      </w:r>
      <w:r>
        <w:rPr>
          <w:rFonts w:ascii="STXihei" w:eastAsia="STXihei" w:hAnsi="STXihei" w:cs="STXihei"/>
          <w:spacing w:val="-4"/>
          <w:sz w:val="29"/>
          <w:szCs w:val="29"/>
        </w:rPr>
        <w:t>电网消纳也成为制约。</w:t>
      </w:r>
    </w:p>
    <w:p>
      <w:pPr>
        <w:spacing w:line="169" w:lineRule="auto"/>
        <w:rPr>
          <w:rFonts w:ascii="STXihei" w:eastAsia="STXihei" w:hAnsi="STXihei" w:cs="STXihei"/>
          <w:sz w:val="29"/>
          <w:szCs w:val="29"/>
        </w:rPr>
        <w:sectPr>
          <w:headerReference w:type="default" r:id="rId38"/>
          <w:footerReference w:type="default" r:id="rId39"/>
          <w:type w:val="continuous"/>
          <w:pgSz w:w="19200" w:h="10800"/>
          <w:pgMar w:top="400" w:right="723" w:bottom="77" w:left="992" w:header="0" w:footer="0" w:gutter="0"/>
          <w:pgNumType w:start="15"/>
          <w:cols w:num="1" w:space="708" w:equalWidth="0">
            <w:col w:w="17485" w:space="0"/>
          </w:cols>
        </w:sectPr>
      </w:pPr>
    </w:p>
    <w:p>
      <w:pPr>
        <w:pStyle w:val="BodyText"/>
        <w:spacing w:before="269" w:line="200" w:lineRule="auto"/>
        <w:ind w:left="15303"/>
        <w:rPr>
          <w:sz w:val="21"/>
          <w:szCs w:val="21"/>
        </w:rPr>
      </w:pPr>
      <w:r>
        <w:pict>
          <v:rect id="_x0000_s1054" style="width:5.15pt;height:79.2pt;margin-top:268pt;margin-left:536.64pt;mso-position-horizontal-relative:page;mso-position-vertical-relative:page;position:absolute;z-index:251686912" o:allowincell="f" filled="t" fillcolor="#6096e6" stroked="f"/>
        </w:pict>
      </w:r>
      <w:r>
        <w:pict>
          <v:rect id="_x0000_s1055" style="width:380.4pt;height:0.5pt;margin-top:383.99pt;margin-left:490.98pt;mso-position-horizontal-relative:page;mso-position-vertical-relative:page;position:absolute;z-index:251678720" o:allowincell="f" filled="t" fillcolor="black" stroked="f"/>
        </w:pict>
      </w:r>
      <w:r>
        <w:pict>
          <v:shape id="_x0000_s1056" style="width:860.05pt;height:0.9pt;margin-top:55.97pt;margin-left:49.98pt;mso-position-horizontal-relative:page;mso-position-vertical-relative:page;position:absolute;z-index:251676672" coordorigin="0,0" coordsize="17200,17" o:allowincell="f" path="m,8l17200,8e" filled="f" strokecolor="#c41425" strokeweight="0.86pt"/>
        </w:pict>
      </w:r>
      <w:r>
        <w:pict>
          <v:shape id="_x0000_s1057" style="width:382.7pt;height:0.5pt;margin-top:122.33pt;margin-left:490.98pt;mso-position-horizontal-relative:page;mso-position-vertical-relative:page;position:absolute;z-index:251677696" coordorigin="0,0" coordsize="7654,10" o:allowincell="f" path="m,5l7653,5e" filled="f" strokecolor="black" strokeweight="0.5pt">
            <v:stroke joinstyle="miter"/>
          </v:shape>
        </w:pict>
      </w:r>
      <w:r>
        <w:drawing>
          <wp:anchor distT="0" distB="0" distL="0" distR="0" simplePos="0" relativeHeight="251673600"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8"/>
                    <a:stretch>
                      <a:fillRect/>
                    </a:stretch>
                  </pic:blipFill>
                  <pic:spPr>
                    <a:xfrm>
                      <a:off x="0" y="0"/>
                      <a:ext cx="1367027" cy="524255"/>
                    </a:xfrm>
                    <a:prstGeom prst="rect">
                      <a:avLst/>
                    </a:prstGeom>
                  </pic:spPr>
                </pic:pic>
              </a:graphicData>
            </a:graphic>
          </wp:anchor>
        </w:drawing>
      </w:r>
      <w:r>
        <w:pict>
          <v:shape id="_x0000_s1058" type="#_x0000_t202" style="width:28.65pt;height:10.95pt;margin-top:129.47pt;margin-left:496.85pt;mso-position-horizontal-relative:page;mso-position-vertical-relative:page;position:absolute;z-index:251681792" o:allowincell="f" filled="f" stroked="f">
            <o:lock v:ext="edit" aspectratio="f"/>
            <v:textbox inset="0,0,0,0">
              <w:txbxContent>
                <w:p>
                  <w:pPr>
                    <w:spacing w:before="20" w:line="183" w:lineRule="auto"/>
                    <w:ind w:left="20"/>
                    <w:rPr>
                      <w:rFonts w:ascii="KaiTi" w:eastAsia="KaiTi" w:hAnsi="KaiTi" w:cs="KaiTi"/>
                      <w:sz w:val="18"/>
                      <w:szCs w:val="18"/>
                    </w:rPr>
                  </w:pPr>
                  <w:r>
                    <w:rPr>
                      <w:rFonts w:ascii="KaiTi" w:eastAsia="KaiTi" w:hAnsi="KaiTi" w:cs="KaiTi"/>
                      <w:color w:val="595959"/>
                      <w:spacing w:val="-1"/>
                      <w:sz w:val="18"/>
                      <w:szCs w:val="18"/>
                    </w:rPr>
                    <w:t>30.000</w:t>
                  </w:r>
                </w:p>
              </w:txbxContent>
            </v:textbox>
          </v:shape>
        </w:pict>
      </w:r>
      <w:r>
        <w:pict>
          <v:shape id="_x0000_s1059" type="#_x0000_t202" style="width:28.75pt;height:10.95pt;margin-top:165.07pt;margin-left:496.78pt;mso-position-horizontal-relative:page;mso-position-vertical-relative:page;position:absolute;z-index:251680768" o:allowincell="f" filled="f" stroked="f">
            <o:lock v:ext="edit" aspectratio="f"/>
            <v:textbox inset="0,0,0,0">
              <w:txbxContent>
                <w:p>
                  <w:pPr>
                    <w:spacing w:before="20" w:line="183" w:lineRule="auto"/>
                    <w:ind w:left="20"/>
                    <w:rPr>
                      <w:rFonts w:ascii="KaiTi" w:eastAsia="KaiTi" w:hAnsi="KaiTi" w:cs="KaiTi"/>
                      <w:sz w:val="18"/>
                      <w:szCs w:val="18"/>
                    </w:rPr>
                  </w:pPr>
                  <w:r>
                    <w:rPr>
                      <w:rFonts w:ascii="KaiTi" w:eastAsia="KaiTi" w:hAnsi="KaiTi" w:cs="KaiTi"/>
                      <w:color w:val="595959"/>
                      <w:spacing w:val="-1"/>
                      <w:sz w:val="18"/>
                      <w:szCs w:val="18"/>
                    </w:rPr>
                    <w:t>25.000</w:t>
                  </w:r>
                </w:p>
              </w:txbxContent>
            </v:textbox>
          </v:shape>
        </w:pict>
      </w:r>
      <w:r>
        <w:pict>
          <v:shape id="_x0000_s1060" type="#_x0000_t202" style="width:28.75pt;height:10.95pt;margin-top:200.66pt;margin-left:496.78pt;mso-position-horizontal-relative:page;mso-position-vertical-relative:page;position:absolute;z-index:251679744" o:allowincell="f" filled="f" stroked="f">
            <o:lock v:ext="edit" aspectratio="f"/>
            <v:textbox inset="0,0,0,0">
              <w:txbxContent>
                <w:p>
                  <w:pPr>
                    <w:spacing w:before="19" w:line="184" w:lineRule="auto"/>
                    <w:ind w:left="20"/>
                    <w:rPr>
                      <w:rFonts w:ascii="KaiTi" w:eastAsia="KaiTi" w:hAnsi="KaiTi" w:cs="KaiTi"/>
                      <w:sz w:val="18"/>
                      <w:szCs w:val="18"/>
                    </w:rPr>
                  </w:pPr>
                  <w:r>
                    <w:rPr>
                      <w:rFonts w:ascii="KaiTi" w:eastAsia="KaiTi" w:hAnsi="KaiTi" w:cs="KaiTi"/>
                      <w:color w:val="595959"/>
                      <w:spacing w:val="-1"/>
                      <w:sz w:val="18"/>
                      <w:szCs w:val="18"/>
                    </w:rPr>
                    <w:t>20.000</w:t>
                  </w:r>
                </w:p>
              </w:txbxContent>
            </v:textbox>
          </v:shape>
        </w:pict>
      </w:r>
      <w:r>
        <w:pict>
          <v:shape id="_x0000_s1061" type="#_x0000_t202" style="width:28.2pt;height:10.9pt;margin-top:236.33pt;margin-left:497.31pt;mso-position-horizontal-relative:page;mso-position-vertical-relative:page;position:absolute;z-index:251683840" o:allowincell="f" filled="f" stroked="f">
            <o:lock v:ext="edit" aspectratio="f"/>
            <v:textbox inset="0,0,0,0">
              <w:txbxContent>
                <w:p>
                  <w:pPr>
                    <w:spacing w:before="19" w:line="183" w:lineRule="auto"/>
                    <w:ind w:left="20"/>
                    <w:rPr>
                      <w:rFonts w:ascii="KaiTi" w:eastAsia="KaiTi" w:hAnsi="KaiTi" w:cs="KaiTi"/>
                      <w:sz w:val="18"/>
                      <w:szCs w:val="18"/>
                    </w:rPr>
                  </w:pPr>
                  <w:r>
                    <w:rPr>
                      <w:rFonts w:ascii="KaiTi" w:eastAsia="KaiTi" w:hAnsi="KaiTi" w:cs="KaiTi"/>
                      <w:color w:val="595959"/>
                      <w:spacing w:val="-3"/>
                      <w:sz w:val="18"/>
                      <w:szCs w:val="18"/>
                    </w:rPr>
                    <w:t>15.000</w:t>
                  </w:r>
                </w:p>
              </w:txbxContent>
            </v:textbox>
          </v:shape>
        </w:pict>
      </w:r>
      <w:r>
        <w:pict>
          <v:shape id="_x0000_s1062" type="#_x0000_t202" style="width:28.2pt;height:10.9pt;margin-top:271.93pt;margin-left:497.31pt;mso-position-horizontal-relative:page;mso-position-vertical-relative:page;position:absolute;z-index:251682816" o:allowincell="f" filled="f" stroked="f">
            <o:lock v:ext="edit" aspectratio="f"/>
            <v:textbox inset="0,0,0,0">
              <w:txbxContent>
                <w:p>
                  <w:pPr>
                    <w:spacing w:before="19" w:line="183" w:lineRule="auto"/>
                    <w:ind w:left="20"/>
                    <w:rPr>
                      <w:rFonts w:ascii="KaiTi" w:eastAsia="KaiTi" w:hAnsi="KaiTi" w:cs="KaiTi"/>
                      <w:sz w:val="18"/>
                      <w:szCs w:val="18"/>
                    </w:rPr>
                  </w:pPr>
                  <w:r>
                    <w:rPr>
                      <w:rFonts w:ascii="KaiTi" w:eastAsia="KaiTi" w:hAnsi="KaiTi" w:cs="KaiTi"/>
                      <w:color w:val="595959"/>
                      <w:spacing w:val="-3"/>
                      <w:sz w:val="18"/>
                      <w:szCs w:val="18"/>
                    </w:rPr>
                    <w:t>10.000</w:t>
                  </w:r>
                </w:p>
              </w:txbxContent>
            </v:textbox>
          </v:shape>
        </w:pict>
      </w:r>
      <w:r>
        <w:pict>
          <v:shape id="_x0000_s1063" type="#_x0000_t202" style="width:24.4pt;height:10.9pt;margin-top:307.53pt;margin-left:501.14pt;mso-position-horizontal-relative:page;mso-position-vertical-relative:page;position:absolute;z-index:251684864" o:allowincell="f" filled="f" stroked="f">
            <o:lock v:ext="edit" aspectratio="f"/>
            <v:textbox inset="0,0,0,0">
              <w:txbxContent>
                <w:p>
                  <w:pPr>
                    <w:spacing w:before="19" w:line="183" w:lineRule="auto"/>
                    <w:ind w:left="20"/>
                    <w:rPr>
                      <w:rFonts w:ascii="KaiTi" w:eastAsia="KaiTi" w:hAnsi="KaiTi" w:cs="KaiTi"/>
                      <w:sz w:val="18"/>
                      <w:szCs w:val="18"/>
                    </w:rPr>
                  </w:pPr>
                  <w:r>
                    <w:rPr>
                      <w:rFonts w:ascii="KaiTi" w:eastAsia="KaiTi" w:hAnsi="KaiTi" w:cs="KaiTi"/>
                      <w:color w:val="595959"/>
                      <w:spacing w:val="-1"/>
                      <w:sz w:val="18"/>
                      <w:szCs w:val="18"/>
                    </w:rPr>
                    <w:t>5.000</w:t>
                  </w:r>
                </w:p>
              </w:txbxContent>
            </v:textbox>
          </v:shape>
        </w:pict>
      </w:r>
      <w:r>
        <w:pict>
          <v:shape id="_x0000_s1064" type="#_x0000_t202" style="width:24.25pt;height:10.9pt;margin-top:343.13pt;margin-left:501.28pt;mso-position-horizontal-relative:page;mso-position-vertical-relative:page;position:absolute;z-index:251685888" o:allowincell="f" filled="f" stroked="f">
            <o:lock v:ext="edit" aspectratio="f"/>
            <v:textbox inset="0,0,0,0">
              <w:txbxContent>
                <w:p>
                  <w:pPr>
                    <w:spacing w:before="19" w:line="183" w:lineRule="auto"/>
                    <w:ind w:left="20"/>
                    <w:rPr>
                      <w:rFonts w:ascii="KaiTi" w:eastAsia="KaiTi" w:hAnsi="KaiTi" w:cs="KaiTi"/>
                      <w:sz w:val="18"/>
                      <w:szCs w:val="18"/>
                    </w:rPr>
                  </w:pPr>
                  <w:r>
                    <w:rPr>
                      <w:rFonts w:ascii="KaiTi" w:eastAsia="KaiTi" w:hAnsi="KaiTi" w:cs="KaiTi"/>
                      <w:color w:val="595959"/>
                      <w:spacing w:val="-1"/>
                      <w:sz w:val="18"/>
                      <w:szCs w:val="18"/>
                    </w:rPr>
                    <w:t>0.000</w:t>
                  </w:r>
                </w:p>
              </w:txbxContent>
            </v:textbox>
          </v:shape>
        </w:pict>
      </w:r>
      <w:r>
        <w:pict>
          <v:shape id="_x0000_s1065" style="width:386.2pt;height:262.2pt;margin-top:122.33pt;margin-left:68.88pt;mso-position-horizontal-relative:page;mso-position-vertical-relative:page;position:absolute;z-index:251672576" coordorigin="0,0" coordsize="7724,5244" o:allowincell="f" path="m,5238l7723,5238m,5l7723,5e" filled="f" strokecolor="black" strokeweight="0.5pt">
            <v:stroke joinstyle="miter"/>
          </v:shape>
        </w:pict>
      </w:r>
      <w:r>
        <w:drawing>
          <wp:anchor distT="0" distB="0" distL="0" distR="0" simplePos="0" relativeHeight="251671552" behindDoc="0" locked="0" layoutInCell="0" allowOverlap="1">
            <wp:simplePos x="0" y="0"/>
            <wp:positionH relativeFrom="page">
              <wp:posOffset>874776</wp:posOffset>
            </wp:positionH>
            <wp:positionV relativeFrom="page">
              <wp:posOffset>1760982</wp:posOffset>
            </wp:positionV>
            <wp:extent cx="4960620" cy="288645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0"/>
                    <a:stretch>
                      <a:fillRect/>
                    </a:stretch>
                  </pic:blipFill>
                  <pic:spPr>
                    <a:xfrm>
                      <a:off x="0" y="0"/>
                      <a:ext cx="4960620" cy="2886455"/>
                    </a:xfrm>
                    <a:prstGeom prst="rect">
                      <a:avLst/>
                    </a:prstGeom>
                  </pic:spPr>
                </pic:pic>
              </a:graphicData>
            </a:graphic>
          </wp:anchor>
        </w:drawing>
      </w: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p>
      <w:pPr>
        <w:spacing w:line="269" w:lineRule="auto"/>
        <w:rPr>
          <w:rFonts w:ascii="Arial"/>
          <w:sz w:val="21"/>
        </w:rPr>
      </w:pPr>
    </w:p>
    <w:p>
      <w:pPr>
        <w:spacing w:before="126" w:line="215" w:lineRule="auto"/>
        <w:ind w:left="36"/>
        <w:outlineLvl w:val="1"/>
        <w:rPr>
          <w:rFonts w:ascii="SimHei" w:eastAsia="SimHei" w:hAnsi="SimHei" w:cs="SimHei"/>
          <w:sz w:val="39"/>
          <w:szCs w:val="39"/>
        </w:rPr>
      </w:pPr>
      <w:r>
        <w:rPr>
          <w:rFonts w:ascii="SimHei" w:eastAsia="SimHei" w:hAnsi="SimHei" w:cs="SimHei"/>
          <w:spacing w:val="9"/>
          <w:sz w:val="39"/>
          <w:szCs w:val="39"/>
          <w14:textOutline w14:w="7249">
            <w14:solidFill>
              <w14:srgbClr w14:val="000000"/>
            </w14:solidFill>
            <w14:prstDash w14:val="solid"/>
            <w14:round/>
          </w14:textOutline>
        </w:rPr>
        <w:t>下游电价下行，光伏需求降速</w:t>
      </w:r>
    </w:p>
    <w:p>
      <w:pPr>
        <w:spacing w:before="301" w:line="208" w:lineRule="auto"/>
        <w:ind w:left="557"/>
        <w:rPr>
          <w:rFonts w:ascii="STXihei" w:eastAsia="STXihei" w:hAnsi="STXihei" w:cs="STXihei"/>
          <w:sz w:val="24"/>
          <w:szCs w:val="24"/>
        </w:rPr>
      </w:pPr>
      <w:r>
        <w:pict>
          <v:shape id="_x0000_s1066" type="#_x0000_t202" style="width:199.45pt;height:16.65pt;margin-top:14.09pt;margin-left:448.99pt;position:absolute;z-index:251674624" filled="f" stroked="f">
            <o:lock v:ext="edit" aspectratio="f"/>
            <v:textbox inset="0,0,0,0">
              <w:txbxContent>
                <w:p>
                  <w:pPr>
                    <w:spacing w:before="19" w:line="209" w:lineRule="auto"/>
                    <w:ind w:left="20"/>
                    <w:rPr>
                      <w:rFonts w:ascii="STXihei" w:eastAsia="STXihei" w:hAnsi="STXihei" w:cs="STXihei"/>
                      <w:sz w:val="24"/>
                      <w:szCs w:val="24"/>
                    </w:rPr>
                  </w:pPr>
                  <w:r>
                    <w:rPr>
                      <w:rFonts w:ascii="STXihei" w:eastAsia="STXihei" w:hAnsi="STXihei" w:cs="STXihei"/>
                      <w:spacing w:val="-2"/>
                      <w:sz w:val="24"/>
                      <w:szCs w:val="24"/>
                    </w:rPr>
                    <w:t>图表</w:t>
                  </w:r>
                  <w:r>
                    <w:rPr>
                      <w:rFonts w:ascii="Arial" w:eastAsia="Arial" w:hAnsi="Arial" w:cs="Arial"/>
                      <w:spacing w:val="-2"/>
                      <w:sz w:val="24"/>
                      <w:szCs w:val="24"/>
                    </w:rPr>
                    <w:t>3</w:t>
                  </w:r>
                  <w:r>
                    <w:rPr>
                      <w:rFonts w:ascii="STXihei" w:eastAsia="STXihei" w:hAnsi="STXihei" w:cs="STXihei"/>
                      <w:spacing w:val="-2"/>
                      <w:sz w:val="24"/>
                      <w:szCs w:val="24"/>
                    </w:rPr>
                    <w:t>：欧洲组件出口金额（亿美元）</w:t>
                  </w:r>
                </w:p>
              </w:txbxContent>
            </v:textbox>
          </v:shape>
        </w:pict>
      </w:r>
      <w:r>
        <w:rPr>
          <w:rFonts w:ascii="STXihei" w:eastAsia="STXihei" w:hAnsi="STXihei" w:cs="STXihei"/>
          <w:spacing w:val="1"/>
          <w:sz w:val="24"/>
          <w:szCs w:val="24"/>
        </w:rPr>
        <w:t>图表</w:t>
      </w:r>
      <w:r>
        <w:rPr>
          <w:rFonts w:ascii="Arial" w:eastAsia="Arial" w:hAnsi="Arial" w:cs="Arial"/>
          <w:spacing w:val="1"/>
          <w:sz w:val="24"/>
          <w:szCs w:val="24"/>
        </w:rPr>
        <w:t>2</w:t>
      </w:r>
      <w:r>
        <w:rPr>
          <w:rFonts w:ascii="STXihei" w:eastAsia="STXihei" w:hAnsi="STXihei" w:cs="STXihei"/>
          <w:spacing w:val="1"/>
          <w:sz w:val="24"/>
          <w:szCs w:val="24"/>
        </w:rPr>
        <w:t>：俄乌冲突后，欧洲电价下行（</w:t>
      </w:r>
      <w:r>
        <w:rPr>
          <w:rFonts w:ascii="Arial" w:eastAsia="Arial" w:hAnsi="Arial" w:cs="Arial"/>
          <w:sz w:val="24"/>
          <w:szCs w:val="24"/>
        </w:rPr>
        <w:t>EUR</w:t>
      </w:r>
      <w:r>
        <w:rPr>
          <w:rFonts w:ascii="Arial" w:eastAsia="Arial" w:hAnsi="Arial" w:cs="Arial"/>
          <w:spacing w:val="1"/>
          <w:sz w:val="24"/>
          <w:szCs w:val="24"/>
        </w:rPr>
        <w:t>/</w:t>
      </w:r>
      <w:r>
        <w:rPr>
          <w:rFonts w:ascii="Arial" w:eastAsia="Arial" w:hAnsi="Arial" w:cs="Arial"/>
          <w:sz w:val="24"/>
          <w:szCs w:val="24"/>
        </w:rPr>
        <w:t>MWh</w:t>
      </w:r>
      <w:r>
        <w:rPr>
          <w:rFonts w:ascii="STXihei" w:eastAsia="STXihei" w:hAnsi="STXihei" w:cs="STXihei"/>
          <w:spacing w:val="1"/>
          <w:sz w:val="24"/>
          <w:szCs w:val="24"/>
        </w:rPr>
        <w:t>）</w:t>
      </w:r>
    </w:p>
    <w:p>
      <w:pPr>
        <w:spacing w:before="6"/>
      </w:pPr>
    </w:p>
    <w:tbl>
      <w:tblPr>
        <w:tblStyle w:val="TableNormal1"/>
        <w:tblW w:w="6577" w:type="dxa"/>
        <w:tblInd w:w="9637" w:type="dxa"/>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ayout w:type="fixed"/>
      </w:tblPr>
      <w:tblGrid>
        <w:gridCol w:w="449"/>
        <w:gridCol w:w="299"/>
        <w:gridCol w:w="298"/>
        <w:gridCol w:w="299"/>
        <w:gridCol w:w="299"/>
        <w:gridCol w:w="299"/>
        <w:gridCol w:w="299"/>
        <w:gridCol w:w="299"/>
        <w:gridCol w:w="298"/>
        <w:gridCol w:w="299"/>
        <w:gridCol w:w="299"/>
        <w:gridCol w:w="299"/>
        <w:gridCol w:w="299"/>
        <w:gridCol w:w="299"/>
        <w:gridCol w:w="299"/>
        <w:gridCol w:w="299"/>
        <w:gridCol w:w="299"/>
        <w:gridCol w:w="299"/>
        <w:gridCol w:w="299"/>
        <w:gridCol w:w="299"/>
        <w:gridCol w:w="449"/>
      </w:tblGrid>
      <w:tr>
        <w:tblPrEx>
          <w:tblW w:w="6577" w:type="dxa"/>
          <w:tblInd w:w="9637" w:type="dxa"/>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ayout w:type="fixed"/>
        </w:tblPrEx>
        <w:trPr>
          <w:trHeight w:val="703"/>
        </w:trPr>
        <w:tc>
          <w:tcPr>
            <w:tcW w:w="4035" w:type="dxa"/>
            <w:gridSpan w:val="13"/>
            <w:tcBorders>
              <w:left w:val="nil"/>
              <w:right w:val="single" w:sz="42" w:space="0" w:color="D9D9D9"/>
            </w:tcBorders>
            <w:vAlign w:val="top"/>
          </w:tcPr>
          <w:p>
            <w:pPr>
              <w:pStyle w:val="TableText"/>
            </w:pPr>
          </w:p>
        </w:tc>
        <w:tc>
          <w:tcPr>
            <w:tcW w:w="2542" w:type="dxa"/>
            <w:gridSpan w:val="8"/>
            <w:tcBorders>
              <w:left w:val="single" w:sz="42" w:space="0" w:color="D9D9D9"/>
              <w:right w:val="nil"/>
            </w:tcBorders>
            <w:vAlign w:val="top"/>
          </w:tcPr>
          <w:p>
            <w:pPr>
              <w:pStyle w:val="TableText"/>
            </w:pPr>
          </w:p>
        </w:tc>
      </w:tr>
      <w:tr>
        <w:tblPrEx>
          <w:tblW w:w="6577" w:type="dxa"/>
          <w:tblInd w:w="9637" w:type="dxa"/>
          <w:tblLayout w:type="fixed"/>
        </w:tblPrEx>
        <w:trPr>
          <w:trHeight w:val="694"/>
        </w:trPr>
        <w:tc>
          <w:tcPr>
            <w:tcW w:w="1046" w:type="dxa"/>
            <w:gridSpan w:val="3"/>
            <w:tcBorders>
              <w:left w:val="nil"/>
              <w:right w:val="nil"/>
            </w:tcBorders>
            <w:vAlign w:val="top"/>
          </w:tcPr>
          <w:p>
            <w:pPr>
              <w:pStyle w:val="TableText"/>
            </w:pPr>
          </w:p>
        </w:tc>
        <w:tc>
          <w:tcPr>
            <w:tcW w:w="299" w:type="dxa"/>
            <w:tcBorders>
              <w:left w:val="nil"/>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1793" w:type="dxa"/>
            <w:gridSpan w:val="6"/>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nil"/>
            </w:tcBorders>
            <w:vAlign w:val="top"/>
          </w:tcPr>
          <w:p>
            <w:pPr>
              <w:pStyle w:val="TableText"/>
            </w:pPr>
          </w:p>
        </w:tc>
        <w:tc>
          <w:tcPr>
            <w:tcW w:w="1645" w:type="dxa"/>
            <w:gridSpan w:val="5"/>
            <w:tcBorders>
              <w:left w:val="nil"/>
              <w:right w:val="nil"/>
            </w:tcBorders>
            <w:vAlign w:val="top"/>
          </w:tcPr>
          <w:p>
            <w:pPr>
              <w:pStyle w:val="TableText"/>
            </w:pPr>
          </w:p>
        </w:tc>
      </w:tr>
      <w:tr>
        <w:tblPrEx>
          <w:tblW w:w="6577" w:type="dxa"/>
          <w:tblInd w:w="9637" w:type="dxa"/>
          <w:tblLayout w:type="fixed"/>
        </w:tblPrEx>
        <w:trPr>
          <w:trHeight w:val="694"/>
        </w:trPr>
        <w:tc>
          <w:tcPr>
            <w:tcW w:w="748" w:type="dxa"/>
            <w:gridSpan w:val="2"/>
            <w:tcBorders>
              <w:left w:val="nil"/>
              <w:right w:val="single" w:sz="42" w:space="0" w:color="D9D9D9"/>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nil"/>
            </w:tcBorders>
            <w:vAlign w:val="top"/>
          </w:tcPr>
          <w:p>
            <w:pPr>
              <w:pStyle w:val="TableText"/>
            </w:pPr>
          </w:p>
        </w:tc>
        <w:tc>
          <w:tcPr>
            <w:tcW w:w="299" w:type="dxa"/>
            <w:tcBorders>
              <w:left w:val="nil"/>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1645" w:type="dxa"/>
            <w:gridSpan w:val="5"/>
            <w:tcBorders>
              <w:left w:val="single" w:sz="42" w:space="0" w:color="D9D9D9"/>
              <w:right w:val="nil"/>
            </w:tcBorders>
            <w:vAlign w:val="top"/>
          </w:tcPr>
          <w:p>
            <w:pPr>
              <w:pStyle w:val="TableText"/>
            </w:pPr>
          </w:p>
        </w:tc>
      </w:tr>
      <w:tr>
        <w:tblPrEx>
          <w:tblW w:w="6577" w:type="dxa"/>
          <w:tblInd w:w="9637" w:type="dxa"/>
          <w:tblLayout w:type="fixed"/>
        </w:tblPrEx>
        <w:trPr>
          <w:trHeight w:val="695"/>
        </w:trPr>
        <w:tc>
          <w:tcPr>
            <w:tcW w:w="449" w:type="dxa"/>
            <w:tcBorders>
              <w:left w:val="nil"/>
              <w:right w:val="single" w:sz="42" w:space="0" w:color="D9D9D9"/>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nil"/>
            </w:tcBorders>
            <w:vAlign w:val="top"/>
          </w:tcPr>
          <w:p>
            <w:pPr>
              <w:pStyle w:val="TableText"/>
            </w:pPr>
          </w:p>
        </w:tc>
        <w:tc>
          <w:tcPr>
            <w:tcW w:w="748" w:type="dxa"/>
            <w:gridSpan w:val="2"/>
            <w:tcBorders>
              <w:left w:val="nil"/>
              <w:right w:val="nil"/>
            </w:tcBorders>
            <w:vAlign w:val="top"/>
          </w:tcPr>
          <w:p>
            <w:pPr>
              <w:pStyle w:val="TableText"/>
            </w:pPr>
          </w:p>
        </w:tc>
      </w:tr>
      <w:tr>
        <w:tblPrEx>
          <w:tblW w:w="6577" w:type="dxa"/>
          <w:tblInd w:w="9637" w:type="dxa"/>
          <w:tblLayout w:type="fixed"/>
        </w:tblPrEx>
        <w:trPr>
          <w:trHeight w:val="694"/>
        </w:trPr>
        <w:tc>
          <w:tcPr>
            <w:tcW w:w="449" w:type="dxa"/>
            <w:tcBorders>
              <w:left w:val="nil"/>
              <w:right w:val="single" w:sz="42" w:space="0" w:color="D9D9D9"/>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449" w:type="dxa"/>
            <w:tcBorders>
              <w:left w:val="single" w:sz="42" w:space="0" w:color="D9D9D9"/>
              <w:right w:val="nil"/>
            </w:tcBorders>
            <w:vAlign w:val="top"/>
          </w:tcPr>
          <w:p>
            <w:pPr>
              <w:pStyle w:val="TableText"/>
            </w:pPr>
          </w:p>
        </w:tc>
      </w:tr>
      <w:tr>
        <w:tblPrEx>
          <w:tblW w:w="6577" w:type="dxa"/>
          <w:tblInd w:w="9637" w:type="dxa"/>
          <w:tblLayout w:type="fixed"/>
        </w:tblPrEx>
        <w:trPr>
          <w:trHeight w:val="701"/>
        </w:trPr>
        <w:tc>
          <w:tcPr>
            <w:tcW w:w="449" w:type="dxa"/>
            <w:tcBorders>
              <w:left w:val="nil"/>
              <w:right w:val="single" w:sz="42" w:space="0" w:color="D9D9D9"/>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8"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299" w:type="dxa"/>
            <w:tcBorders>
              <w:left w:val="single" w:sz="42" w:space="0" w:color="6096E6"/>
              <w:right w:val="single" w:sz="42" w:space="0" w:color="6096E6"/>
            </w:tcBorders>
            <w:vAlign w:val="top"/>
          </w:tcPr>
          <w:p>
            <w:pPr>
              <w:pStyle w:val="TableText"/>
            </w:pPr>
          </w:p>
        </w:tc>
        <w:tc>
          <w:tcPr>
            <w:tcW w:w="449" w:type="dxa"/>
            <w:tcBorders>
              <w:left w:val="single" w:sz="42" w:space="0" w:color="D9D9D9"/>
              <w:right w:val="nil"/>
            </w:tcBorders>
            <w:vAlign w:val="top"/>
          </w:tcPr>
          <w:p>
            <w:pPr>
              <w:pStyle w:val="TableText"/>
            </w:pPr>
            <w:r>
              <w:pict>
                <v:rect id="_x0000_s1067" style="width:5.1pt;height:45.6pt;margin-top:-10.05pt;margin-left:-10.18pt;mso-position-horizontal-relative:right-margin-area;mso-position-vertical-relative:top-margin-area;position:absolute;z-index:251687936" filled="t" fillcolor="#6096e6" stroked="f"/>
              </w:pict>
            </w:r>
          </w:p>
        </w:tc>
      </w:tr>
    </w:tbl>
    <w:p>
      <w:pPr>
        <w:spacing w:before="124" w:line="455" w:lineRule="exact"/>
        <w:ind w:firstLine="9382"/>
      </w:pPr>
      <w:r>
        <w:rPr>
          <w:position w:val="-9"/>
        </w:rPr>
        <w:drawing>
          <wp:inline distT="0" distB="0" distL="0" distR="0">
            <wp:extent cx="4254500" cy="28879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4254500" cy="288798"/>
                    </a:xfrm>
                    <a:prstGeom prst="rect">
                      <a:avLst/>
                    </a:prstGeom>
                  </pic:spPr>
                </pic:pic>
              </a:graphicData>
            </a:graphic>
          </wp:inline>
        </w:drawing>
      </w:r>
    </w:p>
    <w:p>
      <w:pPr>
        <w:spacing w:before="267" w:line="208" w:lineRule="auto"/>
        <w:ind w:left="546"/>
        <w:rPr>
          <w:rFonts w:ascii="STXihei" w:eastAsia="STXihei" w:hAnsi="STXihei" w:cs="STXihei"/>
          <w:sz w:val="21"/>
          <w:szCs w:val="21"/>
        </w:rPr>
      </w:pPr>
      <w:r>
        <w:pict>
          <v:shape id="_x0000_s1068" type="#_x0000_t202" style="width:187.35pt;height:15.1pt;margin-top:12.37pt;margin-left:448.46pt;position:absolute;z-index:251675648" filled="f" stroked="f">
            <o:lock v:ext="edit" aspectratio="f"/>
            <v:textbox inset="0,0,0,0">
              <w:txbxContent>
                <w:p>
                  <w:pPr>
                    <w:spacing w:before="20" w:line="213" w:lineRule="auto"/>
                    <w:ind w:left="20"/>
                    <w:rPr>
                      <w:rFonts w:ascii="STXihei" w:eastAsia="STXihei" w:hAnsi="STXihei" w:cs="STXihei"/>
                      <w:sz w:val="21"/>
                      <w:szCs w:val="21"/>
                    </w:rPr>
                  </w:pPr>
                  <w:r>
                    <w:rPr>
                      <w:rFonts w:ascii="STXihei" w:eastAsia="STXihei" w:hAnsi="STXihei" w:cs="STXihei"/>
                      <w:spacing w:val="-2"/>
                      <w:sz w:val="21"/>
                      <w:szCs w:val="21"/>
                    </w:rPr>
                    <w:t>资料来源：   海关总署，五矿证券研究所</w:t>
                  </w:r>
                </w:p>
              </w:txbxContent>
            </v:textbox>
          </v:shape>
        </w:pict>
      </w:r>
      <w:r>
        <w:rPr>
          <w:rFonts w:ascii="STXihei" w:eastAsia="STXihei" w:hAnsi="STXihei" w:cs="STXihei"/>
          <w:sz w:val="21"/>
          <w:szCs w:val="21"/>
        </w:rPr>
        <w:t xml:space="preserve">资料来源：   </w:t>
      </w:r>
      <w:r>
        <w:rPr>
          <w:rFonts w:ascii="Arial" w:eastAsia="Arial" w:hAnsi="Arial" w:cs="Arial"/>
          <w:sz w:val="21"/>
          <w:szCs w:val="21"/>
        </w:rPr>
        <w:t>Household</w:t>
      </w:r>
      <w:r>
        <w:rPr>
          <w:rFonts w:ascii="Arial" w:eastAsia="Arial" w:hAnsi="Arial" w:cs="Arial"/>
          <w:spacing w:val="33"/>
          <w:sz w:val="21"/>
          <w:szCs w:val="21"/>
        </w:rPr>
        <w:t xml:space="preserve"> </w:t>
      </w:r>
      <w:r>
        <w:rPr>
          <w:rFonts w:ascii="Arial" w:eastAsia="Arial" w:hAnsi="Arial" w:cs="Arial"/>
          <w:sz w:val="21"/>
          <w:szCs w:val="21"/>
        </w:rPr>
        <w:t>Energy</w:t>
      </w:r>
      <w:r>
        <w:rPr>
          <w:rFonts w:ascii="Arial" w:eastAsia="Arial" w:hAnsi="Arial" w:cs="Arial"/>
          <w:spacing w:val="20"/>
          <w:sz w:val="21"/>
          <w:szCs w:val="21"/>
        </w:rPr>
        <w:t xml:space="preserve"> </w:t>
      </w:r>
      <w:r>
        <w:rPr>
          <w:rFonts w:ascii="Arial" w:eastAsia="Arial" w:hAnsi="Arial" w:cs="Arial"/>
          <w:sz w:val="21"/>
          <w:szCs w:val="21"/>
        </w:rPr>
        <w:t>Price</w:t>
      </w:r>
      <w:r>
        <w:rPr>
          <w:rFonts w:ascii="Arial" w:eastAsia="Arial" w:hAnsi="Arial" w:cs="Arial"/>
          <w:spacing w:val="23"/>
          <w:w w:val="101"/>
          <w:sz w:val="21"/>
          <w:szCs w:val="21"/>
        </w:rPr>
        <w:t xml:space="preserve"> </w:t>
      </w:r>
      <w:r>
        <w:rPr>
          <w:rFonts w:ascii="Arial" w:eastAsia="Arial" w:hAnsi="Arial" w:cs="Arial"/>
          <w:sz w:val="21"/>
          <w:szCs w:val="21"/>
        </w:rPr>
        <w:t>Index</w:t>
      </w:r>
      <w:r>
        <w:rPr>
          <w:rFonts w:ascii="STXihei" w:eastAsia="STXihei" w:hAnsi="STXihei" w:cs="STXihei"/>
          <w:sz w:val="21"/>
          <w:szCs w:val="21"/>
        </w:rPr>
        <w:t>，五矿证券研究所</w:t>
      </w:r>
    </w:p>
    <w:p>
      <w:pPr>
        <w:spacing w:line="424" w:lineRule="auto"/>
        <w:rPr>
          <w:rFonts w:ascii="Arial"/>
          <w:sz w:val="21"/>
        </w:rPr>
      </w:pPr>
    </w:p>
    <w:p>
      <w:pPr>
        <w:spacing w:before="103" w:line="525" w:lineRule="exact"/>
        <w:ind w:left="553"/>
        <w:rPr>
          <w:rFonts w:ascii="STXihei" w:eastAsia="STXihei" w:hAnsi="STXihei" w:cs="STXihei"/>
          <w:sz w:val="29"/>
          <w:szCs w:val="29"/>
        </w:rPr>
      </w:pPr>
      <w:r>
        <w:rPr>
          <w:rFonts w:ascii="Wingdings" w:eastAsia="Wingdings" w:hAnsi="Wingdings" w:cs="Wingdings"/>
          <w:color w:val="C00000"/>
          <w:spacing w:val="-5"/>
          <w:position w:val="19"/>
          <w:sz w:val="29"/>
          <w:szCs w:val="29"/>
        </w:rPr>
        <w:sym w:font="Wingdings" w:char="F070"/>
      </w:r>
      <w:r>
        <w:rPr>
          <w:rFonts w:ascii="Wingdings" w:eastAsia="Wingdings" w:hAnsi="Wingdings" w:cs="Wingdings"/>
          <w:color w:val="C00000"/>
          <w:spacing w:val="-5"/>
          <w:position w:val="19"/>
          <w:sz w:val="29"/>
          <w:szCs w:val="29"/>
        </w:rPr>
        <w:sym w:font="Wingdings" w:char="0020"/>
      </w:r>
      <w:r>
        <w:rPr>
          <w:rFonts w:ascii="STXihei" w:eastAsia="STXihei" w:hAnsi="STXihei" w:cs="STXihei"/>
          <w:spacing w:val="-5"/>
          <w:position w:val="19"/>
          <w:sz w:val="29"/>
          <w:szCs w:val="29"/>
          <w14:textOutline w14:w="5297">
            <w14:solidFill>
              <w14:srgbClr w14:val="000000"/>
            </w14:solidFill>
            <w14:prstDash w14:val="solid"/>
            <w14:round/>
          </w14:textOutline>
        </w:rPr>
        <w:t>欧洲电价回归，组件持续去库：</w:t>
      </w:r>
      <w:r>
        <w:rPr>
          <w:rFonts w:ascii="STXihei" w:eastAsia="STXihei" w:hAnsi="STXihei" w:cs="STXihei"/>
          <w:spacing w:val="-5"/>
          <w:position w:val="19"/>
          <w:sz w:val="29"/>
          <w:szCs w:val="29"/>
        </w:rPr>
        <w:t xml:space="preserve">   欧洲分布式</w:t>
      </w:r>
      <w:r>
        <w:rPr>
          <w:rFonts w:ascii="STXihei" w:eastAsia="STXihei" w:hAnsi="STXihei" w:cs="STXihei"/>
          <w:spacing w:val="-6"/>
          <w:position w:val="19"/>
          <w:sz w:val="29"/>
          <w:szCs w:val="29"/>
        </w:rPr>
        <w:t>光伏占比较高，分布式光伏需求主要受到居民电价影响。俄乌冲突后，</w:t>
      </w:r>
      <w:r>
        <w:rPr>
          <w:rFonts w:ascii="STXihei" w:eastAsia="STXihei" w:hAnsi="STXihei" w:cs="STXihei"/>
          <w:spacing w:val="-35"/>
          <w:position w:val="19"/>
          <w:sz w:val="29"/>
          <w:szCs w:val="29"/>
        </w:rPr>
        <w:t xml:space="preserve"> </w:t>
      </w:r>
      <w:r>
        <w:rPr>
          <w:rFonts w:ascii="STXihei" w:eastAsia="STXihei" w:hAnsi="STXihei" w:cs="STXihei"/>
          <w:spacing w:val="-6"/>
          <w:position w:val="19"/>
          <w:sz w:val="29"/>
          <w:szCs w:val="29"/>
        </w:rPr>
        <w:t>电价逐步回</w:t>
      </w:r>
    </w:p>
    <w:p>
      <w:pPr>
        <w:spacing w:before="1" w:line="206" w:lineRule="auto"/>
        <w:ind w:left="1012"/>
        <w:rPr>
          <w:rFonts w:ascii="STXihei" w:eastAsia="STXihei" w:hAnsi="STXihei" w:cs="STXihei"/>
          <w:sz w:val="29"/>
          <w:szCs w:val="29"/>
        </w:rPr>
        <w:sectPr>
          <w:headerReference w:type="default" r:id="rId42"/>
          <w:footerReference w:type="default" r:id="rId43"/>
          <w:pgSz w:w="19200" w:h="10800"/>
          <w:pgMar w:top="400" w:right="723" w:bottom="282" w:left="992" w:header="0" w:footer="0" w:gutter="0"/>
          <w:pgNumType w:start="16"/>
          <w:cols w:space="708"/>
        </w:sectPr>
      </w:pPr>
      <w:r>
        <w:rPr>
          <w:rFonts w:ascii="STXihei" w:eastAsia="STXihei" w:hAnsi="STXihei" w:cs="STXihei"/>
          <w:spacing w:val="-3"/>
          <w:sz w:val="29"/>
          <w:szCs w:val="29"/>
        </w:rPr>
        <w:t>归正常水平波动，恐慌带来欧洲市场累库明显，</w:t>
      </w:r>
      <w:r>
        <w:rPr>
          <w:rFonts w:ascii="STXihei" w:eastAsia="STXihei" w:hAnsi="STXihei" w:cs="STXihei"/>
          <w:spacing w:val="-5"/>
          <w:sz w:val="29"/>
          <w:szCs w:val="29"/>
        </w:rPr>
        <w:t xml:space="preserve"> </w:t>
      </w:r>
      <w:r>
        <w:rPr>
          <w:rFonts w:ascii="STXihei" w:eastAsia="STXihei" w:hAnsi="STXihei" w:cs="STXihei"/>
          <w:spacing w:val="-3"/>
          <w:sz w:val="29"/>
          <w:szCs w:val="29"/>
        </w:rPr>
        <w:t>目前持续进行库存去化。</w:t>
      </w:r>
    </w:p>
    <w:p>
      <w:pPr>
        <w:spacing w:before="244" w:line="516" w:lineRule="exact"/>
        <w:ind w:left="553"/>
        <w:rPr>
          <w:rFonts w:ascii="Arial" w:eastAsia="Arial" w:hAnsi="Arial" w:cs="Arial"/>
          <w:sz w:val="29"/>
          <w:szCs w:val="29"/>
        </w:rPr>
      </w:pPr>
      <w:r>
        <w:pict>
          <v:shape id="_x0000_s1069" type="#_x0000_t202" style="width:7.15pt;height:11.25pt;margin-top:40.1pt;margin-left:868.11pt;position:absolute;z-index:251688960" filled="f" stroked="f">
            <o:lock v:ext="edit" aspectratio="f"/>
            <v:textbox inset="0,0,0,0">
              <w:txbxContent>
                <w:p>
                  <w:pPr>
                    <w:spacing w:before="20" w:line="192" w:lineRule="auto"/>
                    <w:ind w:left="20"/>
                    <w:rPr>
                      <w:rFonts w:ascii="Arial" w:eastAsia="Arial" w:hAnsi="Arial" w:cs="Arial"/>
                      <w:sz w:val="20"/>
                      <w:szCs w:val="20"/>
                    </w:rPr>
                  </w:pPr>
                  <w:r>
                    <w:rPr>
                      <w:rFonts w:ascii="Arial" w:eastAsia="Arial" w:hAnsi="Arial" w:cs="Arial"/>
                      <w:color w:val="898989"/>
                      <w:sz w:val="20"/>
                      <w:szCs w:val="20"/>
                    </w:rPr>
                    <w:t>7</w:t>
                  </w:r>
                </w:p>
              </w:txbxContent>
            </v:textbox>
          </v:shape>
        </w:pict>
      </w:r>
      <w:r>
        <w:rPr>
          <w:rFonts w:ascii="Wingdings" w:eastAsia="Wingdings" w:hAnsi="Wingdings" w:cs="Wingdings"/>
          <w:color w:val="C00000"/>
          <w:spacing w:val="-4"/>
          <w:position w:val="18"/>
          <w:sz w:val="29"/>
          <w:szCs w:val="29"/>
        </w:rPr>
        <w:sym w:font="Wingdings" w:char="F070"/>
      </w:r>
      <w:r>
        <w:rPr>
          <w:rFonts w:ascii="Wingdings" w:eastAsia="Wingdings" w:hAnsi="Wingdings" w:cs="Wingdings"/>
          <w:color w:val="C00000"/>
          <w:spacing w:val="-36"/>
          <w:position w:val="18"/>
          <w:sz w:val="29"/>
          <w:szCs w:val="29"/>
        </w:rPr>
        <w:t xml:space="preserve"> </w:t>
      </w:r>
      <w:r>
        <w:rPr>
          <w:rFonts w:ascii="STXihei" w:eastAsia="STXihei" w:hAnsi="STXihei" w:cs="STXihei"/>
          <w:spacing w:val="-4"/>
          <w:position w:val="18"/>
          <w:sz w:val="29"/>
          <w:szCs w:val="29"/>
          <w14:textOutline w14:w="5290">
            <w14:solidFill>
              <w14:srgbClr w14:val="000000"/>
            </w14:solidFill>
            <w14:prstDash w14:val="solid"/>
            <w14:round/>
          </w14:textOutline>
        </w:rPr>
        <w:t>欧洲去库或将进入尾声：</w:t>
      </w:r>
      <w:r>
        <w:rPr>
          <w:rFonts w:ascii="STXihei" w:eastAsia="STXihei" w:hAnsi="STXihei" w:cs="STXihei"/>
          <w:spacing w:val="-4"/>
          <w:position w:val="18"/>
          <w:sz w:val="29"/>
          <w:szCs w:val="29"/>
        </w:rPr>
        <w:t xml:space="preserve">   从出口数金额上来看，</w:t>
      </w:r>
      <w:r>
        <w:rPr>
          <w:rFonts w:ascii="Arial" w:eastAsia="Arial" w:hAnsi="Arial" w:cs="Arial"/>
          <w:spacing w:val="-4"/>
          <w:position w:val="18"/>
          <w:sz w:val="29"/>
          <w:szCs w:val="29"/>
        </w:rPr>
        <w:t>2023</w:t>
      </w:r>
      <w:r>
        <w:rPr>
          <w:rFonts w:ascii="STXihei" w:eastAsia="STXihei" w:hAnsi="STXihei" w:cs="STXihei"/>
          <w:spacing w:val="-4"/>
          <w:position w:val="18"/>
          <w:sz w:val="29"/>
          <w:szCs w:val="29"/>
        </w:rPr>
        <w:t>年</w:t>
      </w:r>
      <w:r>
        <w:rPr>
          <w:rFonts w:ascii="Arial" w:eastAsia="Arial" w:hAnsi="Arial" w:cs="Arial"/>
          <w:spacing w:val="-4"/>
          <w:position w:val="18"/>
          <w:sz w:val="29"/>
          <w:szCs w:val="29"/>
        </w:rPr>
        <w:t>3</w:t>
      </w:r>
      <w:r>
        <w:rPr>
          <w:rFonts w:ascii="STXihei" w:eastAsia="STXihei" w:hAnsi="STXihei" w:cs="STXihei"/>
          <w:spacing w:val="-4"/>
          <w:position w:val="18"/>
          <w:sz w:val="29"/>
          <w:szCs w:val="29"/>
        </w:rPr>
        <w:t>月以来出口金额持续下降，预计依然在去库存。我们预测</w:t>
      </w:r>
      <w:r>
        <w:rPr>
          <w:rFonts w:ascii="Arial" w:eastAsia="Arial" w:hAnsi="Arial" w:cs="Arial"/>
          <w:spacing w:val="-4"/>
          <w:position w:val="18"/>
          <w:sz w:val="29"/>
          <w:szCs w:val="29"/>
        </w:rPr>
        <w:t>2022~2023</w:t>
      </w:r>
    </w:p>
    <w:p>
      <w:pPr>
        <w:spacing w:before="1" w:line="171" w:lineRule="auto"/>
        <w:ind w:left="995"/>
        <w:rPr>
          <w:rFonts w:ascii="STXihei" w:eastAsia="STXihei" w:hAnsi="STXihei" w:cs="STXihei"/>
          <w:sz w:val="29"/>
          <w:szCs w:val="29"/>
        </w:rPr>
      </w:pPr>
      <w:r>
        <w:rPr>
          <w:rFonts w:ascii="STXihei" w:eastAsia="STXihei" w:hAnsi="STXihei" w:cs="STXihei"/>
          <w:spacing w:val="1"/>
          <w:sz w:val="29"/>
          <w:szCs w:val="29"/>
        </w:rPr>
        <w:t>年我国出口欧洲组件</w:t>
      </w:r>
      <w:r>
        <w:rPr>
          <w:rFonts w:ascii="Arial" w:eastAsia="Arial" w:hAnsi="Arial" w:cs="Arial"/>
          <w:spacing w:val="1"/>
          <w:sz w:val="29"/>
          <w:szCs w:val="29"/>
        </w:rPr>
        <w:t>170</w:t>
      </w:r>
      <w:r>
        <w:rPr>
          <w:rFonts w:ascii="Arial" w:eastAsia="Arial" w:hAnsi="Arial" w:cs="Arial"/>
          <w:sz w:val="29"/>
          <w:szCs w:val="29"/>
        </w:rPr>
        <w:t>GW</w:t>
      </w:r>
      <w:r>
        <w:rPr>
          <w:rFonts w:ascii="STXihei" w:eastAsia="STXihei" w:hAnsi="STXihei" w:cs="STXihei"/>
          <w:spacing w:val="1"/>
          <w:sz w:val="29"/>
          <w:szCs w:val="29"/>
        </w:rPr>
        <w:t>，根据</w:t>
      </w:r>
      <w:r>
        <w:rPr>
          <w:rFonts w:ascii="Arial" w:eastAsia="Arial" w:hAnsi="Arial" w:cs="Arial"/>
          <w:sz w:val="29"/>
          <w:szCs w:val="29"/>
        </w:rPr>
        <w:t>solar</w:t>
      </w:r>
      <w:r>
        <w:rPr>
          <w:rFonts w:ascii="Arial" w:eastAsia="Arial" w:hAnsi="Arial" w:cs="Arial"/>
          <w:spacing w:val="1"/>
          <w:sz w:val="29"/>
          <w:szCs w:val="29"/>
        </w:rPr>
        <w:t xml:space="preserve"> </w:t>
      </w:r>
      <w:r>
        <w:rPr>
          <w:rFonts w:ascii="Arial" w:eastAsia="Arial" w:hAnsi="Arial" w:cs="Arial"/>
          <w:sz w:val="29"/>
          <w:szCs w:val="29"/>
        </w:rPr>
        <w:t>power</w:t>
      </w:r>
      <w:r>
        <w:rPr>
          <w:rFonts w:ascii="Arial" w:eastAsia="Arial" w:hAnsi="Arial" w:cs="Arial"/>
          <w:spacing w:val="1"/>
          <w:sz w:val="29"/>
          <w:szCs w:val="29"/>
        </w:rPr>
        <w:t xml:space="preserve"> </w:t>
      </w:r>
      <w:r>
        <w:rPr>
          <w:rFonts w:ascii="Arial" w:eastAsia="Arial" w:hAnsi="Arial" w:cs="Arial"/>
          <w:sz w:val="29"/>
          <w:szCs w:val="29"/>
        </w:rPr>
        <w:t>europe</w:t>
      </w:r>
      <w:r>
        <w:rPr>
          <w:rFonts w:ascii="STXihei" w:eastAsia="STXihei" w:hAnsi="STXihei" w:cs="STXihei"/>
          <w:spacing w:val="1"/>
          <w:sz w:val="29"/>
          <w:szCs w:val="29"/>
        </w:rPr>
        <w:t>，</w:t>
      </w:r>
      <w:r>
        <w:rPr>
          <w:rFonts w:ascii="Arial" w:eastAsia="Arial" w:hAnsi="Arial" w:cs="Arial"/>
          <w:spacing w:val="1"/>
          <w:sz w:val="29"/>
          <w:szCs w:val="29"/>
        </w:rPr>
        <w:t>2022~202</w:t>
      </w:r>
      <w:r>
        <w:rPr>
          <w:rFonts w:ascii="Arial" w:eastAsia="Arial" w:hAnsi="Arial" w:cs="Arial"/>
          <w:sz w:val="29"/>
          <w:szCs w:val="29"/>
        </w:rPr>
        <w:t>3</w:t>
      </w:r>
      <w:r>
        <w:rPr>
          <w:rFonts w:ascii="STXihei" w:eastAsia="STXihei" w:hAnsi="STXihei" w:cs="STXihei"/>
          <w:sz w:val="29"/>
          <w:szCs w:val="29"/>
        </w:rPr>
        <w:t>年欧洲装机数量估计为</w:t>
      </w:r>
      <w:r>
        <w:rPr>
          <w:rFonts w:ascii="Arial" w:eastAsia="Arial" w:hAnsi="Arial" w:cs="Arial"/>
          <w:sz w:val="29"/>
          <w:szCs w:val="29"/>
        </w:rPr>
        <w:t>98GW</w:t>
      </w:r>
      <w:r>
        <w:rPr>
          <w:rFonts w:ascii="STXihei" w:eastAsia="STXihei" w:hAnsi="STXihei" w:cs="STXihei"/>
          <w:sz w:val="29"/>
          <w:szCs w:val="29"/>
        </w:rPr>
        <w:t>，库存去化或将进入尾声。</w:t>
      </w:r>
    </w:p>
    <w:p>
      <w:pPr>
        <w:spacing w:line="171" w:lineRule="auto"/>
        <w:rPr>
          <w:rFonts w:ascii="STXihei" w:eastAsia="STXihei" w:hAnsi="STXihei" w:cs="STXihei"/>
          <w:sz w:val="29"/>
          <w:szCs w:val="29"/>
        </w:rPr>
        <w:sectPr>
          <w:headerReference w:type="default" r:id="rId44"/>
          <w:footerReference w:type="default" r:id="rId45"/>
          <w:type w:val="nextPage"/>
          <w:pgSz w:w="19200" w:h="10800"/>
          <w:pgMar w:top="400" w:right="723" w:bottom="282" w:left="992" w:header="0" w:footer="0" w:gutter="0"/>
          <w:pgNumType w:start="17"/>
          <w:cols w:space="708"/>
          <w:titlePg w:val="0"/>
        </w:sectPr>
      </w:pPr>
    </w:p>
    <w:p>
      <w:pPr>
        <w:pStyle w:val="BodyText"/>
        <w:spacing w:before="269" w:line="200" w:lineRule="auto"/>
        <w:ind w:left="15303"/>
        <w:rPr>
          <w:sz w:val="21"/>
          <w:szCs w:val="21"/>
        </w:rPr>
      </w:pPr>
      <w:r>
        <w:pict>
          <v:shape id="_x0000_s1070" style="width:860.05pt;height:0.9pt;margin-top:55.97pt;margin-left:49.98pt;mso-position-horizontal-relative:page;mso-position-vertical-relative:page;position:absolute;z-index:251693056" coordorigin="0,0" coordsize="17200,17" o:allowincell="f" path="m,8l17200,8e" filled="f" strokecolor="#c41425" strokeweight="0.86pt"/>
        </w:pict>
      </w:r>
      <w:r>
        <w:drawing>
          <wp:anchor distT="0" distB="0" distL="0" distR="0" simplePos="0" relativeHeight="251692032"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8"/>
                    <a:stretch>
                      <a:fillRect/>
                    </a:stretch>
                  </pic:blipFill>
                  <pic:spPr>
                    <a:xfrm>
                      <a:off x="0" y="0"/>
                      <a:ext cx="1367027" cy="524255"/>
                    </a:xfrm>
                    <a:prstGeom prst="rect">
                      <a:avLst/>
                    </a:prstGeom>
                  </pic:spPr>
                </pic:pic>
              </a:graphicData>
            </a:graphic>
          </wp:anchor>
        </w:drawing>
      </w:r>
      <w:r>
        <w:pict>
          <v:shape id="_x0000_s1071" style="width:382.7pt;height:195.1pt;margin-top:122.33pt;margin-left:490.98pt;mso-position-horizontal-relative:page;mso-position-vertical-relative:page;position:absolute;z-index:251691008" coordorigin="0,0" coordsize="7654,3902" o:allowincell="f" path="m,3896l7607,3896m,5l7653,5e" filled="f" strokecolor="black" strokeweight="0.5pt">
            <v:stroke joinstyle="miter"/>
          </v:shape>
        </w:pict>
      </w:r>
      <w:r>
        <w:drawing>
          <wp:anchor distT="0" distB="0" distL="0" distR="0" simplePos="0" relativeHeight="251689984" behindDoc="0" locked="0" layoutInCell="0" allowOverlap="1">
            <wp:simplePos x="0" y="0"/>
            <wp:positionH relativeFrom="page">
              <wp:posOffset>6539484</wp:posOffset>
            </wp:positionH>
            <wp:positionV relativeFrom="page">
              <wp:posOffset>1574292</wp:posOffset>
            </wp:positionV>
            <wp:extent cx="4367783" cy="2458211"/>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6"/>
                    <a:stretch>
                      <a:fillRect/>
                    </a:stretch>
                  </pic:blipFill>
                  <pic:spPr>
                    <a:xfrm>
                      <a:off x="0" y="0"/>
                      <a:ext cx="4367783" cy="2458211"/>
                    </a:xfrm>
                    <a:prstGeom prst="rect">
                      <a:avLst/>
                    </a:prstGeom>
                  </pic:spPr>
                </pic:pic>
              </a:graphicData>
            </a:graphic>
          </wp:anchor>
        </w:drawing>
      </w: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p>
      <w:pPr>
        <w:spacing w:line="269" w:lineRule="auto"/>
        <w:rPr>
          <w:rFonts w:ascii="Arial"/>
          <w:sz w:val="21"/>
        </w:rPr>
      </w:pPr>
    </w:p>
    <w:p>
      <w:pPr>
        <w:spacing w:before="126" w:line="215" w:lineRule="auto"/>
        <w:ind w:left="36"/>
        <w:outlineLvl w:val="1"/>
        <w:rPr>
          <w:rFonts w:ascii="SimHei" w:eastAsia="SimHei" w:hAnsi="SimHei" w:cs="SimHei"/>
          <w:sz w:val="39"/>
          <w:szCs w:val="39"/>
        </w:rPr>
      </w:pPr>
      <w:r>
        <w:rPr>
          <w:rFonts w:ascii="SimHei" w:eastAsia="SimHei" w:hAnsi="SimHei" w:cs="SimHei"/>
          <w:spacing w:val="9"/>
          <w:sz w:val="39"/>
          <w:szCs w:val="39"/>
          <w14:textOutline w14:w="7249">
            <w14:solidFill>
              <w14:srgbClr w14:val="000000"/>
            </w14:solidFill>
            <w14:prstDash w14:val="solid"/>
            <w14:round/>
          </w14:textOutline>
        </w:rPr>
        <w:t>下游电价下行，光伏需求降速</w:t>
      </w:r>
    </w:p>
    <w:p>
      <w:pPr>
        <w:spacing w:before="302" w:line="209" w:lineRule="auto"/>
        <w:ind w:left="557"/>
        <w:rPr>
          <w:rFonts w:ascii="STXihei" w:eastAsia="STXihei" w:hAnsi="STXihei" w:cs="STXihei"/>
          <w:sz w:val="24"/>
          <w:szCs w:val="24"/>
        </w:rPr>
      </w:pPr>
      <w:r>
        <w:rPr>
          <w:rFonts w:ascii="STXihei" w:eastAsia="STXihei" w:hAnsi="STXihei" w:cs="STXihei"/>
          <w:spacing w:val="1"/>
          <w:sz w:val="24"/>
          <w:szCs w:val="24"/>
        </w:rPr>
        <w:t>图表</w:t>
      </w:r>
      <w:r>
        <w:rPr>
          <w:rFonts w:ascii="Arial" w:eastAsia="Arial" w:hAnsi="Arial" w:cs="Arial"/>
          <w:spacing w:val="1"/>
          <w:sz w:val="24"/>
          <w:szCs w:val="24"/>
        </w:rPr>
        <w:t>4</w:t>
      </w:r>
      <w:r>
        <w:rPr>
          <w:rFonts w:ascii="STXihei" w:eastAsia="STXihei" w:hAnsi="STXihei" w:cs="STXihei"/>
          <w:spacing w:val="1"/>
          <w:sz w:val="24"/>
          <w:szCs w:val="24"/>
        </w:rPr>
        <w:t>：</w:t>
      </w:r>
      <w:r>
        <w:rPr>
          <w:rFonts w:ascii="STXihei" w:eastAsia="STXihei" w:hAnsi="STXihei" w:cs="STXihei"/>
          <w:spacing w:val="-28"/>
          <w:sz w:val="24"/>
          <w:szCs w:val="24"/>
        </w:rPr>
        <w:t xml:space="preserve"> </w:t>
      </w:r>
      <w:r>
        <w:rPr>
          <w:rFonts w:ascii="STXihei" w:eastAsia="STXihei" w:hAnsi="STXihei" w:cs="STXihei"/>
          <w:spacing w:val="1"/>
          <w:sz w:val="24"/>
          <w:szCs w:val="24"/>
        </w:rPr>
        <w:t>国内光伏、风电参与现货电价均低于基准价（元</w:t>
      </w:r>
      <w:r>
        <w:rPr>
          <w:rFonts w:ascii="Arial" w:eastAsia="Arial" w:hAnsi="Arial" w:cs="Arial"/>
          <w:spacing w:val="1"/>
          <w:sz w:val="24"/>
          <w:szCs w:val="24"/>
        </w:rPr>
        <w:t>/</w:t>
      </w:r>
      <w:r>
        <w:rPr>
          <w:rFonts w:ascii="Arial" w:eastAsia="Arial" w:hAnsi="Arial" w:cs="Arial"/>
          <w:sz w:val="24"/>
          <w:szCs w:val="24"/>
        </w:rPr>
        <w:t>MWh</w:t>
      </w:r>
      <w:r>
        <w:rPr>
          <w:rFonts w:ascii="STXihei" w:eastAsia="STXihei" w:hAnsi="STXihei" w:cs="STXihei"/>
          <w:spacing w:val="1"/>
          <w:sz w:val="24"/>
          <w:szCs w:val="24"/>
        </w:rPr>
        <w:t xml:space="preserve">）               </w:t>
      </w:r>
      <w:r>
        <w:rPr>
          <w:rFonts w:ascii="STXihei" w:eastAsia="STXihei" w:hAnsi="STXihei" w:cs="STXihei"/>
          <w:sz w:val="24"/>
          <w:szCs w:val="24"/>
        </w:rPr>
        <w:t xml:space="preserve">            图表</w:t>
      </w:r>
      <w:r>
        <w:rPr>
          <w:rFonts w:ascii="Arial" w:eastAsia="Arial" w:hAnsi="Arial" w:cs="Arial"/>
          <w:sz w:val="24"/>
          <w:szCs w:val="24"/>
        </w:rPr>
        <w:t>5</w:t>
      </w:r>
      <w:r>
        <w:rPr>
          <w:rFonts w:ascii="STXihei" w:eastAsia="STXihei" w:hAnsi="STXihei" w:cs="STXihei"/>
          <w:sz w:val="24"/>
          <w:szCs w:val="24"/>
        </w:rPr>
        <w:t>：甘肃分时电价（元</w:t>
      </w:r>
      <w:r>
        <w:rPr>
          <w:rFonts w:ascii="Arial" w:eastAsia="Arial" w:hAnsi="Arial" w:cs="Arial"/>
          <w:sz w:val="24"/>
          <w:szCs w:val="24"/>
        </w:rPr>
        <w:t>/MWh</w:t>
      </w:r>
      <w:r>
        <w:rPr>
          <w:rFonts w:ascii="STXihei" w:eastAsia="STXihei" w:hAnsi="STXihei" w:cs="STXihei"/>
          <w:sz w:val="24"/>
          <w:szCs w:val="24"/>
        </w:rPr>
        <w:t>）</w:t>
      </w:r>
    </w:p>
    <w:p>
      <w:pPr>
        <w:spacing w:line="29" w:lineRule="exact"/>
      </w:pPr>
    </w:p>
    <w:tbl>
      <w:tblPr>
        <w:tblStyle w:val="TableNormal2"/>
        <w:tblW w:w="7736" w:type="dxa"/>
        <w:tblInd w:w="372" w:type="dxa"/>
        <w:tblBorders>
          <w:top w:val="nil"/>
          <w:left w:val="nil"/>
          <w:bottom w:val="nil"/>
          <w:right w:val="nil"/>
          <w:insideH w:val="nil"/>
          <w:insideV w:val="nil"/>
        </w:tblBorders>
        <w:tblLayout w:type="fixed"/>
      </w:tblPr>
      <w:tblGrid>
        <w:gridCol w:w="2107"/>
        <w:gridCol w:w="1324"/>
        <w:gridCol w:w="1484"/>
        <w:gridCol w:w="1324"/>
        <w:gridCol w:w="1497"/>
      </w:tblGrid>
      <w:tr>
        <w:tblPrEx>
          <w:tblW w:w="7736" w:type="dxa"/>
          <w:tblInd w:w="372" w:type="dxa"/>
          <w:tblBorders>
            <w:top w:val="nil"/>
            <w:left w:val="nil"/>
            <w:bottom w:val="nil"/>
            <w:right w:val="nil"/>
            <w:insideH w:val="nil"/>
            <w:insideV w:val="nil"/>
          </w:tblBorders>
          <w:tblLayout w:type="fixed"/>
        </w:tblPrEx>
        <w:trPr>
          <w:trHeight w:val="510"/>
        </w:trPr>
        <w:tc>
          <w:tcPr>
            <w:tcW w:w="2107" w:type="dxa"/>
            <w:tcBorders>
              <w:top w:val="single" w:sz="4" w:space="0" w:color="000000"/>
              <w:bottom w:val="single" w:sz="4" w:space="0" w:color="000000"/>
            </w:tcBorders>
            <w:shd w:val="clear" w:color="auto" w:fill="D9D9D9"/>
            <w:vAlign w:val="top"/>
          </w:tcPr>
          <w:p>
            <w:pPr>
              <w:pStyle w:val="TableText"/>
            </w:pPr>
          </w:p>
        </w:tc>
        <w:tc>
          <w:tcPr>
            <w:tcW w:w="2808" w:type="dxa"/>
            <w:gridSpan w:val="2"/>
            <w:tcBorders>
              <w:top w:val="single" w:sz="4" w:space="0" w:color="000000"/>
              <w:bottom w:val="single" w:sz="4" w:space="0" w:color="000000"/>
            </w:tcBorders>
            <w:shd w:val="clear" w:color="auto" w:fill="D9D9D9"/>
            <w:vAlign w:val="top"/>
          </w:tcPr>
          <w:p>
            <w:pPr>
              <w:spacing w:before="150" w:line="206" w:lineRule="auto"/>
              <w:ind w:left="1055"/>
              <w:rPr>
                <w:rFonts w:ascii="STXihei" w:eastAsia="STXihei" w:hAnsi="STXihei" w:cs="STXihei"/>
                <w:sz w:val="22"/>
                <w:szCs w:val="22"/>
              </w:rPr>
            </w:pPr>
            <w:r>
              <w:rPr>
                <w:rFonts w:ascii="STXihei" w:eastAsia="STXihei" w:hAnsi="STXihei" w:cs="STXihei"/>
                <w:spacing w:val="-1"/>
                <w:sz w:val="22"/>
                <w:szCs w:val="22"/>
                <w14:textOutline w14:w="3991">
                  <w14:solidFill>
                    <w14:srgbClr w14:val="000000"/>
                  </w14:solidFill>
                  <w14:prstDash w14:val="solid"/>
                  <w14:round/>
                </w14:textOutline>
              </w:rPr>
              <w:t>2022年</w:t>
            </w:r>
          </w:p>
        </w:tc>
        <w:tc>
          <w:tcPr>
            <w:tcW w:w="2821" w:type="dxa"/>
            <w:gridSpan w:val="2"/>
            <w:tcBorders>
              <w:top w:val="single" w:sz="4" w:space="0" w:color="000000"/>
              <w:bottom w:val="single" w:sz="4" w:space="0" w:color="000000"/>
            </w:tcBorders>
            <w:shd w:val="clear" w:color="auto" w:fill="D9D9D9"/>
            <w:vAlign w:val="top"/>
          </w:tcPr>
          <w:p>
            <w:pPr>
              <w:spacing w:before="150" w:line="206" w:lineRule="auto"/>
              <w:ind w:left="1056"/>
              <w:rPr>
                <w:rFonts w:ascii="STXihei" w:eastAsia="STXihei" w:hAnsi="STXihei" w:cs="STXihei"/>
                <w:sz w:val="22"/>
                <w:szCs w:val="22"/>
              </w:rPr>
            </w:pPr>
            <w:r>
              <w:rPr>
                <w:rFonts w:ascii="STXihei" w:eastAsia="STXihei" w:hAnsi="STXihei" w:cs="STXihei"/>
                <w:spacing w:val="-1"/>
                <w:sz w:val="22"/>
                <w:szCs w:val="22"/>
                <w14:textOutline w14:w="3991">
                  <w14:solidFill>
                    <w14:srgbClr w14:val="000000"/>
                  </w14:solidFill>
                  <w14:prstDash w14:val="solid"/>
                  <w14:round/>
                </w14:textOutline>
              </w:rPr>
              <w:t>2023年</w:t>
            </w:r>
          </w:p>
        </w:tc>
      </w:tr>
      <w:tr>
        <w:tblPrEx>
          <w:tblW w:w="7736" w:type="dxa"/>
          <w:tblInd w:w="372" w:type="dxa"/>
          <w:tblLayout w:type="fixed"/>
        </w:tblPrEx>
        <w:trPr>
          <w:trHeight w:val="791"/>
        </w:trPr>
        <w:tc>
          <w:tcPr>
            <w:tcW w:w="2107" w:type="dxa"/>
            <w:tcBorders>
              <w:top w:val="single" w:sz="4" w:space="0" w:color="000000"/>
              <w:bottom w:val="single" w:sz="4" w:space="0" w:color="000000"/>
            </w:tcBorders>
            <w:vAlign w:val="top"/>
          </w:tcPr>
          <w:p>
            <w:pPr>
              <w:pStyle w:val="TableText"/>
            </w:pPr>
          </w:p>
        </w:tc>
        <w:tc>
          <w:tcPr>
            <w:tcW w:w="1324" w:type="dxa"/>
            <w:tcBorders>
              <w:top w:val="single" w:sz="4" w:space="0" w:color="000000"/>
              <w:bottom w:val="single" w:sz="4" w:space="0" w:color="000000"/>
            </w:tcBorders>
            <w:vAlign w:val="top"/>
          </w:tcPr>
          <w:p>
            <w:pPr>
              <w:spacing w:before="290" w:line="216" w:lineRule="auto"/>
              <w:ind w:left="489"/>
              <w:rPr>
                <w:rFonts w:ascii="STXihei" w:eastAsia="STXihei" w:hAnsi="STXihei" w:cs="STXihei"/>
                <w:sz w:val="21"/>
                <w:szCs w:val="21"/>
              </w:rPr>
            </w:pPr>
            <w:r>
              <w:rPr>
                <w:rFonts w:ascii="STXihei" w:eastAsia="STXihei" w:hAnsi="STXihei" w:cs="STXihei"/>
                <w:spacing w:val="5"/>
                <w:sz w:val="21"/>
                <w:szCs w:val="21"/>
              </w:rPr>
              <w:t>全网</w:t>
            </w:r>
          </w:p>
        </w:tc>
        <w:tc>
          <w:tcPr>
            <w:tcW w:w="1484" w:type="dxa"/>
            <w:tcBorders>
              <w:top w:val="single" w:sz="4" w:space="0" w:color="000000"/>
              <w:bottom w:val="single" w:sz="4" w:space="0" w:color="000000"/>
            </w:tcBorders>
            <w:vAlign w:val="top"/>
          </w:tcPr>
          <w:p>
            <w:pPr>
              <w:spacing w:before="290" w:line="215" w:lineRule="auto"/>
              <w:ind w:left="353"/>
              <w:rPr>
                <w:rFonts w:ascii="STXihei" w:eastAsia="STXihei" w:hAnsi="STXihei" w:cs="STXihei"/>
                <w:sz w:val="21"/>
                <w:szCs w:val="21"/>
              </w:rPr>
            </w:pPr>
            <w:r>
              <w:rPr>
                <w:rFonts w:ascii="STXihei" w:eastAsia="STXihei" w:hAnsi="STXihei" w:cs="STXihei"/>
                <w:spacing w:val="6"/>
                <w:sz w:val="21"/>
                <w:szCs w:val="21"/>
              </w:rPr>
              <w:t>较基准价</w:t>
            </w:r>
          </w:p>
        </w:tc>
        <w:tc>
          <w:tcPr>
            <w:tcW w:w="1324" w:type="dxa"/>
            <w:tcBorders>
              <w:top w:val="single" w:sz="4" w:space="0" w:color="000000"/>
              <w:bottom w:val="single" w:sz="4" w:space="0" w:color="000000"/>
            </w:tcBorders>
            <w:vAlign w:val="top"/>
          </w:tcPr>
          <w:p>
            <w:pPr>
              <w:spacing w:before="290" w:line="216" w:lineRule="auto"/>
              <w:ind w:left="490"/>
              <w:rPr>
                <w:rFonts w:ascii="STXihei" w:eastAsia="STXihei" w:hAnsi="STXihei" w:cs="STXihei"/>
                <w:sz w:val="21"/>
                <w:szCs w:val="21"/>
              </w:rPr>
            </w:pPr>
            <w:r>
              <w:rPr>
                <w:rFonts w:ascii="STXihei" w:eastAsia="STXihei" w:hAnsi="STXihei" w:cs="STXihei"/>
                <w:spacing w:val="5"/>
                <w:sz w:val="21"/>
                <w:szCs w:val="21"/>
              </w:rPr>
              <w:t>全网</w:t>
            </w:r>
          </w:p>
        </w:tc>
        <w:tc>
          <w:tcPr>
            <w:tcW w:w="1497" w:type="dxa"/>
            <w:tcBorders>
              <w:top w:val="single" w:sz="4" w:space="0" w:color="000000"/>
              <w:bottom w:val="single" w:sz="4" w:space="0" w:color="000000"/>
            </w:tcBorders>
            <w:vAlign w:val="top"/>
          </w:tcPr>
          <w:p>
            <w:pPr>
              <w:spacing w:before="290" w:line="215" w:lineRule="auto"/>
              <w:ind w:left="354"/>
              <w:rPr>
                <w:rFonts w:ascii="STXihei" w:eastAsia="STXihei" w:hAnsi="STXihei" w:cs="STXihei"/>
                <w:sz w:val="21"/>
                <w:szCs w:val="21"/>
              </w:rPr>
            </w:pPr>
            <w:r>
              <w:rPr>
                <w:rFonts w:ascii="STXihei" w:eastAsia="STXihei" w:hAnsi="STXihei" w:cs="STXihei"/>
                <w:spacing w:val="6"/>
                <w:sz w:val="21"/>
                <w:szCs w:val="21"/>
              </w:rPr>
              <w:t>较基准价</w:t>
            </w:r>
          </w:p>
        </w:tc>
      </w:tr>
      <w:tr>
        <w:tblPrEx>
          <w:tblW w:w="7736" w:type="dxa"/>
          <w:tblInd w:w="372" w:type="dxa"/>
          <w:tblLayout w:type="fixed"/>
        </w:tblPrEx>
        <w:trPr>
          <w:trHeight w:val="505"/>
        </w:trPr>
        <w:tc>
          <w:tcPr>
            <w:tcW w:w="2107" w:type="dxa"/>
            <w:tcBorders>
              <w:top w:val="single" w:sz="4" w:space="0" w:color="000000"/>
              <w:bottom w:val="single" w:sz="4" w:space="0" w:color="000000"/>
            </w:tcBorders>
            <w:vAlign w:val="top"/>
          </w:tcPr>
          <w:p>
            <w:pPr>
              <w:spacing w:before="148" w:line="216" w:lineRule="auto"/>
              <w:ind w:left="8"/>
              <w:rPr>
                <w:rFonts w:ascii="STXihei" w:eastAsia="STXihei" w:hAnsi="STXihei" w:cs="STXihei"/>
                <w:sz w:val="21"/>
                <w:szCs w:val="21"/>
              </w:rPr>
            </w:pPr>
            <w:r>
              <w:rPr>
                <w:rFonts w:ascii="STXihei" w:eastAsia="STXihei" w:hAnsi="STXihei" w:cs="STXihei"/>
                <w:spacing w:val="7"/>
                <w:sz w:val="21"/>
                <w:szCs w:val="21"/>
              </w:rPr>
              <w:t>统调火电</w:t>
            </w:r>
          </w:p>
        </w:tc>
        <w:tc>
          <w:tcPr>
            <w:tcW w:w="1324" w:type="dxa"/>
            <w:tcBorders>
              <w:top w:val="single" w:sz="4" w:space="0" w:color="000000"/>
              <w:bottom w:val="single" w:sz="4" w:space="0" w:color="000000"/>
            </w:tcBorders>
            <w:vAlign w:val="top"/>
          </w:tcPr>
          <w:p>
            <w:pPr>
              <w:spacing w:before="163" w:line="195" w:lineRule="auto"/>
              <w:ind w:left="438"/>
              <w:rPr>
                <w:rFonts w:ascii="STXihei" w:eastAsia="STXihei" w:hAnsi="STXihei" w:cs="STXihei"/>
                <w:sz w:val="21"/>
                <w:szCs w:val="21"/>
              </w:rPr>
            </w:pPr>
            <w:r>
              <w:rPr>
                <w:rFonts w:ascii="STXihei" w:eastAsia="STXihei" w:hAnsi="STXihei" w:cs="STXihei"/>
                <w:spacing w:val="2"/>
                <w:sz w:val="21"/>
                <w:szCs w:val="21"/>
              </w:rPr>
              <w:t>505.8</w:t>
            </w:r>
          </w:p>
        </w:tc>
        <w:tc>
          <w:tcPr>
            <w:tcW w:w="1484" w:type="dxa"/>
            <w:tcBorders>
              <w:top w:val="single" w:sz="4" w:space="0" w:color="000000"/>
              <w:bottom w:val="single" w:sz="4" w:space="0" w:color="000000"/>
            </w:tcBorders>
            <w:vAlign w:val="top"/>
          </w:tcPr>
          <w:p>
            <w:pPr>
              <w:spacing w:before="163" w:line="195" w:lineRule="auto"/>
              <w:ind w:left="454"/>
              <w:rPr>
                <w:rFonts w:ascii="STXihei" w:eastAsia="STXihei" w:hAnsi="STXihei" w:cs="STXihei"/>
                <w:sz w:val="21"/>
                <w:szCs w:val="21"/>
              </w:rPr>
            </w:pPr>
            <w:r>
              <w:rPr>
                <w:rFonts w:ascii="STXihei" w:eastAsia="STXihei" w:hAnsi="STXihei" w:cs="STXihei"/>
                <w:spacing w:val="2"/>
                <w:sz w:val="21"/>
                <w:szCs w:val="21"/>
              </w:rPr>
              <w:t>+110.9</w:t>
            </w:r>
          </w:p>
        </w:tc>
        <w:tc>
          <w:tcPr>
            <w:tcW w:w="1324" w:type="dxa"/>
            <w:tcBorders>
              <w:top w:val="single" w:sz="4" w:space="0" w:color="000000"/>
              <w:bottom w:val="single" w:sz="4" w:space="0" w:color="000000"/>
            </w:tcBorders>
            <w:vAlign w:val="top"/>
          </w:tcPr>
          <w:p>
            <w:pPr>
              <w:spacing w:before="163" w:line="195" w:lineRule="auto"/>
              <w:ind w:left="439"/>
              <w:rPr>
                <w:rFonts w:ascii="STXihei" w:eastAsia="STXihei" w:hAnsi="STXihei" w:cs="STXihei"/>
                <w:sz w:val="21"/>
                <w:szCs w:val="21"/>
              </w:rPr>
            </w:pPr>
            <w:r>
              <w:rPr>
                <w:rFonts w:ascii="STXihei" w:eastAsia="STXihei" w:hAnsi="STXihei" w:cs="STXihei"/>
                <w:spacing w:val="2"/>
                <w:sz w:val="21"/>
                <w:szCs w:val="21"/>
              </w:rPr>
              <w:t>513.7</w:t>
            </w:r>
          </w:p>
        </w:tc>
        <w:tc>
          <w:tcPr>
            <w:tcW w:w="1497" w:type="dxa"/>
            <w:tcBorders>
              <w:top w:val="single" w:sz="4" w:space="0" w:color="000000"/>
              <w:bottom w:val="single" w:sz="4" w:space="0" w:color="000000"/>
            </w:tcBorders>
            <w:vAlign w:val="top"/>
          </w:tcPr>
          <w:p>
            <w:pPr>
              <w:spacing w:before="163" w:line="195" w:lineRule="auto"/>
              <w:ind w:left="455"/>
              <w:rPr>
                <w:rFonts w:ascii="STXihei" w:eastAsia="STXihei" w:hAnsi="STXihei" w:cs="STXihei"/>
                <w:sz w:val="21"/>
                <w:szCs w:val="21"/>
              </w:rPr>
            </w:pPr>
            <w:r>
              <w:rPr>
                <w:rFonts w:ascii="STXihei" w:eastAsia="STXihei" w:hAnsi="STXihei" w:cs="STXihei"/>
                <w:spacing w:val="2"/>
                <w:sz w:val="21"/>
                <w:szCs w:val="21"/>
              </w:rPr>
              <w:t>+118.8</w:t>
            </w:r>
          </w:p>
        </w:tc>
      </w:tr>
      <w:tr>
        <w:tblPrEx>
          <w:tblW w:w="7736" w:type="dxa"/>
          <w:tblInd w:w="372" w:type="dxa"/>
          <w:tblLayout w:type="fixed"/>
        </w:tblPrEx>
        <w:trPr>
          <w:trHeight w:val="506"/>
        </w:trPr>
        <w:tc>
          <w:tcPr>
            <w:tcW w:w="2107" w:type="dxa"/>
            <w:tcBorders>
              <w:top w:val="single" w:sz="4" w:space="0" w:color="000000"/>
              <w:bottom w:val="single" w:sz="4" w:space="0" w:color="000000"/>
            </w:tcBorders>
            <w:vAlign w:val="top"/>
          </w:tcPr>
          <w:p>
            <w:pPr>
              <w:spacing w:before="151" w:line="217" w:lineRule="auto"/>
              <w:ind w:left="8"/>
              <w:rPr>
                <w:rFonts w:ascii="STXihei" w:eastAsia="STXihei" w:hAnsi="STXihei" w:cs="STXihei"/>
                <w:sz w:val="21"/>
                <w:szCs w:val="21"/>
              </w:rPr>
            </w:pPr>
            <w:r>
              <w:rPr>
                <w:rFonts w:ascii="STXihei" w:eastAsia="STXihei" w:hAnsi="STXihei" w:cs="STXihei"/>
                <w:color w:val="C00000"/>
                <w:spacing w:val="6"/>
                <w:sz w:val="21"/>
                <w:szCs w:val="21"/>
                <w14:textOutline w14:w="3984">
                  <w14:solidFill>
                    <w14:srgbClr w14:val="C00000"/>
                  </w14:solidFill>
                  <w14:prstDash w14:val="solid"/>
                  <w14:round/>
                </w14:textOutline>
              </w:rPr>
              <w:t>风电</w:t>
            </w:r>
          </w:p>
        </w:tc>
        <w:tc>
          <w:tcPr>
            <w:tcW w:w="1324" w:type="dxa"/>
            <w:tcBorders>
              <w:top w:val="single" w:sz="4" w:space="0" w:color="000000"/>
              <w:bottom w:val="single" w:sz="4" w:space="0" w:color="000000"/>
            </w:tcBorders>
            <w:vAlign w:val="top"/>
          </w:tcPr>
          <w:p>
            <w:pPr>
              <w:spacing w:before="165" w:line="195" w:lineRule="auto"/>
              <w:ind w:left="433"/>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359.3</w:t>
            </w:r>
          </w:p>
        </w:tc>
        <w:tc>
          <w:tcPr>
            <w:tcW w:w="1484" w:type="dxa"/>
            <w:tcBorders>
              <w:top w:val="single" w:sz="4" w:space="0" w:color="000000"/>
              <w:bottom w:val="single" w:sz="4" w:space="0" w:color="000000"/>
            </w:tcBorders>
            <w:vAlign w:val="top"/>
          </w:tcPr>
          <w:p>
            <w:pPr>
              <w:spacing w:before="165" w:line="195" w:lineRule="auto"/>
              <w:ind w:left="537"/>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-35.6</w:t>
            </w:r>
          </w:p>
        </w:tc>
        <w:tc>
          <w:tcPr>
            <w:tcW w:w="1324" w:type="dxa"/>
            <w:tcBorders>
              <w:top w:val="single" w:sz="4" w:space="0" w:color="000000"/>
              <w:bottom w:val="single" w:sz="4" w:space="0" w:color="000000"/>
            </w:tcBorders>
            <w:vAlign w:val="top"/>
          </w:tcPr>
          <w:p>
            <w:pPr>
              <w:spacing w:before="165" w:line="195" w:lineRule="auto"/>
              <w:ind w:left="434"/>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349.0</w:t>
            </w:r>
          </w:p>
        </w:tc>
        <w:tc>
          <w:tcPr>
            <w:tcW w:w="1497" w:type="dxa"/>
            <w:tcBorders>
              <w:top w:val="single" w:sz="4" w:space="0" w:color="000000"/>
              <w:bottom w:val="single" w:sz="4" w:space="0" w:color="000000"/>
            </w:tcBorders>
            <w:vAlign w:val="top"/>
          </w:tcPr>
          <w:p>
            <w:pPr>
              <w:spacing w:before="165" w:line="195" w:lineRule="auto"/>
              <w:ind w:left="537"/>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-45.9</w:t>
            </w:r>
          </w:p>
        </w:tc>
      </w:tr>
      <w:tr>
        <w:tblPrEx>
          <w:tblW w:w="7736" w:type="dxa"/>
          <w:tblInd w:w="372" w:type="dxa"/>
          <w:tblLayout w:type="fixed"/>
        </w:tblPrEx>
        <w:trPr>
          <w:trHeight w:val="506"/>
        </w:trPr>
        <w:tc>
          <w:tcPr>
            <w:tcW w:w="2107" w:type="dxa"/>
            <w:tcBorders>
              <w:top w:val="single" w:sz="4" w:space="0" w:color="000000"/>
              <w:bottom w:val="single" w:sz="4" w:space="0" w:color="000000"/>
            </w:tcBorders>
            <w:vAlign w:val="top"/>
          </w:tcPr>
          <w:p>
            <w:pPr>
              <w:spacing w:before="151" w:line="217" w:lineRule="auto"/>
              <w:ind w:left="16"/>
              <w:rPr>
                <w:rFonts w:ascii="STXihei" w:eastAsia="STXihei" w:hAnsi="STXihei" w:cs="STXihei"/>
                <w:sz w:val="21"/>
                <w:szCs w:val="21"/>
              </w:rPr>
            </w:pPr>
            <w:r>
              <w:rPr>
                <w:rFonts w:ascii="STXihei" w:eastAsia="STXihei" w:hAnsi="STXihei" w:cs="STXihei"/>
                <w:color w:val="C00000"/>
                <w:spacing w:val="1"/>
                <w:sz w:val="21"/>
                <w:szCs w:val="21"/>
                <w14:textOutline w14:w="3984">
                  <w14:solidFill>
                    <w14:srgbClr w14:val="C00000"/>
                  </w14:solidFill>
                  <w14:prstDash w14:val="solid"/>
                  <w14:round/>
                </w14:textOutline>
              </w:rPr>
              <w:t>光伏</w:t>
            </w:r>
          </w:p>
        </w:tc>
        <w:tc>
          <w:tcPr>
            <w:tcW w:w="1324" w:type="dxa"/>
            <w:tcBorders>
              <w:top w:val="single" w:sz="4" w:space="0" w:color="000000"/>
              <w:bottom w:val="single" w:sz="4" w:space="0" w:color="000000"/>
            </w:tcBorders>
            <w:vAlign w:val="top"/>
          </w:tcPr>
          <w:p>
            <w:pPr>
              <w:spacing w:before="166" w:line="195" w:lineRule="auto"/>
              <w:ind w:left="433"/>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355.7</w:t>
            </w:r>
          </w:p>
        </w:tc>
        <w:tc>
          <w:tcPr>
            <w:tcW w:w="1484" w:type="dxa"/>
            <w:tcBorders>
              <w:top w:val="single" w:sz="4" w:space="0" w:color="000000"/>
              <w:bottom w:val="single" w:sz="4" w:space="0" w:color="000000"/>
            </w:tcBorders>
            <w:vAlign w:val="top"/>
          </w:tcPr>
          <w:p>
            <w:pPr>
              <w:spacing w:before="166" w:line="195" w:lineRule="auto"/>
              <w:ind w:left="537"/>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-39.2</w:t>
            </w:r>
          </w:p>
        </w:tc>
        <w:tc>
          <w:tcPr>
            <w:tcW w:w="1324" w:type="dxa"/>
            <w:tcBorders>
              <w:top w:val="single" w:sz="4" w:space="0" w:color="000000"/>
              <w:bottom w:val="single" w:sz="4" w:space="0" w:color="000000"/>
            </w:tcBorders>
            <w:vAlign w:val="top"/>
          </w:tcPr>
          <w:p>
            <w:pPr>
              <w:spacing w:before="166" w:line="195" w:lineRule="auto"/>
              <w:ind w:left="434"/>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343.4</w:t>
            </w:r>
          </w:p>
        </w:tc>
        <w:tc>
          <w:tcPr>
            <w:tcW w:w="1497" w:type="dxa"/>
            <w:tcBorders>
              <w:top w:val="single" w:sz="4" w:space="0" w:color="000000"/>
              <w:bottom w:val="single" w:sz="4" w:space="0" w:color="000000"/>
            </w:tcBorders>
            <w:vAlign w:val="top"/>
          </w:tcPr>
          <w:p>
            <w:pPr>
              <w:spacing w:before="169" w:line="192" w:lineRule="auto"/>
              <w:ind w:left="537"/>
              <w:rPr>
                <w:rFonts w:ascii="STXihei" w:eastAsia="STXihei" w:hAnsi="STXihei" w:cs="STXihei"/>
                <w:sz w:val="21"/>
                <w:szCs w:val="21"/>
              </w:rPr>
            </w:pPr>
            <w:r>
              <w:rPr>
                <w:rFonts w:ascii="STXihei" w:eastAsia="STXihei" w:hAnsi="STXihei" w:cs="STXihei"/>
                <w:color w:val="C00000"/>
                <w:spacing w:val="3"/>
                <w:sz w:val="21"/>
                <w:szCs w:val="21"/>
                <w14:textOutline w14:w="3984">
                  <w14:solidFill>
                    <w14:srgbClr w14:val="C00000"/>
                  </w14:solidFill>
                  <w14:prstDash w14:val="solid"/>
                  <w14:round/>
                </w14:textOutline>
              </w:rPr>
              <w:t>-51.5</w:t>
            </w:r>
          </w:p>
        </w:tc>
      </w:tr>
      <w:tr>
        <w:tblPrEx>
          <w:tblW w:w="7736" w:type="dxa"/>
          <w:tblInd w:w="372" w:type="dxa"/>
          <w:tblLayout w:type="fixed"/>
        </w:tblPrEx>
        <w:trPr>
          <w:trHeight w:val="506"/>
        </w:trPr>
        <w:tc>
          <w:tcPr>
            <w:tcW w:w="2107" w:type="dxa"/>
            <w:tcBorders>
              <w:top w:val="single" w:sz="4" w:space="0" w:color="000000"/>
              <w:bottom w:val="single" w:sz="4" w:space="0" w:color="000000"/>
            </w:tcBorders>
            <w:vAlign w:val="top"/>
          </w:tcPr>
          <w:p>
            <w:pPr>
              <w:spacing w:before="153" w:line="216" w:lineRule="auto"/>
              <w:ind w:left="6"/>
              <w:rPr>
                <w:rFonts w:ascii="STXihei" w:eastAsia="STXihei" w:hAnsi="STXihei" w:cs="STXihei"/>
                <w:sz w:val="21"/>
                <w:szCs w:val="21"/>
              </w:rPr>
            </w:pPr>
            <w:r>
              <w:rPr>
                <w:rFonts w:ascii="STXihei" w:eastAsia="STXihei" w:hAnsi="STXihei" w:cs="STXihei"/>
                <w:spacing w:val="6"/>
                <w:sz w:val="21"/>
                <w:szCs w:val="21"/>
              </w:rPr>
              <w:t>核电</w:t>
            </w:r>
          </w:p>
        </w:tc>
        <w:tc>
          <w:tcPr>
            <w:tcW w:w="1324" w:type="dxa"/>
            <w:tcBorders>
              <w:top w:val="single" w:sz="4" w:space="0" w:color="000000"/>
              <w:bottom w:val="single" w:sz="4" w:space="0" w:color="000000"/>
            </w:tcBorders>
            <w:vAlign w:val="top"/>
          </w:tcPr>
          <w:p>
            <w:pPr>
              <w:spacing w:before="167" w:line="195" w:lineRule="auto"/>
              <w:ind w:left="437"/>
              <w:rPr>
                <w:rFonts w:ascii="STXihei" w:eastAsia="STXihei" w:hAnsi="STXihei" w:cs="STXihei"/>
                <w:sz w:val="21"/>
                <w:szCs w:val="21"/>
              </w:rPr>
            </w:pPr>
            <w:r>
              <w:rPr>
                <w:rFonts w:ascii="STXihei" w:eastAsia="STXihei" w:hAnsi="STXihei" w:cs="STXihei"/>
                <w:spacing w:val="3"/>
                <w:sz w:val="21"/>
                <w:szCs w:val="21"/>
              </w:rPr>
              <w:t>394.0</w:t>
            </w:r>
          </w:p>
        </w:tc>
        <w:tc>
          <w:tcPr>
            <w:tcW w:w="1484" w:type="dxa"/>
            <w:tcBorders>
              <w:top w:val="single" w:sz="4" w:space="0" w:color="000000"/>
              <w:bottom w:val="single" w:sz="4" w:space="0" w:color="000000"/>
            </w:tcBorders>
            <w:vAlign w:val="top"/>
          </w:tcPr>
          <w:p>
            <w:pPr>
              <w:spacing w:before="167" w:line="195" w:lineRule="auto"/>
              <w:ind w:left="600"/>
              <w:rPr>
                <w:rFonts w:ascii="STXihei" w:eastAsia="STXihei" w:hAnsi="STXihei" w:cs="STXihei"/>
                <w:sz w:val="21"/>
                <w:szCs w:val="21"/>
              </w:rPr>
            </w:pPr>
            <w:r>
              <w:rPr>
                <w:rFonts w:ascii="STXihei" w:eastAsia="STXihei" w:hAnsi="STXihei" w:cs="STXihei"/>
                <w:spacing w:val="2"/>
                <w:sz w:val="21"/>
                <w:szCs w:val="21"/>
              </w:rPr>
              <w:t>-0.9</w:t>
            </w:r>
          </w:p>
        </w:tc>
        <w:tc>
          <w:tcPr>
            <w:tcW w:w="1324" w:type="dxa"/>
            <w:tcBorders>
              <w:top w:val="single" w:sz="4" w:space="0" w:color="000000"/>
              <w:bottom w:val="single" w:sz="4" w:space="0" w:color="000000"/>
            </w:tcBorders>
            <w:vAlign w:val="top"/>
          </w:tcPr>
          <w:p>
            <w:pPr>
              <w:spacing w:before="167" w:line="195" w:lineRule="auto"/>
              <w:ind w:left="437"/>
              <w:rPr>
                <w:rFonts w:ascii="STXihei" w:eastAsia="STXihei" w:hAnsi="STXihei" w:cs="STXihei"/>
                <w:sz w:val="21"/>
                <w:szCs w:val="21"/>
              </w:rPr>
            </w:pPr>
            <w:r>
              <w:rPr>
                <w:rFonts w:ascii="STXihei" w:eastAsia="STXihei" w:hAnsi="STXihei" w:cs="STXihei"/>
                <w:spacing w:val="3"/>
                <w:sz w:val="21"/>
                <w:szCs w:val="21"/>
              </w:rPr>
              <w:t>383.6</w:t>
            </w:r>
          </w:p>
        </w:tc>
        <w:tc>
          <w:tcPr>
            <w:tcW w:w="1497" w:type="dxa"/>
            <w:tcBorders>
              <w:top w:val="single" w:sz="4" w:space="0" w:color="000000"/>
              <w:bottom w:val="single" w:sz="4" w:space="0" w:color="000000"/>
            </w:tcBorders>
            <w:vAlign w:val="top"/>
          </w:tcPr>
          <w:p>
            <w:pPr>
              <w:spacing w:before="167" w:line="195" w:lineRule="auto"/>
              <w:ind w:left="541"/>
              <w:rPr>
                <w:rFonts w:ascii="STXihei" w:eastAsia="STXihei" w:hAnsi="STXihei" w:cs="STXihei"/>
                <w:sz w:val="21"/>
                <w:szCs w:val="21"/>
              </w:rPr>
            </w:pPr>
            <w:r>
              <w:rPr>
                <w:rFonts w:ascii="STXihei" w:eastAsia="STXihei" w:hAnsi="STXihei" w:cs="STXihei"/>
                <w:spacing w:val="-4"/>
                <w:sz w:val="21"/>
                <w:szCs w:val="21"/>
              </w:rPr>
              <w:t>-</w:t>
            </w:r>
            <w:r>
              <w:rPr>
                <w:rFonts w:ascii="STXihei" w:eastAsia="STXihei" w:hAnsi="STXihei" w:cs="STXihei"/>
                <w:spacing w:val="-20"/>
                <w:sz w:val="21"/>
                <w:szCs w:val="21"/>
              </w:rPr>
              <w:t xml:space="preserve"> </w:t>
            </w:r>
            <w:r>
              <w:rPr>
                <w:rFonts w:ascii="STXihei" w:eastAsia="STXihei" w:hAnsi="STXihei" w:cs="STXihei"/>
                <w:spacing w:val="-4"/>
                <w:sz w:val="21"/>
                <w:szCs w:val="21"/>
              </w:rPr>
              <w:t>11.3</w:t>
            </w:r>
          </w:p>
        </w:tc>
      </w:tr>
      <w:tr>
        <w:tblPrEx>
          <w:tblW w:w="7736" w:type="dxa"/>
          <w:tblInd w:w="372" w:type="dxa"/>
          <w:tblLayout w:type="fixed"/>
        </w:tblPrEx>
        <w:trPr>
          <w:trHeight w:val="511"/>
        </w:trPr>
        <w:tc>
          <w:tcPr>
            <w:tcW w:w="2107" w:type="dxa"/>
            <w:tcBorders>
              <w:top w:val="single" w:sz="4" w:space="0" w:color="000000"/>
              <w:bottom w:val="single" w:sz="4" w:space="0" w:color="000000"/>
            </w:tcBorders>
            <w:vAlign w:val="top"/>
          </w:tcPr>
          <w:p>
            <w:pPr>
              <w:spacing w:before="154" w:line="215" w:lineRule="auto"/>
              <w:ind w:left="7"/>
              <w:rPr>
                <w:rFonts w:ascii="STXihei" w:eastAsia="STXihei" w:hAnsi="STXihei" w:cs="STXihei"/>
                <w:sz w:val="21"/>
                <w:szCs w:val="21"/>
              </w:rPr>
            </w:pPr>
            <w:r>
              <w:rPr>
                <w:rFonts w:ascii="STXihei" w:eastAsia="STXihei" w:hAnsi="STXihei" w:cs="STXihei"/>
                <w:spacing w:val="7"/>
                <w:sz w:val="21"/>
                <w:szCs w:val="21"/>
              </w:rPr>
              <w:t>独立储能</w:t>
            </w:r>
          </w:p>
        </w:tc>
        <w:tc>
          <w:tcPr>
            <w:tcW w:w="1324" w:type="dxa"/>
            <w:tcBorders>
              <w:top w:val="single" w:sz="4" w:space="0" w:color="000000"/>
              <w:bottom w:val="single" w:sz="4" w:space="0" w:color="000000"/>
            </w:tcBorders>
            <w:vAlign w:val="top"/>
          </w:tcPr>
          <w:p>
            <w:pPr>
              <w:spacing w:before="168" w:line="195" w:lineRule="auto"/>
              <w:ind w:left="434"/>
              <w:rPr>
                <w:rFonts w:ascii="STXihei" w:eastAsia="STXihei" w:hAnsi="STXihei" w:cs="STXihei"/>
                <w:sz w:val="21"/>
                <w:szCs w:val="21"/>
              </w:rPr>
            </w:pPr>
            <w:r>
              <w:rPr>
                <w:rFonts w:ascii="STXihei" w:eastAsia="STXihei" w:hAnsi="STXihei" w:cs="STXihei"/>
                <w:spacing w:val="3"/>
                <w:sz w:val="21"/>
                <w:szCs w:val="21"/>
              </w:rPr>
              <w:t>469.3</w:t>
            </w:r>
          </w:p>
        </w:tc>
        <w:tc>
          <w:tcPr>
            <w:tcW w:w="1484" w:type="dxa"/>
            <w:tcBorders>
              <w:top w:val="single" w:sz="4" w:space="0" w:color="000000"/>
              <w:bottom w:val="single" w:sz="4" w:space="0" w:color="000000"/>
            </w:tcBorders>
            <w:vAlign w:val="top"/>
          </w:tcPr>
          <w:p>
            <w:pPr>
              <w:spacing w:before="168" w:line="195" w:lineRule="auto"/>
              <w:ind w:left="516"/>
              <w:rPr>
                <w:rFonts w:ascii="STXihei" w:eastAsia="STXihei" w:hAnsi="STXihei" w:cs="STXihei"/>
                <w:sz w:val="21"/>
                <w:szCs w:val="21"/>
              </w:rPr>
            </w:pPr>
            <w:r>
              <w:rPr>
                <w:rFonts w:ascii="STXihei" w:eastAsia="STXihei" w:hAnsi="STXihei" w:cs="STXihei"/>
                <w:spacing w:val="2"/>
                <w:sz w:val="21"/>
                <w:szCs w:val="21"/>
              </w:rPr>
              <w:t>+74.4</w:t>
            </w:r>
          </w:p>
        </w:tc>
        <w:tc>
          <w:tcPr>
            <w:tcW w:w="1324" w:type="dxa"/>
            <w:tcBorders>
              <w:top w:val="single" w:sz="4" w:space="0" w:color="000000"/>
              <w:bottom w:val="single" w:sz="4" w:space="0" w:color="000000"/>
            </w:tcBorders>
            <w:vAlign w:val="top"/>
          </w:tcPr>
          <w:p>
            <w:pPr>
              <w:spacing w:before="168" w:line="195" w:lineRule="auto"/>
              <w:ind w:left="444"/>
              <w:rPr>
                <w:rFonts w:ascii="STXihei" w:eastAsia="STXihei" w:hAnsi="STXihei" w:cs="STXihei"/>
                <w:sz w:val="21"/>
                <w:szCs w:val="21"/>
              </w:rPr>
            </w:pPr>
            <w:r>
              <w:rPr>
                <w:rFonts w:ascii="STXihei" w:eastAsia="STXihei" w:hAnsi="STXihei" w:cs="STXihei"/>
                <w:spacing w:val="1"/>
                <w:sz w:val="21"/>
                <w:szCs w:val="21"/>
              </w:rPr>
              <w:t>677.2</w:t>
            </w:r>
          </w:p>
        </w:tc>
        <w:tc>
          <w:tcPr>
            <w:tcW w:w="1497" w:type="dxa"/>
            <w:tcBorders>
              <w:top w:val="single" w:sz="4" w:space="0" w:color="000000"/>
              <w:bottom w:val="single" w:sz="4" w:space="0" w:color="000000"/>
            </w:tcBorders>
            <w:vAlign w:val="top"/>
          </w:tcPr>
          <w:p>
            <w:pPr>
              <w:spacing w:before="168" w:line="195" w:lineRule="auto"/>
              <w:ind w:left="455"/>
              <w:rPr>
                <w:rFonts w:ascii="STXihei" w:eastAsia="STXihei" w:hAnsi="STXihei" w:cs="STXihei"/>
                <w:sz w:val="21"/>
                <w:szCs w:val="21"/>
              </w:rPr>
            </w:pPr>
            <w:r>
              <w:rPr>
                <w:rFonts w:ascii="STXihei" w:eastAsia="STXihei" w:hAnsi="STXihei" w:cs="STXihei"/>
                <w:spacing w:val="2"/>
                <w:sz w:val="21"/>
                <w:szCs w:val="21"/>
              </w:rPr>
              <w:t>+282.3</w:t>
            </w:r>
          </w:p>
        </w:tc>
      </w:tr>
    </w:tbl>
    <w:p>
      <w:pPr>
        <w:spacing w:before="84" w:line="222" w:lineRule="auto"/>
        <w:ind w:left="546"/>
        <w:rPr>
          <w:rFonts w:ascii="STXihei" w:eastAsia="STXihei" w:hAnsi="STXihei" w:cs="STXihei"/>
          <w:sz w:val="21"/>
          <w:szCs w:val="21"/>
        </w:rPr>
      </w:pPr>
      <w:r>
        <w:rPr>
          <w:rFonts w:ascii="STXihei" w:eastAsia="STXihei" w:hAnsi="STXihei" w:cs="STXihei"/>
          <w:sz w:val="21"/>
          <w:szCs w:val="21"/>
        </w:rPr>
        <w:t xml:space="preserve">资料来源：   华润电力，五矿证券研究所                                                               </w:t>
      </w:r>
      <w:r>
        <w:rPr>
          <w:rFonts w:ascii="STXihei" w:eastAsia="STXihei" w:hAnsi="STXihei" w:cs="STXihei"/>
          <w:spacing w:val="-1"/>
          <w:sz w:val="21"/>
          <w:szCs w:val="21"/>
        </w:rPr>
        <w:t xml:space="preserve">                           资料来源：</w:t>
      </w:r>
      <w:r>
        <w:rPr>
          <w:rFonts w:ascii="STXihei" w:eastAsia="STXihei" w:hAnsi="STXihei" w:cs="STXihei"/>
          <w:spacing w:val="3"/>
          <w:sz w:val="21"/>
          <w:szCs w:val="21"/>
        </w:rPr>
        <w:t xml:space="preserve">   </w:t>
      </w:r>
      <w:r>
        <w:rPr>
          <w:rFonts w:ascii="DengXian" w:eastAsia="DengXian" w:hAnsi="DengXian" w:cs="DengXian"/>
          <w:spacing w:val="-1"/>
          <w:sz w:val="21"/>
          <w:szCs w:val="21"/>
        </w:rPr>
        <w:t>巅峰能源</w:t>
      </w:r>
      <w:r>
        <w:rPr>
          <w:rFonts w:ascii="STXihei" w:eastAsia="STXihei" w:hAnsi="STXihei" w:cs="STXihei"/>
          <w:spacing w:val="-1"/>
          <w:sz w:val="21"/>
          <w:szCs w:val="21"/>
        </w:rPr>
        <w:t>，五矿证券研究所</w:t>
      </w:r>
    </w:p>
    <w:p>
      <w:pPr>
        <w:spacing w:before="247" w:line="525" w:lineRule="exact"/>
        <w:ind w:left="370"/>
        <w:rPr>
          <w:rFonts w:ascii="STXihei" w:eastAsia="STXihei" w:hAnsi="STXihei" w:cs="STXihei"/>
          <w:sz w:val="29"/>
          <w:szCs w:val="29"/>
        </w:rPr>
      </w:pPr>
      <w:r>
        <w:rPr>
          <w:rFonts w:ascii="Wingdings" w:eastAsia="Wingdings" w:hAnsi="Wingdings" w:cs="Wingdings"/>
          <w:color w:val="C00000"/>
          <w:spacing w:val="-2"/>
          <w:position w:val="19"/>
          <w:sz w:val="29"/>
          <w:szCs w:val="29"/>
        </w:rPr>
        <w:sym w:font="Wingdings" w:char="F070"/>
      </w:r>
      <w:r>
        <w:rPr>
          <w:rFonts w:ascii="Wingdings" w:eastAsia="Wingdings" w:hAnsi="Wingdings" w:cs="Wingdings"/>
          <w:color w:val="C00000"/>
          <w:spacing w:val="-41"/>
          <w:position w:val="19"/>
          <w:sz w:val="29"/>
          <w:szCs w:val="29"/>
        </w:rPr>
        <w:t xml:space="preserve"> </w:t>
      </w:r>
      <w:r>
        <w:rPr>
          <w:rFonts w:ascii="STXihei" w:eastAsia="STXihei" w:hAnsi="STXihei" w:cs="STXihei"/>
          <w:spacing w:val="-2"/>
          <w:position w:val="19"/>
          <w:sz w:val="29"/>
          <w:szCs w:val="29"/>
        </w:rPr>
        <w:t>我国新能源电力价格主要由长协价和现货价决定，</w:t>
      </w:r>
      <w:r>
        <w:rPr>
          <w:rFonts w:ascii="STXihei" w:eastAsia="STXihei" w:hAnsi="STXihei" w:cs="STXihei"/>
          <w:spacing w:val="-37"/>
          <w:position w:val="19"/>
          <w:sz w:val="29"/>
          <w:szCs w:val="29"/>
        </w:rPr>
        <w:t xml:space="preserve"> </w:t>
      </w:r>
      <w:r>
        <w:rPr>
          <w:rFonts w:ascii="STXihei" w:eastAsia="STXihei" w:hAnsi="STXihei" w:cs="STXihei"/>
          <w:spacing w:val="-2"/>
          <w:position w:val="19"/>
          <w:sz w:val="29"/>
          <w:szCs w:val="29"/>
        </w:rPr>
        <w:t>比例大概为</w:t>
      </w:r>
      <w:r>
        <w:rPr>
          <w:rFonts w:ascii="Arial" w:eastAsia="Arial" w:hAnsi="Arial" w:cs="Arial"/>
          <w:spacing w:val="-2"/>
          <w:position w:val="19"/>
          <w:sz w:val="29"/>
          <w:szCs w:val="29"/>
        </w:rPr>
        <w:t>9:1</w:t>
      </w:r>
      <w:r>
        <w:rPr>
          <w:rFonts w:ascii="STXihei" w:eastAsia="STXihei" w:hAnsi="STXihei" w:cs="STXihei"/>
          <w:spacing w:val="-2"/>
          <w:position w:val="19"/>
          <w:sz w:val="29"/>
          <w:szCs w:val="29"/>
        </w:rPr>
        <w:t>。电价的下行会显著降低业主投资的积极性，带来光伏</w:t>
      </w:r>
    </w:p>
    <w:p>
      <w:pPr>
        <w:spacing w:line="207" w:lineRule="auto"/>
        <w:ind w:left="818"/>
        <w:rPr>
          <w:rFonts w:ascii="STXihei" w:eastAsia="STXihei" w:hAnsi="STXihei" w:cs="STXihei"/>
          <w:sz w:val="29"/>
          <w:szCs w:val="29"/>
        </w:rPr>
      </w:pPr>
      <w:r>
        <w:rPr>
          <w:rFonts w:ascii="STXihei" w:eastAsia="STXihei" w:hAnsi="STXihei" w:cs="STXihei"/>
          <w:spacing w:val="-4"/>
          <w:sz w:val="29"/>
          <w:szCs w:val="29"/>
        </w:rPr>
        <w:t>需求降速。</w:t>
      </w:r>
    </w:p>
    <w:p>
      <w:pPr>
        <w:spacing w:before="243" w:line="207" w:lineRule="auto"/>
        <w:ind w:left="370"/>
        <w:rPr>
          <w:rFonts w:ascii="STXihei" w:eastAsia="STXihei" w:hAnsi="STXihei" w:cs="STXihei"/>
          <w:sz w:val="29"/>
          <w:szCs w:val="29"/>
        </w:rPr>
      </w:pPr>
      <w:r>
        <w:rPr>
          <w:rFonts w:ascii="Wingdings" w:eastAsia="Wingdings" w:hAnsi="Wingdings" w:cs="Wingdings"/>
          <w:color w:val="C00000"/>
          <w:spacing w:val="-4"/>
          <w:sz w:val="29"/>
          <w:szCs w:val="29"/>
        </w:rPr>
        <w:sym w:font="Wingdings" w:char="F070"/>
      </w:r>
      <w:r>
        <w:rPr>
          <w:rFonts w:ascii="Wingdings" w:eastAsia="Wingdings" w:hAnsi="Wingdings" w:cs="Wingdings"/>
          <w:color w:val="C00000"/>
          <w:spacing w:val="-62"/>
          <w:sz w:val="29"/>
          <w:szCs w:val="29"/>
        </w:rPr>
        <w:t xml:space="preserve"> </w:t>
      </w:r>
      <w:r>
        <w:rPr>
          <w:rFonts w:ascii="STXihei" w:eastAsia="STXihei" w:hAnsi="STXihei" w:cs="STXihei"/>
          <w:spacing w:val="-4"/>
          <w:sz w:val="29"/>
          <w:szCs w:val="29"/>
          <w14:textOutline w14:w="5290">
            <w14:solidFill>
              <w14:srgbClr w14:val="000000"/>
            </w14:solidFill>
            <w14:prstDash w14:val="solid"/>
            <w14:round/>
          </w14:textOutline>
        </w:rPr>
        <w:t>现货电价下行：</w:t>
      </w:r>
      <w:r>
        <w:rPr>
          <w:rFonts w:ascii="STXihei" w:eastAsia="STXihei" w:hAnsi="STXihei" w:cs="STXihei"/>
          <w:spacing w:val="-4"/>
          <w:sz w:val="29"/>
          <w:szCs w:val="29"/>
        </w:rPr>
        <w:t xml:space="preserve">    </w:t>
      </w:r>
      <w:r>
        <w:rPr>
          <w:rFonts w:ascii="Arial" w:eastAsia="Arial" w:hAnsi="Arial" w:cs="Arial"/>
          <w:spacing w:val="-4"/>
          <w:sz w:val="29"/>
          <w:szCs w:val="29"/>
        </w:rPr>
        <w:t>2022~2023</w:t>
      </w:r>
      <w:r>
        <w:rPr>
          <w:rFonts w:ascii="STXihei" w:eastAsia="STXihei" w:hAnsi="STXihei" w:cs="STXihei"/>
          <w:spacing w:val="-4"/>
          <w:sz w:val="29"/>
          <w:szCs w:val="29"/>
        </w:rPr>
        <w:t>年新能源现货电价比基准电价均有明显降低，</w:t>
      </w:r>
      <w:r>
        <w:rPr>
          <w:rFonts w:ascii="STXihei" w:eastAsia="STXihei" w:hAnsi="STXihei" w:cs="STXihei"/>
          <w:spacing w:val="40"/>
          <w:w w:val="101"/>
          <w:sz w:val="29"/>
          <w:szCs w:val="29"/>
        </w:rPr>
        <w:t xml:space="preserve"> </w:t>
      </w:r>
      <w:r>
        <w:rPr>
          <w:rFonts w:ascii="STXihei" w:eastAsia="STXihei" w:hAnsi="STXihei" w:cs="STXihei"/>
          <w:spacing w:val="-4"/>
          <w:sz w:val="29"/>
          <w:szCs w:val="29"/>
        </w:rPr>
        <w:t>同时</w:t>
      </w:r>
      <w:r>
        <w:rPr>
          <w:rFonts w:ascii="Arial" w:eastAsia="Arial" w:hAnsi="Arial" w:cs="Arial"/>
          <w:spacing w:val="-4"/>
          <w:sz w:val="29"/>
          <w:szCs w:val="29"/>
        </w:rPr>
        <w:t>2023</w:t>
      </w:r>
      <w:r>
        <w:rPr>
          <w:rFonts w:ascii="STXihei" w:eastAsia="STXihei" w:hAnsi="STXihei" w:cs="STXihei"/>
          <w:spacing w:val="-4"/>
          <w:sz w:val="29"/>
          <w:szCs w:val="29"/>
        </w:rPr>
        <w:t>年以</w:t>
      </w:r>
      <w:r>
        <w:rPr>
          <w:rFonts w:ascii="STXihei" w:eastAsia="STXihei" w:hAnsi="STXihei" w:cs="STXihei"/>
          <w:spacing w:val="-5"/>
          <w:sz w:val="29"/>
          <w:szCs w:val="29"/>
        </w:rPr>
        <w:t>来我国各省份加快新能源参与现</w:t>
      </w:r>
    </w:p>
    <w:p>
      <w:pPr>
        <w:spacing w:before="171" w:line="207" w:lineRule="auto"/>
        <w:ind w:left="808"/>
        <w:rPr>
          <w:rFonts w:ascii="STXihei" w:eastAsia="STXihei" w:hAnsi="STXihei" w:cs="STXihei"/>
          <w:sz w:val="29"/>
          <w:szCs w:val="29"/>
        </w:rPr>
        <w:sectPr>
          <w:headerReference w:type="default" r:id="rId47"/>
          <w:footerReference w:type="default" r:id="rId48"/>
          <w:pgSz w:w="19200" w:h="10800"/>
          <w:pgMar w:top="400" w:right="723" w:bottom="255" w:left="992" w:header="0" w:footer="0" w:gutter="0"/>
          <w:pgNumType w:start="18"/>
          <w:cols w:space="708"/>
        </w:sectPr>
      </w:pPr>
      <w:r>
        <w:rPr>
          <w:rFonts w:ascii="STXihei" w:eastAsia="STXihei" w:hAnsi="STXihei" w:cs="STXihei"/>
          <w:spacing w:val="-1"/>
          <w:sz w:val="29"/>
          <w:szCs w:val="29"/>
        </w:rPr>
        <w:t>货市场，新能源现货电价较基准价降低幅度加大。</w:t>
      </w:r>
    </w:p>
    <w:p>
      <w:pPr>
        <w:spacing w:before="243" w:line="307" w:lineRule="auto"/>
        <w:ind w:left="806" w:right="1310" w:hanging="436"/>
        <w:rPr>
          <w:rFonts w:ascii="STXihei" w:eastAsia="STXihei" w:hAnsi="STXihei" w:cs="STXihei"/>
          <w:sz w:val="29"/>
          <w:szCs w:val="29"/>
        </w:rPr>
      </w:pPr>
      <w:r>
        <w:pict>
          <v:shape id="_x0000_s1072" type="#_x0000_t202" style="width:7.2pt;height:11.35pt;margin-top:64.69pt;margin-left:868.05pt;position:absolute;z-index:251694080" filled="f" stroked="f">
            <o:lock v:ext="edit" aspectratio="f"/>
            <v:textbox inset="0,0,0,0">
              <w:txbxContent>
                <w:p>
                  <w:pPr>
                    <w:spacing w:before="20" w:line="194" w:lineRule="auto"/>
                    <w:ind w:left="20"/>
                    <w:rPr>
                      <w:rFonts w:ascii="Arial" w:eastAsia="Arial" w:hAnsi="Arial" w:cs="Arial"/>
                      <w:sz w:val="20"/>
                      <w:szCs w:val="20"/>
                    </w:rPr>
                  </w:pPr>
                  <w:r>
                    <w:rPr>
                      <w:rFonts w:ascii="Arial" w:eastAsia="Arial" w:hAnsi="Arial" w:cs="Arial"/>
                      <w:color w:val="898989"/>
                      <w:sz w:val="20"/>
                      <w:szCs w:val="20"/>
                    </w:rPr>
                    <w:t>8</w:t>
                  </w:r>
                </w:p>
              </w:txbxContent>
            </v:textbox>
          </v:shape>
        </w:pict>
      </w:r>
      <w:r>
        <w:rPr>
          <w:rFonts w:ascii="Wingdings" w:eastAsia="Wingdings" w:hAnsi="Wingdings" w:cs="Wingdings"/>
          <w:color w:val="C00000"/>
          <w:spacing w:val="-6"/>
          <w:sz w:val="29"/>
          <w:szCs w:val="29"/>
        </w:rPr>
        <w:sym w:font="Wingdings" w:char="F070"/>
      </w:r>
      <w:r>
        <w:rPr>
          <w:rFonts w:ascii="Wingdings" w:eastAsia="Wingdings" w:hAnsi="Wingdings" w:cs="Wingdings"/>
          <w:color w:val="C00000"/>
          <w:spacing w:val="-56"/>
          <w:sz w:val="29"/>
          <w:szCs w:val="29"/>
        </w:rPr>
        <w:t xml:space="preserve"> </w:t>
      </w:r>
      <w:r>
        <w:rPr>
          <w:rFonts w:ascii="STXihei" w:eastAsia="STXihei" w:hAnsi="STXihei" w:cs="STXihei"/>
          <w:spacing w:val="-6"/>
          <w:sz w:val="29"/>
          <w:szCs w:val="29"/>
          <w14:textOutline w14:w="5290">
            <w14:solidFill>
              <w14:srgbClr w14:val="000000"/>
            </w14:solidFill>
            <w14:prstDash w14:val="solid"/>
            <w14:round/>
          </w14:textOutline>
        </w:rPr>
        <w:t>长协电价下行：</w:t>
      </w:r>
      <w:r>
        <w:rPr>
          <w:rFonts w:ascii="STXihei" w:eastAsia="STXihei" w:hAnsi="STXihei" w:cs="STXihei"/>
          <w:spacing w:val="-6"/>
          <w:sz w:val="29"/>
          <w:szCs w:val="29"/>
        </w:rPr>
        <w:t xml:space="preserve">   </w:t>
      </w:r>
      <w:r>
        <w:rPr>
          <w:rFonts w:ascii="Arial" w:eastAsia="Arial" w:hAnsi="Arial" w:cs="Arial"/>
          <w:spacing w:val="-6"/>
          <w:sz w:val="29"/>
          <w:szCs w:val="29"/>
        </w:rPr>
        <w:t>2023</w:t>
      </w:r>
      <w:r>
        <w:rPr>
          <w:rFonts w:ascii="STXihei" w:eastAsia="STXihei" w:hAnsi="STXihei" w:cs="STXihei"/>
          <w:spacing w:val="-6"/>
          <w:sz w:val="29"/>
          <w:szCs w:val="29"/>
        </w:rPr>
        <w:t>年新能源长协电价维持在火电标杆价附近，相对火电有所折价。但是在</w:t>
      </w:r>
      <w:r>
        <w:rPr>
          <w:rFonts w:ascii="Arial" w:eastAsia="Arial" w:hAnsi="Arial" w:cs="Arial"/>
          <w:spacing w:val="-6"/>
          <w:sz w:val="29"/>
          <w:szCs w:val="29"/>
        </w:rPr>
        <w:t>20</w:t>
      </w:r>
      <w:r>
        <w:rPr>
          <w:rFonts w:ascii="Arial" w:eastAsia="Arial" w:hAnsi="Arial" w:cs="Arial"/>
          <w:spacing w:val="-7"/>
          <w:sz w:val="29"/>
          <w:szCs w:val="29"/>
        </w:rPr>
        <w:t>24</w:t>
      </w:r>
      <w:r>
        <w:rPr>
          <w:rFonts w:ascii="STXihei" w:eastAsia="STXihei" w:hAnsi="STXihei" w:cs="STXihei"/>
          <w:spacing w:val="-7"/>
          <w:sz w:val="29"/>
          <w:szCs w:val="29"/>
        </w:rPr>
        <w:t>年，</w:t>
      </w:r>
      <w:r>
        <w:rPr>
          <w:rFonts w:ascii="STXihei" w:eastAsia="STXihei" w:hAnsi="STXihei" w:cs="STXihei"/>
          <w:spacing w:val="47"/>
          <w:sz w:val="29"/>
          <w:szCs w:val="29"/>
        </w:rPr>
        <w:t xml:space="preserve"> </w:t>
      </w:r>
      <w:r>
        <w:rPr>
          <w:rFonts w:ascii="STXihei" w:eastAsia="STXihei" w:hAnsi="STXihei" w:cs="STXihei"/>
          <w:spacing w:val="-7"/>
          <w:sz w:val="29"/>
          <w:szCs w:val="29"/>
        </w:rPr>
        <w:t>新能源长协电价开</w:t>
      </w:r>
      <w:r>
        <w:rPr>
          <w:rFonts w:ascii="STXihei" w:eastAsia="STXihei" w:hAnsi="STXihei" w:cs="STXihei"/>
          <w:sz w:val="29"/>
          <w:szCs w:val="29"/>
        </w:rPr>
        <w:t xml:space="preserve">   </w:t>
      </w:r>
      <w:r>
        <w:rPr>
          <w:rFonts w:ascii="STXihei" w:eastAsia="STXihei" w:hAnsi="STXihei" w:cs="STXihei"/>
          <w:sz w:val="29"/>
          <w:szCs w:val="29"/>
        </w:rPr>
        <w:t>始出现明显松动，如甘肃省明确要求新能源企业峰、谷、平各段交易基准价格为燃煤基准价格乘以峰谷分时系</w:t>
      </w:r>
      <w:r>
        <w:rPr>
          <w:rFonts w:ascii="STXihei" w:eastAsia="STXihei" w:hAnsi="STXihei" w:cs="STXihei"/>
          <w:spacing w:val="-1"/>
          <w:sz w:val="29"/>
          <w:szCs w:val="29"/>
        </w:rPr>
        <w:t>数（峰段系</w:t>
      </w:r>
    </w:p>
    <w:p>
      <w:pPr>
        <w:spacing w:before="2" w:line="170" w:lineRule="auto"/>
        <w:ind w:left="811"/>
        <w:rPr>
          <w:rFonts w:ascii="STXihei" w:eastAsia="STXihei" w:hAnsi="STXihei" w:cs="STXihei"/>
          <w:sz w:val="29"/>
          <w:szCs w:val="29"/>
        </w:rPr>
      </w:pPr>
      <w:r>
        <w:rPr>
          <w:rFonts w:ascii="STXihei" w:eastAsia="STXihei" w:hAnsi="STXihei" w:cs="STXihei"/>
          <w:sz w:val="29"/>
          <w:szCs w:val="29"/>
        </w:rPr>
        <w:t>数</w:t>
      </w:r>
      <w:r>
        <w:rPr>
          <w:rFonts w:ascii="Arial" w:eastAsia="Arial" w:hAnsi="Arial" w:cs="Arial"/>
          <w:sz w:val="29"/>
          <w:szCs w:val="29"/>
        </w:rPr>
        <w:t>=1.5</w:t>
      </w:r>
      <w:r>
        <w:rPr>
          <w:rFonts w:ascii="STXihei" w:eastAsia="STXihei" w:hAnsi="STXihei" w:cs="STXihei"/>
          <w:sz w:val="29"/>
          <w:szCs w:val="29"/>
        </w:rPr>
        <w:t>，平段系数</w:t>
      </w:r>
      <w:r>
        <w:rPr>
          <w:rFonts w:ascii="Arial" w:eastAsia="Arial" w:hAnsi="Arial" w:cs="Arial"/>
          <w:sz w:val="29"/>
          <w:szCs w:val="29"/>
        </w:rPr>
        <w:t>=1</w:t>
      </w:r>
      <w:r>
        <w:rPr>
          <w:rFonts w:ascii="STXihei" w:eastAsia="STXihei" w:hAnsi="STXihei" w:cs="STXihei"/>
          <w:sz w:val="29"/>
          <w:szCs w:val="29"/>
        </w:rPr>
        <w:t>，谷段系数</w:t>
      </w:r>
      <w:r>
        <w:rPr>
          <w:rFonts w:ascii="Arial" w:eastAsia="Arial" w:hAnsi="Arial" w:cs="Arial"/>
          <w:sz w:val="29"/>
          <w:szCs w:val="29"/>
        </w:rPr>
        <w:t>=0.5</w:t>
      </w:r>
      <w:r>
        <w:rPr>
          <w:rFonts w:ascii="STXihei" w:eastAsia="STXihei" w:hAnsi="STXihei" w:cs="STXihei"/>
          <w:spacing w:val="6"/>
          <w:sz w:val="29"/>
          <w:szCs w:val="29"/>
        </w:rPr>
        <w:t>），</w:t>
      </w:r>
      <w:r>
        <w:rPr>
          <w:rFonts w:ascii="STXihei" w:eastAsia="STXihei" w:hAnsi="STXihei" w:cs="STXihei"/>
          <w:sz w:val="29"/>
          <w:szCs w:val="29"/>
        </w:rPr>
        <w:t>各段交易价格不超过交易基准价，带来</w:t>
      </w:r>
      <w:r>
        <w:rPr>
          <w:rFonts w:ascii="STXihei" w:eastAsia="STXihei" w:hAnsi="STXihei" w:cs="STXihei"/>
          <w:spacing w:val="-1"/>
          <w:sz w:val="29"/>
          <w:szCs w:val="29"/>
        </w:rPr>
        <w:t>甘肃新能源长协的分时电价明显降低。</w:t>
      </w:r>
    </w:p>
    <w:p>
      <w:pPr>
        <w:spacing w:line="170" w:lineRule="auto"/>
        <w:rPr>
          <w:rFonts w:ascii="STXihei" w:eastAsia="STXihei" w:hAnsi="STXihei" w:cs="STXihei"/>
          <w:sz w:val="29"/>
          <w:szCs w:val="29"/>
        </w:rPr>
        <w:sectPr>
          <w:headerReference w:type="default" r:id="rId49"/>
          <w:footerReference w:type="default" r:id="rId50"/>
          <w:type w:val="nextPage"/>
          <w:pgSz w:w="19200" w:h="10800"/>
          <w:pgMar w:top="400" w:right="723" w:bottom="255" w:left="992" w:header="0" w:footer="0" w:gutter="0"/>
          <w:pgNumType w:start="19"/>
          <w:cols w:space="708"/>
          <w:titlePg w:val="0"/>
        </w:sectPr>
      </w:pPr>
    </w:p>
    <w:p>
      <w:pPr>
        <w:pStyle w:val="BodyText"/>
        <w:spacing w:before="269" w:line="200" w:lineRule="auto"/>
        <w:ind w:left="15524"/>
        <w:rPr>
          <w:sz w:val="21"/>
          <w:szCs w:val="21"/>
        </w:rPr>
      </w:pPr>
      <w:r>
        <w:pict>
          <v:shape id="_x0000_s1073" style="width:860.05pt;height:0.9pt;margin-top:55.97pt;margin-left:49.98pt;mso-position-horizontal-relative:page;mso-position-vertical-relative:page;position:absolute;z-index:251696128" coordorigin="0,0" coordsize="17200,17" o:allowincell="f" path="m,8l17200,8e" filled="f" strokecolor="#c41425" strokeweight="0.86pt"/>
        </w:pict>
      </w:r>
      <w:r>
        <w:drawing>
          <wp:anchor distT="0" distB="0" distL="0" distR="0" simplePos="0" relativeHeight="251695104"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8"/>
                    <a:stretch>
                      <a:fillRect/>
                    </a:stretch>
                  </pic:blipFill>
                  <pic:spPr>
                    <a:xfrm>
                      <a:off x="0" y="0"/>
                      <a:ext cx="1367027" cy="524255"/>
                    </a:xfrm>
                    <a:prstGeom prst="rect">
                      <a:avLst/>
                    </a:prstGeom>
                  </pic:spPr>
                </pic:pic>
              </a:graphicData>
            </a:graphic>
          </wp:anchor>
        </w:drawing>
      </w: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p>
      <w:pPr>
        <w:spacing w:line="269" w:lineRule="auto"/>
        <w:rPr>
          <w:rFonts w:ascii="Arial"/>
          <w:sz w:val="21"/>
        </w:rPr>
      </w:pPr>
    </w:p>
    <w:p>
      <w:pPr>
        <w:spacing w:before="126" w:line="215" w:lineRule="auto"/>
        <w:ind w:left="248"/>
        <w:outlineLvl w:val="1"/>
        <w:rPr>
          <w:rFonts w:ascii="SimHei" w:eastAsia="SimHei" w:hAnsi="SimHei" w:cs="SimHei"/>
          <w:sz w:val="39"/>
          <w:szCs w:val="39"/>
        </w:rPr>
      </w:pPr>
      <w:r>
        <w:rPr>
          <w:rFonts w:ascii="SimHei" w:eastAsia="SimHei" w:hAnsi="SimHei" w:cs="SimHei"/>
          <w:spacing w:val="11"/>
          <w:sz w:val="39"/>
          <w:szCs w:val="39"/>
          <w14:textOutline w14:w="7249">
            <w14:solidFill>
              <w14:srgbClr w14:val="000000"/>
            </w14:solidFill>
            <w14:prstDash w14:val="solid"/>
            <w14:round/>
          </w14:textOutline>
        </w:rPr>
        <w:t>消纳限制新能源接入，国内分布式首当其冲</w:t>
      </w:r>
    </w:p>
    <w:p>
      <w:pPr>
        <w:spacing w:before="11"/>
      </w:pPr>
    </w:p>
    <w:p>
      <w:pPr>
        <w:sectPr>
          <w:headerReference w:type="default" r:id="rId51"/>
          <w:footerReference w:type="default" r:id="rId52"/>
          <w:pgSz w:w="19200" w:h="10800"/>
          <w:pgMar w:top="400" w:right="723" w:bottom="229" w:left="771" w:header="0" w:footer="0" w:gutter="0"/>
          <w:pgNumType w:start="20"/>
          <w:cols w:num="1" w:space="708" w:equalWidth="0">
            <w:col w:w="17706" w:space="0"/>
          </w:cols>
        </w:sectPr>
      </w:pPr>
    </w:p>
    <w:p>
      <w:pPr>
        <w:spacing w:before="49" w:line="209" w:lineRule="auto"/>
        <w:ind w:left="778"/>
        <w:rPr>
          <w:rFonts w:ascii="STXihei" w:eastAsia="STXihei" w:hAnsi="STXihei" w:cs="STXihei"/>
          <w:sz w:val="24"/>
          <w:szCs w:val="24"/>
        </w:rPr>
      </w:pPr>
      <w:r>
        <w:rPr>
          <w:rFonts w:ascii="STXihei" w:eastAsia="STXihei" w:hAnsi="STXihei" w:cs="STXihei"/>
          <w:spacing w:val="-1"/>
          <w:sz w:val="24"/>
          <w:szCs w:val="24"/>
        </w:rPr>
        <w:t>图表</w:t>
      </w:r>
      <w:r>
        <w:rPr>
          <w:rFonts w:ascii="Arial" w:eastAsia="Arial" w:hAnsi="Arial" w:cs="Arial"/>
          <w:spacing w:val="-1"/>
          <w:sz w:val="24"/>
          <w:szCs w:val="24"/>
        </w:rPr>
        <w:t>6</w:t>
      </w:r>
      <w:r>
        <w:rPr>
          <w:rFonts w:ascii="STXihei" w:eastAsia="STXihei" w:hAnsi="STXihei" w:cs="STXihei"/>
          <w:spacing w:val="-1"/>
          <w:sz w:val="24"/>
          <w:szCs w:val="24"/>
        </w:rPr>
        <w:t>：</w:t>
      </w:r>
      <w:r>
        <w:rPr>
          <w:rFonts w:ascii="STXihei" w:eastAsia="STXihei" w:hAnsi="STXihei" w:cs="STXihei"/>
          <w:spacing w:val="-23"/>
          <w:sz w:val="24"/>
          <w:szCs w:val="24"/>
        </w:rPr>
        <w:t xml:space="preserve"> </w:t>
      </w:r>
      <w:r>
        <w:rPr>
          <w:rFonts w:ascii="STXihei" w:eastAsia="STXihei" w:hAnsi="STXihei" w:cs="STXihei"/>
          <w:spacing w:val="-1"/>
          <w:sz w:val="24"/>
          <w:szCs w:val="24"/>
        </w:rPr>
        <w:t>国内多地区分布式光伏接入受限</w:t>
      </w:r>
    </w:p>
    <w:p>
      <w:pPr>
        <w:spacing w:line="28" w:lineRule="exact"/>
      </w:pPr>
    </w:p>
    <w:tbl>
      <w:tblPr>
        <w:tblStyle w:val="TableNormal3"/>
        <w:tblW w:w="8691" w:type="dxa"/>
        <w:tblInd w:w="0" w:type="dxa"/>
        <w:tblBorders>
          <w:top w:val="nil"/>
          <w:left w:val="nil"/>
          <w:bottom w:val="nil"/>
          <w:right w:val="nil"/>
          <w:insideH w:val="nil"/>
          <w:insideV w:val="nil"/>
        </w:tblBorders>
        <w:tblLayout w:type="fixed"/>
      </w:tblPr>
      <w:tblGrid>
        <w:gridCol w:w="1772"/>
        <w:gridCol w:w="6919"/>
      </w:tblGrid>
      <w:tr>
        <w:tblPrEx>
          <w:tblW w:w="8691" w:type="dxa"/>
          <w:tblInd w:w="0" w:type="dxa"/>
          <w:tblBorders>
            <w:top w:val="nil"/>
            <w:left w:val="nil"/>
            <w:bottom w:val="nil"/>
            <w:right w:val="nil"/>
            <w:insideH w:val="nil"/>
            <w:insideV w:val="nil"/>
          </w:tblBorders>
          <w:tblLayout w:type="fixed"/>
        </w:tblPrEx>
        <w:trPr>
          <w:trHeight w:val="447"/>
        </w:trPr>
        <w:tc>
          <w:tcPr>
            <w:tcW w:w="8691" w:type="dxa"/>
            <w:gridSpan w:val="2"/>
            <w:tcBorders>
              <w:top w:val="single" w:sz="4" w:space="0" w:color="000000"/>
              <w:bottom w:val="single" w:sz="4" w:space="0" w:color="000000"/>
            </w:tcBorders>
            <w:shd w:val="clear" w:color="auto" w:fill="D9D9D9"/>
            <w:vAlign w:val="top"/>
          </w:tcPr>
          <w:p>
            <w:pPr>
              <w:spacing w:before="123" w:line="214" w:lineRule="auto"/>
              <w:ind w:left="42"/>
              <w:rPr>
                <w:rFonts w:ascii="STXihei" w:eastAsia="STXihei" w:hAnsi="STXihei" w:cs="STXihei"/>
                <w:sz w:val="21"/>
                <w:szCs w:val="21"/>
              </w:rPr>
            </w:pPr>
            <w:r>
              <w:rPr>
                <w:rFonts w:ascii="STXihei" w:eastAsia="STXihei" w:hAnsi="STXihei" w:cs="STXihei"/>
                <w:spacing w:val="2"/>
                <w:sz w:val="21"/>
                <w:szCs w:val="21"/>
                <w14:textOutline w14:w="3984">
                  <w14:solidFill>
                    <w14:srgbClr w14:val="000000"/>
                  </w14:solidFill>
                  <w14:prstDash w14:val="solid"/>
                  <w14:round/>
                </w14:textOutline>
              </w:rPr>
              <w:t>省份</w:t>
            </w:r>
            <w:r>
              <w:rPr>
                <w:rFonts w:ascii="STXihei" w:eastAsia="STXihei" w:hAnsi="STXihei" w:cs="STXihei"/>
                <w:spacing w:val="5"/>
                <w:sz w:val="21"/>
                <w:szCs w:val="21"/>
              </w:rPr>
              <w:t xml:space="preserve">        </w:t>
            </w:r>
            <w:r>
              <w:rPr>
                <w:rFonts w:ascii="STXihei" w:eastAsia="STXihei" w:hAnsi="STXihei" w:cs="STXihei"/>
                <w:spacing w:val="2"/>
                <w:sz w:val="21"/>
                <w:szCs w:val="21"/>
                <w14:textOutline w14:w="3984">
                  <w14:solidFill>
                    <w14:srgbClr w14:val="000000"/>
                  </w14:solidFill>
                  <w14:prstDash w14:val="solid"/>
                  <w14:round/>
                </w14:textOutline>
              </w:rPr>
              <w:t>时间</w:t>
            </w:r>
            <w:r>
              <w:rPr>
                <w:rFonts w:ascii="STXihei" w:eastAsia="STXihei" w:hAnsi="STXihei" w:cs="STXihei"/>
                <w:spacing w:val="2"/>
                <w:sz w:val="21"/>
                <w:szCs w:val="21"/>
              </w:rPr>
              <w:t xml:space="preserve">                                    </w:t>
            </w:r>
            <w:r>
              <w:rPr>
                <w:rFonts w:ascii="STXihei" w:eastAsia="STXihei" w:hAnsi="STXihei" w:cs="STXihei"/>
                <w:spacing w:val="1"/>
                <w:sz w:val="21"/>
                <w:szCs w:val="21"/>
              </w:rPr>
              <w:t xml:space="preserve">                                </w:t>
            </w:r>
            <w:r>
              <w:rPr>
                <w:rFonts w:ascii="STXihei" w:eastAsia="STXihei" w:hAnsi="STXihei" w:cs="STXihei"/>
                <w:spacing w:val="1"/>
                <w:sz w:val="21"/>
                <w:szCs w:val="21"/>
                <w14:textOutline w14:w="3984">
                  <w14:solidFill>
                    <w14:srgbClr w14:val="000000"/>
                  </w14:solidFill>
                  <w14:prstDash w14:val="solid"/>
                  <w14:round/>
                </w14:textOutline>
              </w:rPr>
              <w:t>说明</w:t>
            </w:r>
          </w:p>
        </w:tc>
      </w:tr>
      <w:tr>
        <w:tblPrEx>
          <w:tblW w:w="8691" w:type="dxa"/>
          <w:tblInd w:w="0" w:type="dxa"/>
          <w:tblLayout w:type="fixed"/>
        </w:tblPrEx>
        <w:trPr>
          <w:trHeight w:val="814"/>
        </w:trPr>
        <w:tc>
          <w:tcPr>
            <w:tcW w:w="8691" w:type="dxa"/>
            <w:gridSpan w:val="2"/>
            <w:tcBorders>
              <w:top w:val="single" w:sz="4" w:space="0" w:color="000000"/>
              <w:bottom w:val="single" w:sz="4" w:space="0" w:color="000000"/>
            </w:tcBorders>
            <w:vAlign w:val="top"/>
          </w:tcPr>
          <w:p>
            <w:pPr>
              <w:spacing w:before="41" w:line="214" w:lineRule="auto"/>
              <w:ind w:left="46" w:right="96" w:firstLine="1764"/>
              <w:rPr>
                <w:rFonts w:ascii="STXihei" w:eastAsia="STXihei" w:hAnsi="STXihei" w:cs="STXihei"/>
                <w:sz w:val="21"/>
                <w:szCs w:val="21"/>
              </w:rPr>
            </w:pPr>
            <w:r>
              <w:rPr>
                <w:rFonts w:ascii="STXihei" w:eastAsia="STXihei" w:hAnsi="STXihei" w:cs="STXihei"/>
                <w:spacing w:val="9"/>
                <w:sz w:val="21"/>
                <w:szCs w:val="21"/>
              </w:rPr>
              <w:t>已无可接网容量的县（市、区</w:t>
            </w:r>
            <w:r>
              <w:rPr>
                <w:rFonts w:ascii="STXihei" w:eastAsia="STXihei" w:hAnsi="STXihei" w:cs="STXihei"/>
                <w:spacing w:val="7"/>
                <w:sz w:val="21"/>
                <w:szCs w:val="21"/>
              </w:rPr>
              <w:t>）：</w:t>
            </w:r>
            <w:r>
              <w:rPr>
                <w:rFonts w:ascii="STXihei" w:eastAsia="STXihei" w:hAnsi="STXihei" w:cs="STXihei"/>
                <w:spacing w:val="9"/>
                <w:sz w:val="21"/>
                <w:szCs w:val="21"/>
              </w:rPr>
              <w:t>韶关市乐昌市、南雄市、</w:t>
            </w:r>
            <w:r>
              <w:rPr>
                <w:rFonts w:ascii="STXihei" w:eastAsia="STXihei" w:hAnsi="STXihei" w:cs="STXihei"/>
                <w:spacing w:val="8"/>
                <w:sz w:val="21"/>
                <w:szCs w:val="21"/>
              </w:rPr>
              <w:t>仁化县、始</w:t>
            </w:r>
            <w:r>
              <w:rPr>
                <w:rFonts w:ascii="STXihei" w:eastAsia="STXihei" w:hAnsi="STXihei" w:cs="STXihei"/>
                <w:spacing w:val="1"/>
                <w:sz w:val="21"/>
                <w:szCs w:val="21"/>
              </w:rPr>
              <w:t xml:space="preserve"> </w:t>
            </w:r>
            <w:r>
              <w:rPr>
                <w:rFonts w:ascii="STXihei" w:eastAsia="STXihei" w:hAnsi="STXihei" w:cs="STXihei"/>
                <w:spacing w:val="5"/>
                <w:sz w:val="21"/>
                <w:szCs w:val="21"/>
              </w:rPr>
              <w:t>广东 2023/10/31  兴县，阳江市阳西县，湛江市徐闻县、雷州市，梅州市梅县区，  清远市</w:t>
            </w:r>
          </w:p>
          <w:p>
            <w:pPr>
              <w:spacing w:before="2" w:line="191" w:lineRule="auto"/>
              <w:ind w:left="1792"/>
              <w:rPr>
                <w:rFonts w:ascii="STXihei" w:eastAsia="STXihei" w:hAnsi="STXihei" w:cs="STXihei"/>
                <w:sz w:val="21"/>
                <w:szCs w:val="21"/>
              </w:rPr>
            </w:pPr>
            <w:r>
              <w:rPr>
                <w:rFonts w:ascii="STXihei" w:eastAsia="STXihei" w:hAnsi="STXihei" w:cs="STXihei"/>
                <w:spacing w:val="7"/>
                <w:sz w:val="21"/>
                <w:szCs w:val="21"/>
              </w:rPr>
              <w:t>连山壮族瑶族自治县、阳山县、连州市。</w:t>
            </w:r>
          </w:p>
        </w:tc>
      </w:tr>
      <w:tr>
        <w:tblPrEx>
          <w:tblW w:w="8691" w:type="dxa"/>
          <w:tblInd w:w="0" w:type="dxa"/>
          <w:tblLayout w:type="fixed"/>
        </w:tblPrEx>
        <w:trPr>
          <w:trHeight w:val="442"/>
        </w:trPr>
        <w:tc>
          <w:tcPr>
            <w:tcW w:w="8691" w:type="dxa"/>
            <w:gridSpan w:val="2"/>
            <w:tcBorders>
              <w:top w:val="single" w:sz="4" w:space="0" w:color="000000"/>
              <w:bottom w:val="single" w:sz="4" w:space="0" w:color="000000"/>
            </w:tcBorders>
            <w:vAlign w:val="top"/>
          </w:tcPr>
          <w:p>
            <w:pPr>
              <w:spacing w:before="120" w:line="214" w:lineRule="auto"/>
              <w:ind w:left="45"/>
              <w:rPr>
                <w:rFonts w:ascii="STXihei" w:eastAsia="STXihei" w:hAnsi="STXihei" w:cs="STXihei"/>
                <w:sz w:val="21"/>
                <w:szCs w:val="21"/>
              </w:rPr>
            </w:pPr>
            <w:r>
              <w:rPr>
                <w:rFonts w:ascii="STXihei" w:eastAsia="STXihei" w:hAnsi="STXihei" w:cs="STXihei"/>
                <w:spacing w:val="6"/>
                <w:sz w:val="21"/>
                <w:szCs w:val="21"/>
              </w:rPr>
              <w:t>河南 2023/10/31  分布式光伏可开放容量仅8.6</w:t>
            </w:r>
            <w:r>
              <w:rPr>
                <w:rFonts w:ascii="STXihei" w:eastAsia="STXihei" w:hAnsi="STXihei" w:cs="STXihei"/>
                <w:sz w:val="21"/>
                <w:szCs w:val="21"/>
              </w:rPr>
              <w:t>GW</w:t>
            </w:r>
            <w:r>
              <w:rPr>
                <w:rFonts w:ascii="STXihei" w:eastAsia="STXihei" w:hAnsi="STXihei" w:cs="STXihei"/>
                <w:spacing w:val="6"/>
                <w:sz w:val="21"/>
                <w:szCs w:val="21"/>
              </w:rPr>
              <w:t>。</w:t>
            </w:r>
          </w:p>
        </w:tc>
      </w:tr>
      <w:tr>
        <w:tblPrEx>
          <w:tblW w:w="8691" w:type="dxa"/>
          <w:tblInd w:w="0" w:type="dxa"/>
          <w:tblLayout w:type="fixed"/>
        </w:tblPrEx>
        <w:trPr>
          <w:trHeight w:val="442"/>
        </w:trPr>
        <w:tc>
          <w:tcPr>
            <w:tcW w:w="1772" w:type="dxa"/>
            <w:tcBorders>
              <w:top w:val="single" w:sz="4" w:space="0" w:color="000000"/>
              <w:bottom w:val="single" w:sz="4" w:space="0" w:color="000000"/>
            </w:tcBorders>
            <w:vAlign w:val="top"/>
          </w:tcPr>
          <w:p>
            <w:pPr>
              <w:spacing w:before="121" w:line="216" w:lineRule="auto"/>
              <w:ind w:left="40"/>
              <w:rPr>
                <w:rFonts w:ascii="STXihei" w:eastAsia="STXihei" w:hAnsi="STXihei" w:cs="STXihei"/>
                <w:sz w:val="21"/>
                <w:szCs w:val="21"/>
              </w:rPr>
            </w:pPr>
            <w:r>
              <w:rPr>
                <w:rFonts w:ascii="STXihei" w:eastAsia="STXihei" w:hAnsi="STXihei" w:cs="STXihei"/>
                <w:spacing w:val="3"/>
                <w:sz w:val="21"/>
                <w:szCs w:val="21"/>
              </w:rPr>
              <w:t>辽宁 2023/7/1</w:t>
            </w:r>
          </w:p>
        </w:tc>
        <w:tc>
          <w:tcPr>
            <w:tcW w:w="6919" w:type="dxa"/>
            <w:tcBorders>
              <w:top w:val="single" w:sz="4" w:space="0" w:color="000000"/>
              <w:bottom w:val="single" w:sz="4" w:space="0" w:color="000000"/>
            </w:tcBorders>
            <w:vAlign w:val="top"/>
          </w:tcPr>
          <w:p>
            <w:pPr>
              <w:spacing w:before="121" w:line="214" w:lineRule="auto"/>
              <w:ind w:left="25"/>
              <w:rPr>
                <w:rFonts w:ascii="STXihei" w:eastAsia="STXihei" w:hAnsi="STXihei" w:cs="STXihei"/>
                <w:sz w:val="21"/>
                <w:szCs w:val="21"/>
              </w:rPr>
            </w:pPr>
            <w:r>
              <w:rPr>
                <w:rFonts w:ascii="STXihei" w:eastAsia="STXihei" w:hAnsi="STXihei" w:cs="STXihei"/>
                <w:spacing w:val="8"/>
                <w:sz w:val="21"/>
                <w:szCs w:val="21"/>
              </w:rPr>
              <w:t>营口地区分布式电源可新增容量仅为981.97</w:t>
            </w:r>
            <w:r>
              <w:rPr>
                <w:rFonts w:ascii="STXihei" w:eastAsia="STXihei" w:hAnsi="STXihei" w:cs="STXihei"/>
                <w:sz w:val="21"/>
                <w:szCs w:val="21"/>
              </w:rPr>
              <w:t>MW</w:t>
            </w:r>
            <w:r>
              <w:rPr>
                <w:rFonts w:ascii="STXihei" w:eastAsia="STXihei" w:hAnsi="STXihei" w:cs="STXihei"/>
                <w:spacing w:val="8"/>
                <w:sz w:val="21"/>
                <w:szCs w:val="21"/>
              </w:rPr>
              <w:t>。</w:t>
            </w:r>
          </w:p>
        </w:tc>
      </w:tr>
      <w:tr>
        <w:tblPrEx>
          <w:tblW w:w="8691" w:type="dxa"/>
          <w:tblInd w:w="0" w:type="dxa"/>
          <w:tblLayout w:type="fixed"/>
        </w:tblPrEx>
        <w:trPr>
          <w:trHeight w:val="442"/>
        </w:trPr>
        <w:tc>
          <w:tcPr>
            <w:tcW w:w="1772" w:type="dxa"/>
            <w:tcBorders>
              <w:top w:val="single" w:sz="4" w:space="0" w:color="000000"/>
              <w:bottom w:val="single" w:sz="4" w:space="0" w:color="000000"/>
            </w:tcBorders>
            <w:vAlign w:val="top"/>
          </w:tcPr>
          <w:p>
            <w:pPr>
              <w:spacing w:before="122" w:line="216" w:lineRule="auto"/>
              <w:ind w:left="57"/>
              <w:rPr>
                <w:rFonts w:ascii="STXihei" w:eastAsia="STXihei" w:hAnsi="STXihei" w:cs="STXihei"/>
                <w:sz w:val="21"/>
                <w:szCs w:val="21"/>
              </w:rPr>
            </w:pPr>
            <w:r>
              <w:rPr>
                <w:rFonts w:ascii="STXihei" w:eastAsia="STXihei" w:hAnsi="STXihei" w:cs="STXihei"/>
                <w:spacing w:val="1"/>
                <w:sz w:val="21"/>
                <w:szCs w:val="21"/>
              </w:rPr>
              <w:t>山东 2023/6/8</w:t>
            </w:r>
          </w:p>
        </w:tc>
        <w:tc>
          <w:tcPr>
            <w:tcW w:w="6919" w:type="dxa"/>
            <w:tcBorders>
              <w:top w:val="single" w:sz="4" w:space="0" w:color="000000"/>
              <w:bottom w:val="single" w:sz="4" w:space="0" w:color="000000"/>
            </w:tcBorders>
            <w:vAlign w:val="top"/>
          </w:tcPr>
          <w:p>
            <w:pPr>
              <w:spacing w:before="122" w:line="214" w:lineRule="auto"/>
              <w:ind w:left="18"/>
              <w:rPr>
                <w:rFonts w:ascii="STXihei" w:eastAsia="STXihei" w:hAnsi="STXihei" w:cs="STXihei"/>
                <w:sz w:val="21"/>
                <w:szCs w:val="21"/>
              </w:rPr>
            </w:pPr>
            <w:r>
              <w:rPr>
                <w:rFonts w:ascii="STXihei" w:eastAsia="STXihei" w:hAnsi="STXihei" w:cs="STXihei"/>
                <w:spacing w:val="4"/>
                <w:sz w:val="21"/>
                <w:szCs w:val="21"/>
              </w:rPr>
              <w:t>截至2023年4月底，  聊城市可开放容</w:t>
            </w:r>
            <w:r>
              <w:rPr>
                <w:rFonts w:ascii="STXihei" w:eastAsia="STXihei" w:hAnsi="STXihei" w:cs="STXihei"/>
                <w:spacing w:val="3"/>
                <w:sz w:val="21"/>
                <w:szCs w:val="21"/>
              </w:rPr>
              <w:t>量为455.5兆瓦</w:t>
            </w:r>
          </w:p>
        </w:tc>
      </w:tr>
      <w:tr>
        <w:tblPrEx>
          <w:tblW w:w="8691" w:type="dxa"/>
          <w:tblInd w:w="0" w:type="dxa"/>
          <w:tblLayout w:type="fixed"/>
        </w:tblPrEx>
        <w:trPr>
          <w:trHeight w:val="442"/>
        </w:trPr>
        <w:tc>
          <w:tcPr>
            <w:tcW w:w="1772" w:type="dxa"/>
            <w:tcBorders>
              <w:top w:val="single" w:sz="4" w:space="0" w:color="000000"/>
              <w:bottom w:val="single" w:sz="4" w:space="0" w:color="000000"/>
            </w:tcBorders>
            <w:vAlign w:val="top"/>
          </w:tcPr>
          <w:p>
            <w:pPr>
              <w:spacing w:before="122" w:line="208" w:lineRule="auto"/>
              <w:ind w:left="45"/>
              <w:rPr>
                <w:rFonts w:ascii="STXihei" w:eastAsia="STXihei" w:hAnsi="STXihei" w:cs="STXihei"/>
                <w:sz w:val="22"/>
                <w:szCs w:val="22"/>
              </w:rPr>
            </w:pPr>
            <w:r>
              <w:rPr>
                <w:rFonts w:ascii="STXihei" w:eastAsia="STXihei" w:hAnsi="STXihei" w:cs="STXihei"/>
                <w:spacing w:val="-5"/>
                <w:sz w:val="22"/>
                <w:szCs w:val="22"/>
              </w:rPr>
              <w:t>河南</w:t>
            </w:r>
          </w:p>
        </w:tc>
        <w:tc>
          <w:tcPr>
            <w:tcW w:w="6919" w:type="dxa"/>
            <w:tcBorders>
              <w:top w:val="single" w:sz="4" w:space="0" w:color="000000"/>
              <w:bottom w:val="single" w:sz="4" w:space="0" w:color="000000"/>
            </w:tcBorders>
            <w:vAlign w:val="top"/>
          </w:tcPr>
          <w:p>
            <w:pPr>
              <w:spacing w:before="123" w:line="206" w:lineRule="auto"/>
              <w:ind w:left="15"/>
              <w:rPr>
                <w:rFonts w:ascii="STXihei" w:eastAsia="STXihei" w:hAnsi="STXihei" w:cs="STXihei"/>
                <w:sz w:val="22"/>
                <w:szCs w:val="22"/>
              </w:rPr>
            </w:pPr>
            <w:r>
              <w:rPr>
                <w:rFonts w:ascii="STXihei" w:eastAsia="STXihei" w:hAnsi="STXihei" w:cs="STXihei"/>
                <w:spacing w:val="-10"/>
                <w:sz w:val="22"/>
                <w:szCs w:val="22"/>
              </w:rPr>
              <w:t>根据初步摸排，   53个县已无接入空间。</w:t>
            </w:r>
          </w:p>
        </w:tc>
      </w:tr>
      <w:tr>
        <w:tblPrEx>
          <w:tblW w:w="8691" w:type="dxa"/>
          <w:tblInd w:w="0" w:type="dxa"/>
          <w:tblLayout w:type="fixed"/>
        </w:tblPrEx>
        <w:trPr>
          <w:trHeight w:val="894"/>
        </w:trPr>
        <w:tc>
          <w:tcPr>
            <w:tcW w:w="1772" w:type="dxa"/>
            <w:tcBorders>
              <w:top w:val="single" w:sz="4" w:space="0" w:color="000000"/>
              <w:bottom w:val="single" w:sz="4" w:space="0" w:color="000000"/>
            </w:tcBorders>
            <w:vAlign w:val="top"/>
          </w:tcPr>
          <w:p>
            <w:pPr>
              <w:pStyle w:val="TableText"/>
              <w:spacing w:line="275" w:lineRule="auto"/>
            </w:pPr>
          </w:p>
          <w:p>
            <w:pPr>
              <w:spacing w:before="74" w:line="215" w:lineRule="auto"/>
              <w:ind w:left="40"/>
              <w:rPr>
                <w:rFonts w:ascii="STXihei" w:eastAsia="STXihei" w:hAnsi="STXihei" w:cs="STXihei"/>
                <w:sz w:val="21"/>
                <w:szCs w:val="21"/>
              </w:rPr>
            </w:pPr>
            <w:r>
              <w:rPr>
                <w:rFonts w:ascii="STXihei" w:eastAsia="STXihei" w:hAnsi="STXihei" w:cs="STXihei"/>
                <w:spacing w:val="3"/>
                <w:sz w:val="21"/>
                <w:szCs w:val="21"/>
              </w:rPr>
              <w:t>湖南 2023/5/29</w:t>
            </w:r>
          </w:p>
        </w:tc>
        <w:tc>
          <w:tcPr>
            <w:tcW w:w="6919" w:type="dxa"/>
            <w:tcBorders>
              <w:top w:val="single" w:sz="4" w:space="0" w:color="000000"/>
              <w:bottom w:val="single" w:sz="4" w:space="0" w:color="000000"/>
            </w:tcBorders>
            <w:vAlign w:val="top"/>
          </w:tcPr>
          <w:p>
            <w:pPr>
              <w:spacing w:before="219" w:line="214" w:lineRule="auto"/>
              <w:ind w:left="17" w:right="96" w:firstLine="20"/>
              <w:rPr>
                <w:rFonts w:ascii="STXihei" w:eastAsia="STXihei" w:hAnsi="STXihei" w:cs="STXihei"/>
                <w:sz w:val="21"/>
                <w:szCs w:val="21"/>
              </w:rPr>
            </w:pPr>
            <w:r>
              <w:rPr>
                <w:rFonts w:ascii="STXihei" w:eastAsia="STXihei" w:hAnsi="STXihei" w:cs="STXihei"/>
                <w:spacing w:val="5"/>
                <w:sz w:val="21"/>
                <w:szCs w:val="21"/>
              </w:rPr>
              <w:t>明确叫停“全额上网”小型地面分布式光伏电站项目备案工作，  表示需</w:t>
            </w:r>
            <w:r>
              <w:rPr>
                <w:rFonts w:ascii="STXihei" w:eastAsia="STXihei" w:hAnsi="STXihei" w:cs="STXihei"/>
                <w:spacing w:val="3"/>
                <w:sz w:val="21"/>
                <w:szCs w:val="21"/>
              </w:rPr>
              <w:t xml:space="preserve"> </w:t>
            </w:r>
            <w:r>
              <w:rPr>
                <w:rFonts w:ascii="STXihei" w:eastAsia="STXihei" w:hAnsi="STXihei" w:cs="STXihei"/>
                <w:spacing w:val="9"/>
                <w:sz w:val="21"/>
                <w:szCs w:val="21"/>
              </w:rPr>
              <w:t>将其统筹纳入全省建设方案并按管理权限由发展改革委备案后方可建设</w:t>
            </w:r>
          </w:p>
        </w:tc>
      </w:tr>
      <w:tr>
        <w:tblPrEx>
          <w:tblW w:w="8691" w:type="dxa"/>
          <w:tblInd w:w="0" w:type="dxa"/>
          <w:tblLayout w:type="fixed"/>
        </w:tblPrEx>
        <w:trPr>
          <w:trHeight w:val="442"/>
        </w:trPr>
        <w:tc>
          <w:tcPr>
            <w:tcW w:w="1772" w:type="dxa"/>
            <w:tcBorders>
              <w:top w:val="single" w:sz="4" w:space="0" w:color="000000"/>
              <w:bottom w:val="single" w:sz="4" w:space="0" w:color="000000"/>
            </w:tcBorders>
            <w:vAlign w:val="top"/>
          </w:tcPr>
          <w:p>
            <w:pPr>
              <w:spacing w:before="126" w:line="216" w:lineRule="auto"/>
              <w:ind w:left="41"/>
              <w:rPr>
                <w:rFonts w:ascii="STXihei" w:eastAsia="STXihei" w:hAnsi="STXihei" w:cs="STXihei"/>
                <w:sz w:val="21"/>
                <w:szCs w:val="21"/>
              </w:rPr>
            </w:pPr>
            <w:r>
              <w:rPr>
                <w:rFonts w:ascii="STXihei" w:eastAsia="STXihei" w:hAnsi="STXihei" w:cs="STXihei"/>
                <w:spacing w:val="3"/>
                <w:sz w:val="21"/>
                <w:szCs w:val="21"/>
              </w:rPr>
              <w:t>江西 2023/9/15</w:t>
            </w:r>
          </w:p>
        </w:tc>
        <w:tc>
          <w:tcPr>
            <w:tcW w:w="6919" w:type="dxa"/>
            <w:tcBorders>
              <w:top w:val="single" w:sz="4" w:space="0" w:color="000000"/>
              <w:bottom w:val="single" w:sz="4" w:space="0" w:color="000000"/>
            </w:tcBorders>
            <w:vAlign w:val="top"/>
          </w:tcPr>
          <w:p>
            <w:pPr>
              <w:spacing w:before="126" w:line="213" w:lineRule="auto"/>
              <w:jc w:val="right"/>
              <w:rPr>
                <w:rFonts w:ascii="STXihei" w:eastAsia="STXihei" w:hAnsi="STXihei" w:cs="STXihei"/>
                <w:sz w:val="21"/>
                <w:szCs w:val="21"/>
              </w:rPr>
            </w:pPr>
            <w:r>
              <w:rPr>
                <w:rFonts w:ascii="STXihei" w:eastAsia="STXihei" w:hAnsi="STXihei" w:cs="STXihei"/>
                <w:spacing w:val="5"/>
                <w:sz w:val="21"/>
                <w:szCs w:val="21"/>
              </w:rPr>
              <w:t>明确要求红色预警地区原则上暂停所有分布式电源并网，包括户用光伏。</w:t>
            </w:r>
          </w:p>
        </w:tc>
      </w:tr>
      <w:tr>
        <w:tblPrEx>
          <w:tblW w:w="8691" w:type="dxa"/>
          <w:tblInd w:w="0" w:type="dxa"/>
          <w:tblLayout w:type="fixed"/>
        </w:tblPrEx>
        <w:trPr>
          <w:trHeight w:val="909"/>
        </w:trPr>
        <w:tc>
          <w:tcPr>
            <w:tcW w:w="1772" w:type="dxa"/>
            <w:tcBorders>
              <w:top w:val="single" w:sz="4" w:space="0" w:color="000000"/>
              <w:bottom w:val="single" w:sz="4" w:space="0" w:color="000000"/>
            </w:tcBorders>
            <w:vAlign w:val="top"/>
          </w:tcPr>
          <w:p>
            <w:pPr>
              <w:pStyle w:val="TableText"/>
              <w:spacing w:line="277" w:lineRule="auto"/>
            </w:pPr>
          </w:p>
          <w:p>
            <w:pPr>
              <w:spacing w:before="74" w:line="215" w:lineRule="auto"/>
              <w:ind w:left="40"/>
              <w:rPr>
                <w:rFonts w:ascii="STXihei" w:eastAsia="STXihei" w:hAnsi="STXihei" w:cs="STXihei"/>
                <w:sz w:val="21"/>
                <w:szCs w:val="21"/>
              </w:rPr>
            </w:pPr>
            <w:r>
              <w:rPr>
                <w:rFonts w:ascii="STXihei" w:eastAsia="STXihei" w:hAnsi="STXihei" w:cs="STXihei"/>
                <w:spacing w:val="3"/>
                <w:sz w:val="21"/>
                <w:szCs w:val="21"/>
              </w:rPr>
              <w:t>湖南 2023/9/25</w:t>
            </w:r>
          </w:p>
        </w:tc>
        <w:tc>
          <w:tcPr>
            <w:tcW w:w="6919" w:type="dxa"/>
            <w:tcBorders>
              <w:top w:val="single" w:sz="4" w:space="0" w:color="000000"/>
              <w:bottom w:val="single" w:sz="4" w:space="0" w:color="000000"/>
            </w:tcBorders>
            <w:vAlign w:val="top"/>
          </w:tcPr>
          <w:p>
            <w:pPr>
              <w:spacing w:before="90" w:line="215" w:lineRule="auto"/>
              <w:ind w:left="16" w:right="96"/>
              <w:jc w:val="both"/>
              <w:rPr>
                <w:rFonts w:ascii="STXihei" w:eastAsia="STXihei" w:hAnsi="STXihei" w:cs="STXihei"/>
                <w:sz w:val="21"/>
                <w:szCs w:val="21"/>
              </w:rPr>
            </w:pPr>
            <w:r>
              <w:rPr>
                <w:rFonts w:ascii="STXihei" w:eastAsia="STXihei" w:hAnsi="STXihei" w:cs="STXihei"/>
                <w:spacing w:val="3"/>
                <w:sz w:val="21"/>
                <w:szCs w:val="21"/>
              </w:rPr>
              <w:t>在低压配网接网预警等级为红色的县（市、区</w:t>
            </w:r>
            <w:r>
              <w:rPr>
                <w:rFonts w:ascii="STXihei" w:eastAsia="STXihei" w:hAnsi="STXihei" w:cs="STXihei"/>
                <w:spacing w:val="8"/>
                <w:sz w:val="21"/>
                <w:szCs w:val="21"/>
              </w:rPr>
              <w:t>），</w:t>
            </w:r>
            <w:r>
              <w:rPr>
                <w:rFonts w:ascii="STXihei" w:eastAsia="STXihei" w:hAnsi="STXihei" w:cs="STXihei"/>
                <w:spacing w:val="11"/>
                <w:sz w:val="21"/>
                <w:szCs w:val="21"/>
              </w:rPr>
              <w:t xml:space="preserve">   </w:t>
            </w:r>
            <w:r>
              <w:rPr>
                <w:rFonts w:ascii="STXihei" w:eastAsia="STXihei" w:hAnsi="STXihei" w:cs="STXihei"/>
                <w:spacing w:val="3"/>
                <w:sz w:val="21"/>
                <w:szCs w:val="21"/>
              </w:rPr>
              <w:t>自公布之日起暂停分</w:t>
            </w:r>
            <w:r>
              <w:rPr>
                <w:rFonts w:ascii="STXihei" w:eastAsia="STXihei" w:hAnsi="STXihei" w:cs="STXihei"/>
                <w:spacing w:val="1"/>
                <w:sz w:val="21"/>
                <w:szCs w:val="21"/>
              </w:rPr>
              <w:t xml:space="preserve"> </w:t>
            </w:r>
            <w:r>
              <w:rPr>
                <w:rFonts w:ascii="STXihei" w:eastAsia="STXihei" w:hAnsi="STXihei" w:cs="STXihei"/>
                <w:spacing w:val="9"/>
                <w:sz w:val="21"/>
                <w:szCs w:val="21"/>
              </w:rPr>
              <w:t>布式光伏发电项目备案，待接网消纳能力改善、退出红色预警后重新开</w:t>
            </w:r>
            <w:r>
              <w:rPr>
                <w:rFonts w:ascii="STXihei" w:eastAsia="STXihei" w:hAnsi="STXihei" w:cs="STXihei"/>
                <w:spacing w:val="15"/>
                <w:w w:val="101"/>
                <w:sz w:val="21"/>
                <w:szCs w:val="21"/>
              </w:rPr>
              <w:t xml:space="preserve"> </w:t>
            </w:r>
            <w:r>
              <w:rPr>
                <w:rFonts w:ascii="STXihei" w:eastAsia="STXihei" w:hAnsi="STXihei" w:cs="STXihei"/>
                <w:spacing w:val="-5"/>
                <w:sz w:val="21"/>
                <w:szCs w:val="21"/>
              </w:rPr>
              <w:t>放。</w:t>
            </w:r>
          </w:p>
        </w:tc>
      </w:tr>
    </w:tbl>
    <w:p>
      <w:pPr>
        <w:spacing w:before="104" w:line="179" w:lineRule="auto"/>
        <w:ind w:left="767"/>
        <w:rPr>
          <w:rFonts w:ascii="STXihei" w:eastAsia="STXihei" w:hAnsi="STXihei" w:cs="STXihei"/>
          <w:sz w:val="21"/>
          <w:szCs w:val="21"/>
        </w:rPr>
      </w:pPr>
      <w:r>
        <w:rPr>
          <w:rFonts w:ascii="STXihei" w:eastAsia="STXihei" w:hAnsi="STXihei" w:cs="STXihei"/>
          <w:spacing w:val="-1"/>
          <w:sz w:val="21"/>
          <w:szCs w:val="21"/>
        </w:rPr>
        <w:t>资料来源：    光伏盒子，五矿证券研究所</w:t>
      </w:r>
    </w:p>
    <w:p>
      <w:pPr>
        <w:spacing w:line="14" w:lineRule="auto"/>
        <w:rPr>
          <w:rFonts w:ascii="Arial"/>
          <w:sz w:val="2"/>
        </w:rPr>
      </w:pPr>
      <w:r>
        <w:rPr>
          <w:rFonts w:ascii="Arial" w:eastAsia="Arial" w:hAnsi="Arial" w:cs="Arial"/>
          <w:sz w:val="2"/>
          <w:szCs w:val="2"/>
        </w:rPr>
        <w:br w:type="column"/>
      </w:r>
    </w:p>
    <w:p>
      <w:pPr>
        <w:spacing w:before="46" w:line="209" w:lineRule="auto"/>
        <w:ind w:left="173"/>
        <w:rPr>
          <w:rFonts w:ascii="STXihei" w:eastAsia="STXihei" w:hAnsi="STXihei" w:cs="STXihei"/>
          <w:sz w:val="24"/>
          <w:szCs w:val="24"/>
        </w:rPr>
      </w:pPr>
      <w:r>
        <w:rPr>
          <w:rFonts w:ascii="STXihei" w:eastAsia="STXihei" w:hAnsi="STXihei" w:cs="STXihei"/>
          <w:spacing w:val="1"/>
          <w:sz w:val="24"/>
          <w:szCs w:val="24"/>
        </w:rPr>
        <w:t>图表</w:t>
      </w:r>
      <w:r>
        <w:rPr>
          <w:rFonts w:ascii="Arial" w:eastAsia="Arial" w:hAnsi="Arial" w:cs="Arial"/>
          <w:spacing w:val="1"/>
          <w:sz w:val="24"/>
          <w:szCs w:val="24"/>
        </w:rPr>
        <w:t>7</w:t>
      </w:r>
      <w:r>
        <w:rPr>
          <w:rFonts w:ascii="STXihei" w:eastAsia="STXihei" w:hAnsi="STXihei" w:cs="STXihei"/>
          <w:spacing w:val="1"/>
          <w:sz w:val="24"/>
          <w:szCs w:val="24"/>
        </w:rPr>
        <w:t>：美、欧相继推出电网改造计划以加强新能源消纳</w:t>
      </w:r>
    </w:p>
    <w:p>
      <w:pPr>
        <w:spacing w:line="31" w:lineRule="exact"/>
      </w:pPr>
    </w:p>
    <w:tbl>
      <w:tblPr>
        <w:tblStyle w:val="TableNormal3"/>
        <w:tblW w:w="7697" w:type="dxa"/>
        <w:tblInd w:w="0" w:type="dxa"/>
        <w:tblBorders>
          <w:top w:val="nil"/>
          <w:left w:val="nil"/>
          <w:bottom w:val="nil"/>
          <w:right w:val="nil"/>
          <w:insideH w:val="nil"/>
          <w:insideV w:val="nil"/>
        </w:tblBorders>
        <w:tblLayout w:type="fixed"/>
      </w:tblPr>
      <w:tblGrid>
        <w:gridCol w:w="1255"/>
        <w:gridCol w:w="6442"/>
      </w:tblGrid>
      <w:tr>
        <w:tblPrEx>
          <w:tblW w:w="7697" w:type="dxa"/>
          <w:tblInd w:w="0" w:type="dxa"/>
          <w:tblBorders>
            <w:top w:val="nil"/>
            <w:left w:val="nil"/>
            <w:bottom w:val="nil"/>
            <w:right w:val="nil"/>
            <w:insideH w:val="nil"/>
            <w:insideV w:val="nil"/>
          </w:tblBorders>
          <w:tblLayout w:type="fixed"/>
        </w:tblPrEx>
        <w:trPr>
          <w:trHeight w:val="320"/>
        </w:trPr>
        <w:tc>
          <w:tcPr>
            <w:tcW w:w="1255" w:type="dxa"/>
            <w:tcBorders>
              <w:top w:val="single" w:sz="4" w:space="0" w:color="000000"/>
              <w:bottom w:val="single" w:sz="4" w:space="0" w:color="000000"/>
            </w:tcBorders>
            <w:shd w:val="clear" w:color="auto" w:fill="D9D9D9"/>
            <w:vAlign w:val="top"/>
          </w:tcPr>
          <w:p>
            <w:pPr>
              <w:spacing w:before="59" w:line="204" w:lineRule="auto"/>
              <w:ind w:left="305"/>
              <w:rPr>
                <w:rFonts w:ascii="STXihei" w:eastAsia="STXihei" w:hAnsi="STXihei" w:cs="STXihei"/>
                <w:sz w:val="21"/>
                <w:szCs w:val="21"/>
              </w:rPr>
            </w:pPr>
            <w:r>
              <w:rPr>
                <w:rFonts w:ascii="STXihei" w:eastAsia="STXihei" w:hAnsi="STXihei" w:cs="STXihei"/>
                <w:spacing w:val="7"/>
                <w:sz w:val="21"/>
                <w:szCs w:val="21"/>
                <w14:textOutline w14:w="3984">
                  <w14:solidFill>
                    <w14:srgbClr w14:val="000000"/>
                  </w14:solidFill>
                  <w14:prstDash w14:val="solid"/>
                  <w14:round/>
                </w14:textOutline>
              </w:rPr>
              <w:t>发布者</w:t>
            </w:r>
          </w:p>
        </w:tc>
        <w:tc>
          <w:tcPr>
            <w:tcW w:w="6442" w:type="dxa"/>
            <w:tcBorders>
              <w:top w:val="single" w:sz="4" w:space="0" w:color="000000"/>
              <w:bottom w:val="single" w:sz="4" w:space="0" w:color="000000"/>
            </w:tcBorders>
            <w:shd w:val="clear" w:color="auto" w:fill="D9D9D9"/>
            <w:vAlign w:val="top"/>
          </w:tcPr>
          <w:p>
            <w:pPr>
              <w:spacing w:before="59" w:line="204" w:lineRule="auto"/>
              <w:ind w:left="474"/>
              <w:rPr>
                <w:rFonts w:ascii="STXihei" w:eastAsia="STXihei" w:hAnsi="STXihei" w:cs="STXihei"/>
                <w:sz w:val="21"/>
                <w:szCs w:val="21"/>
              </w:rPr>
            </w:pPr>
            <w:r>
              <w:rPr>
                <w:rFonts w:ascii="STXihei" w:eastAsia="STXihei" w:hAnsi="STXihei" w:cs="STXihei"/>
                <w:spacing w:val="1"/>
                <w:sz w:val="21"/>
                <w:szCs w:val="21"/>
                <w14:textOutline w14:w="3984">
                  <w14:solidFill>
                    <w14:srgbClr w14:val="000000"/>
                  </w14:solidFill>
                  <w14:prstDash w14:val="solid"/>
                  <w14:round/>
                </w14:textOutline>
              </w:rPr>
              <w:t>时间</w:t>
            </w:r>
            <w:r>
              <w:rPr>
                <w:rFonts w:ascii="STXihei" w:eastAsia="STXihei" w:hAnsi="STXihei" w:cs="STXihei"/>
                <w:spacing w:val="1"/>
                <w:sz w:val="21"/>
                <w:szCs w:val="21"/>
              </w:rPr>
              <w:t xml:space="preserve">                      </w:t>
            </w:r>
            <w:r>
              <w:rPr>
                <w:rFonts w:ascii="STXihei" w:eastAsia="STXihei" w:hAnsi="STXihei" w:cs="STXihei"/>
                <w:sz w:val="21"/>
                <w:szCs w:val="21"/>
              </w:rPr>
              <w:t xml:space="preserve">                               </w:t>
            </w:r>
            <w:r>
              <w:rPr>
                <w:rFonts w:ascii="STXihei" w:eastAsia="STXihei" w:hAnsi="STXihei" w:cs="STXihei"/>
                <w:sz w:val="21"/>
                <w:szCs w:val="21"/>
                <w14:textOutline w14:w="3984">
                  <w14:solidFill>
                    <w14:srgbClr w14:val="000000"/>
                  </w14:solidFill>
                  <w14:prstDash w14:val="solid"/>
                  <w14:round/>
                </w14:textOutline>
              </w:rPr>
              <w:t>内容</w:t>
            </w:r>
          </w:p>
        </w:tc>
      </w:tr>
      <w:tr>
        <w:tblPrEx>
          <w:tblW w:w="7697" w:type="dxa"/>
          <w:tblInd w:w="0" w:type="dxa"/>
          <w:tblLayout w:type="fixed"/>
        </w:tblPrEx>
        <w:trPr>
          <w:trHeight w:val="1871"/>
        </w:trPr>
        <w:tc>
          <w:tcPr>
            <w:tcW w:w="1255" w:type="dxa"/>
            <w:tcBorders>
              <w:top w:val="single" w:sz="4" w:space="0" w:color="000000"/>
              <w:bottom w:val="single" w:sz="4" w:space="0" w:color="000000"/>
            </w:tcBorders>
            <w:vAlign w:val="top"/>
          </w:tcPr>
          <w:p>
            <w:pPr>
              <w:pStyle w:val="TableText"/>
              <w:spacing w:line="250" w:lineRule="auto"/>
            </w:pPr>
          </w:p>
          <w:p>
            <w:pPr>
              <w:pStyle w:val="TableText"/>
              <w:spacing w:line="250" w:lineRule="auto"/>
            </w:pPr>
          </w:p>
          <w:p>
            <w:pPr>
              <w:pStyle w:val="TableText"/>
              <w:spacing w:line="251" w:lineRule="auto"/>
            </w:pPr>
          </w:p>
          <w:p>
            <w:pPr>
              <w:spacing w:before="73" w:line="214" w:lineRule="auto"/>
              <w:ind w:left="95"/>
              <w:rPr>
                <w:rFonts w:ascii="STXihei" w:eastAsia="STXihei" w:hAnsi="STXihei" w:cs="STXihei"/>
                <w:sz w:val="21"/>
                <w:szCs w:val="21"/>
              </w:rPr>
            </w:pPr>
            <w:r>
              <w:rPr>
                <w:rFonts w:ascii="STXihei" w:eastAsia="STXihei" w:hAnsi="STXihei" w:cs="STXihei"/>
                <w:spacing w:val="6"/>
                <w:sz w:val="21"/>
                <w:szCs w:val="21"/>
              </w:rPr>
              <w:t>欧盟委员会</w:t>
            </w:r>
          </w:p>
        </w:tc>
        <w:tc>
          <w:tcPr>
            <w:tcW w:w="6442" w:type="dxa"/>
            <w:tcBorders>
              <w:top w:val="single" w:sz="4" w:space="0" w:color="000000"/>
              <w:bottom w:val="single" w:sz="4" w:space="0" w:color="000000"/>
            </w:tcBorders>
            <w:vAlign w:val="top"/>
          </w:tcPr>
          <w:p>
            <w:pPr>
              <w:spacing w:before="168" w:line="215" w:lineRule="auto"/>
              <w:ind w:left="1382" w:right="24" w:hanging="11"/>
              <w:rPr>
                <w:rFonts w:ascii="STXihei" w:eastAsia="STXihei" w:hAnsi="STXihei" w:cs="STXihei"/>
                <w:sz w:val="21"/>
                <w:szCs w:val="21"/>
              </w:rPr>
            </w:pPr>
            <w:r>
              <w:rPr>
                <w:rFonts w:ascii="STXihei" w:eastAsia="STXihei" w:hAnsi="STXihei" w:cs="STXihei"/>
                <w:spacing w:val="7"/>
                <w:sz w:val="21"/>
                <w:szCs w:val="21"/>
              </w:rPr>
              <w:t>欧盟委员会将制定一项5840亿欧元的计划</w:t>
            </w:r>
            <w:r>
              <w:rPr>
                <w:rFonts w:ascii="STXihei" w:eastAsia="STXihei" w:hAnsi="STXihei" w:cs="STXihei"/>
                <w:spacing w:val="6"/>
                <w:sz w:val="21"/>
                <w:szCs w:val="21"/>
              </w:rPr>
              <w:t xml:space="preserve">，对欧洲    </w:t>
            </w:r>
            <w:r>
              <w:rPr>
                <w:rFonts w:ascii="STXihei" w:eastAsia="STXihei" w:hAnsi="STXihei" w:cs="STXihei"/>
                <w:spacing w:val="4"/>
                <w:sz w:val="21"/>
                <w:szCs w:val="21"/>
              </w:rPr>
              <w:t>电网进行全面升级以应对更多的可再生能源接入，</w:t>
            </w:r>
            <w:r>
              <w:rPr>
                <w:rFonts w:ascii="STXihei" w:eastAsia="STXihei" w:hAnsi="STXihei" w:cs="STXihei"/>
                <w:spacing w:val="3"/>
                <w:sz w:val="21"/>
                <w:szCs w:val="21"/>
              </w:rPr>
              <w:t xml:space="preserve">  这</w:t>
            </w:r>
          </w:p>
          <w:p>
            <w:pPr>
              <w:spacing w:before="263" w:line="216" w:lineRule="auto"/>
              <w:ind w:left="1361" w:right="24" w:firstLine="5"/>
              <w:jc w:val="both"/>
              <w:rPr>
                <w:rFonts w:ascii="STXihei" w:eastAsia="STXihei" w:hAnsi="STXihei" w:cs="STXihei"/>
                <w:sz w:val="21"/>
                <w:szCs w:val="21"/>
              </w:rPr>
            </w:pPr>
            <w:r>
              <w:pict>
                <v:shape id="_x0000_s1074" type="#_x0000_t202" style="width:313.1pt;height:19.6pt;margin-top:-1.02pt;margin-left:8.8pt;position:absolute;z-index:251697152" filled="f" stroked="f">
                  <o:lock v:ext="edit" aspectratio="f"/>
                  <v:textbox inset="0,0,0,0">
                    <w:txbxContent>
                      <w:p>
                        <w:pPr>
                          <w:spacing w:before="20" w:line="175" w:lineRule="exact"/>
                          <w:ind w:left="20" w:right="20" w:firstLine="1171"/>
                          <w:rPr>
                            <w:rFonts w:ascii="STXihei" w:eastAsia="STXihei" w:hAnsi="STXihei" w:cs="STXihei"/>
                            <w:sz w:val="21"/>
                            <w:szCs w:val="21"/>
                          </w:rPr>
                        </w:pPr>
                        <w:r>
                          <w:rPr>
                            <w:rFonts w:ascii="STXihei" w:eastAsia="STXihei" w:hAnsi="STXihei" w:cs="STXihei"/>
                            <w:spacing w:val="9"/>
                            <w:position w:val="-3"/>
                            <w:sz w:val="21"/>
                            <w:szCs w:val="21"/>
                          </w:rPr>
                          <w:t>一投资计划旨在支持电动汽车科技和可再生能源的发</w:t>
                        </w:r>
                        <w:r>
                          <w:rPr>
                            <w:rFonts w:ascii="STXihei" w:eastAsia="STXihei" w:hAnsi="STXihei" w:cs="STXihei"/>
                            <w:spacing w:val="11"/>
                            <w:position w:val="-3"/>
                            <w:sz w:val="21"/>
                            <w:szCs w:val="21"/>
                          </w:rPr>
                          <w:t xml:space="preserve"> </w:t>
                        </w:r>
                        <w:r>
                          <w:rPr>
                            <w:rFonts w:ascii="STXihei" w:eastAsia="STXihei" w:hAnsi="STXihei" w:cs="STXihei"/>
                            <w:spacing w:val="4"/>
                            <w:position w:val="1"/>
                            <w:sz w:val="21"/>
                            <w:szCs w:val="21"/>
                          </w:rPr>
                          <w:t>2023/11/24</w:t>
                        </w:r>
                      </w:p>
                    </w:txbxContent>
                  </v:textbox>
                </v:shape>
              </w:pict>
            </w:r>
            <w:r>
              <w:rPr>
                <w:rFonts w:ascii="STXihei" w:eastAsia="STXihei" w:hAnsi="STXihei" w:cs="STXihei"/>
                <w:spacing w:val="9"/>
                <w:sz w:val="21"/>
                <w:szCs w:val="21"/>
              </w:rPr>
              <w:t>展，并实现能源的智能化管理。此外，分布式光伏发</w:t>
            </w:r>
            <w:r>
              <w:rPr>
                <w:rFonts w:ascii="STXihei" w:eastAsia="STXihei" w:hAnsi="STXihei" w:cs="STXihei"/>
                <w:spacing w:val="11"/>
                <w:sz w:val="21"/>
                <w:szCs w:val="21"/>
              </w:rPr>
              <w:t xml:space="preserve"> </w:t>
            </w:r>
            <w:r>
              <w:rPr>
                <w:rFonts w:ascii="STXihei" w:eastAsia="STXihei" w:hAnsi="STXihei" w:cs="STXihei"/>
                <w:spacing w:val="9"/>
                <w:sz w:val="21"/>
                <w:szCs w:val="21"/>
              </w:rPr>
              <w:t>电的规模化发展也需要建设坚强智能的配电网作为支</w:t>
            </w:r>
            <w:r>
              <w:rPr>
                <w:rFonts w:ascii="STXihei" w:eastAsia="STXihei" w:hAnsi="STXihei" w:cs="STXihei"/>
                <w:spacing w:val="17"/>
                <w:w w:val="101"/>
                <w:sz w:val="21"/>
                <w:szCs w:val="21"/>
              </w:rPr>
              <w:t xml:space="preserve"> </w:t>
            </w:r>
            <w:r>
              <w:rPr>
                <w:rFonts w:ascii="STXihei" w:eastAsia="STXihei" w:hAnsi="STXihei" w:cs="STXihei"/>
                <w:spacing w:val="-5"/>
                <w:sz w:val="21"/>
                <w:szCs w:val="21"/>
              </w:rPr>
              <w:t>撑。</w:t>
            </w:r>
          </w:p>
        </w:tc>
      </w:tr>
      <w:tr>
        <w:tblPrEx>
          <w:tblW w:w="7697" w:type="dxa"/>
          <w:tblInd w:w="0" w:type="dxa"/>
          <w:tblLayout w:type="fixed"/>
        </w:tblPrEx>
        <w:trPr>
          <w:trHeight w:val="3141"/>
        </w:trPr>
        <w:tc>
          <w:tcPr>
            <w:tcW w:w="1255" w:type="dxa"/>
            <w:tcBorders>
              <w:top w:val="single" w:sz="4" w:space="0" w:color="000000"/>
              <w:bottom w:val="single" w:sz="4" w:space="0" w:color="000000"/>
            </w:tcBorders>
            <w:vAlign w:val="top"/>
          </w:tcPr>
          <w:p>
            <w:pPr>
              <w:pStyle w:val="TableText"/>
              <w:spacing w:line="275" w:lineRule="auto"/>
            </w:pPr>
          </w:p>
          <w:p>
            <w:pPr>
              <w:pStyle w:val="TableText"/>
              <w:spacing w:line="276" w:lineRule="auto"/>
            </w:pPr>
          </w:p>
          <w:p>
            <w:pPr>
              <w:pStyle w:val="TableText"/>
              <w:spacing w:line="276" w:lineRule="auto"/>
            </w:pPr>
          </w:p>
          <w:p>
            <w:pPr>
              <w:pStyle w:val="TableText"/>
              <w:spacing w:line="276" w:lineRule="auto"/>
            </w:pPr>
          </w:p>
          <w:p>
            <w:pPr>
              <w:pStyle w:val="TableText"/>
              <w:spacing w:line="276" w:lineRule="auto"/>
            </w:pPr>
          </w:p>
          <w:p>
            <w:pPr>
              <w:spacing w:before="74" w:line="214" w:lineRule="auto"/>
              <w:ind w:left="94"/>
              <w:rPr>
                <w:rFonts w:ascii="STXihei" w:eastAsia="STXihei" w:hAnsi="STXihei" w:cs="STXihei"/>
                <w:sz w:val="21"/>
                <w:szCs w:val="21"/>
              </w:rPr>
            </w:pPr>
            <w:r>
              <w:rPr>
                <w:rFonts w:ascii="STXihei" w:eastAsia="STXihei" w:hAnsi="STXihei" w:cs="STXihei"/>
                <w:spacing w:val="6"/>
                <w:sz w:val="21"/>
                <w:szCs w:val="21"/>
              </w:rPr>
              <w:t>美国能源部</w:t>
            </w:r>
          </w:p>
        </w:tc>
        <w:tc>
          <w:tcPr>
            <w:tcW w:w="6442" w:type="dxa"/>
            <w:tcBorders>
              <w:top w:val="single" w:sz="4" w:space="0" w:color="000000"/>
              <w:bottom w:val="single" w:sz="4" w:space="0" w:color="000000"/>
            </w:tcBorders>
            <w:vAlign w:val="top"/>
          </w:tcPr>
          <w:p>
            <w:pPr>
              <w:spacing w:before="274" w:line="213" w:lineRule="auto"/>
              <w:ind w:left="1371"/>
              <w:rPr>
                <w:rFonts w:ascii="STXihei" w:eastAsia="STXihei" w:hAnsi="STXihei" w:cs="STXihei"/>
                <w:sz w:val="21"/>
                <w:szCs w:val="21"/>
              </w:rPr>
            </w:pPr>
            <w:r>
              <w:rPr>
                <w:rFonts w:ascii="STXihei" w:eastAsia="STXihei" w:hAnsi="STXihei" w:cs="STXihei"/>
                <w:spacing w:val="7"/>
                <w:sz w:val="21"/>
                <w:szCs w:val="21"/>
              </w:rPr>
              <w:t>美国能源部宣布将拨款近35亿美元支持58个项目，</w:t>
            </w:r>
          </w:p>
          <w:p>
            <w:pPr>
              <w:spacing w:line="215" w:lineRule="auto"/>
              <w:ind w:left="1360" w:right="7" w:firstLine="2"/>
              <w:rPr>
                <w:rFonts w:ascii="STXihei" w:eastAsia="STXihei" w:hAnsi="STXihei" w:cs="STXihei"/>
                <w:sz w:val="21"/>
                <w:szCs w:val="21"/>
              </w:rPr>
            </w:pPr>
            <w:r>
              <w:rPr>
                <w:rFonts w:ascii="STXihei" w:eastAsia="STXihei" w:hAnsi="STXihei" w:cs="STXihei"/>
                <w:spacing w:val="1"/>
                <w:sz w:val="21"/>
                <w:szCs w:val="21"/>
              </w:rPr>
              <w:t>提高美国全国电网可靠性。</w:t>
            </w:r>
            <w:r>
              <w:rPr>
                <w:rFonts w:ascii="STXihei" w:eastAsia="STXihei" w:hAnsi="STXihei" w:cs="STXihei"/>
                <w:spacing w:val="34"/>
                <w:sz w:val="21"/>
                <w:szCs w:val="21"/>
              </w:rPr>
              <w:t xml:space="preserve">  </w:t>
            </w:r>
            <w:r>
              <w:rPr>
                <w:rFonts w:ascii="STXihei" w:eastAsia="STXihei" w:hAnsi="STXihei" w:cs="STXihei"/>
                <w:sz w:val="21"/>
                <w:szCs w:val="21"/>
              </w:rPr>
              <w:t>GRIP</w:t>
            </w:r>
            <w:r>
              <w:rPr>
                <w:rFonts w:ascii="STXihei" w:eastAsia="STXihei" w:hAnsi="STXihei" w:cs="STXihei"/>
                <w:spacing w:val="1"/>
                <w:sz w:val="21"/>
                <w:szCs w:val="21"/>
              </w:rPr>
              <w:t xml:space="preserve">计划包括三种资助    </w:t>
            </w:r>
            <w:r>
              <w:rPr>
                <w:rFonts w:ascii="STXihei" w:eastAsia="STXihei" w:hAnsi="STXihei" w:cs="STXihei"/>
                <w:spacing w:val="9"/>
                <w:sz w:val="21"/>
                <w:szCs w:val="21"/>
              </w:rPr>
              <w:t>机制。增强电网韧性基金（25亿美元）旨在资助输配</w:t>
            </w:r>
            <w:r>
              <w:rPr>
                <w:rFonts w:ascii="STXihei" w:eastAsia="STXihei" w:hAnsi="STXihei" w:cs="STXihei"/>
                <w:spacing w:val="4"/>
                <w:sz w:val="21"/>
                <w:szCs w:val="21"/>
              </w:rPr>
              <w:t xml:space="preserve"> </w:t>
            </w:r>
            <w:r>
              <w:rPr>
                <w:rFonts w:ascii="STXihei" w:eastAsia="STXihei" w:hAnsi="STXihei" w:cs="STXihei"/>
                <w:spacing w:val="10"/>
                <w:sz w:val="21"/>
                <w:szCs w:val="21"/>
              </w:rPr>
              <w:t>电技术解决方案，减少极端天气和自然灾害</w:t>
            </w:r>
            <w:r>
              <w:rPr>
                <w:rFonts w:ascii="STXihei" w:eastAsia="STXihei" w:hAnsi="STXihei" w:cs="STXihei"/>
                <w:spacing w:val="9"/>
                <w:sz w:val="21"/>
                <w:szCs w:val="21"/>
              </w:rPr>
              <w:t>造成的影</w:t>
            </w:r>
          </w:p>
          <w:p>
            <w:pPr>
              <w:spacing w:before="267" w:line="213" w:lineRule="auto"/>
              <w:ind w:left="1367" w:right="8" w:hanging="2"/>
              <w:rPr>
                <w:rFonts w:ascii="STXihei" w:eastAsia="STXihei" w:hAnsi="STXihei" w:cs="STXihei"/>
                <w:sz w:val="22"/>
                <w:szCs w:val="22"/>
              </w:rPr>
            </w:pPr>
            <w:r>
              <w:pict>
                <v:shape id="_x0000_s1075" type="#_x0000_t202" style="width:313.9pt;height:19.6pt;margin-top:-0.83pt;margin-left:8.8pt;position:absolute;z-index:251698176" filled="f" stroked="f">
                  <o:lock v:ext="edit" aspectratio="f"/>
                  <v:textbox inset="0,0,0,0">
                    <w:txbxContent>
                      <w:p>
                        <w:pPr>
                          <w:spacing w:before="20" w:line="175" w:lineRule="exact"/>
                          <w:ind w:left="20" w:right="20" w:firstLine="1177"/>
                          <w:rPr>
                            <w:rFonts w:ascii="STXihei" w:eastAsia="STXihei" w:hAnsi="STXihei" w:cs="STXihei"/>
                            <w:sz w:val="21"/>
                            <w:szCs w:val="21"/>
                          </w:rPr>
                        </w:pPr>
                        <w:r>
                          <w:rPr>
                            <w:rFonts w:ascii="STXihei" w:eastAsia="STXihei" w:hAnsi="STXihei" w:cs="STXihei"/>
                            <w:spacing w:val="8"/>
                            <w:position w:val="-3"/>
                            <w:sz w:val="21"/>
                            <w:szCs w:val="21"/>
                          </w:rPr>
                          <w:t>响。智能电网基金（30亿美元）注重增加输电系统的</w:t>
                        </w:r>
                        <w:r>
                          <w:rPr>
                            <w:rFonts w:ascii="STXihei" w:eastAsia="STXihei" w:hAnsi="STXihei" w:cs="STXihei"/>
                            <w:spacing w:val="14"/>
                            <w:w w:val="101"/>
                            <w:position w:val="-3"/>
                            <w:sz w:val="21"/>
                            <w:szCs w:val="21"/>
                          </w:rPr>
                          <w:t xml:space="preserve"> </w:t>
                        </w:r>
                        <w:r>
                          <w:rPr>
                            <w:rFonts w:ascii="STXihei" w:eastAsia="STXihei" w:hAnsi="STXihei" w:cs="STXihei"/>
                            <w:spacing w:val="4"/>
                            <w:position w:val="1"/>
                            <w:sz w:val="21"/>
                            <w:szCs w:val="21"/>
                          </w:rPr>
                          <w:t>2023/10/18</w:t>
                        </w:r>
                      </w:p>
                    </w:txbxContent>
                  </v:textbox>
                </v:shape>
              </w:pict>
            </w:r>
            <w:r>
              <w:rPr>
                <w:rFonts w:ascii="STXihei" w:eastAsia="STXihei" w:hAnsi="STXihei" w:cs="STXihei"/>
                <w:spacing w:val="8"/>
                <w:sz w:val="21"/>
                <w:szCs w:val="21"/>
              </w:rPr>
              <w:t>容量，旨在增强电力系统的灵活性、效率和可靠性。</w:t>
            </w:r>
            <w:r>
              <w:rPr>
                <w:rFonts w:ascii="STXihei" w:eastAsia="STXihei" w:hAnsi="STXihei" w:cs="STXihei"/>
                <w:spacing w:val="2"/>
                <w:sz w:val="21"/>
                <w:szCs w:val="21"/>
              </w:rPr>
              <w:t xml:space="preserve">  </w:t>
            </w:r>
            <w:r>
              <w:rPr>
                <w:rFonts w:ascii="STXihei" w:eastAsia="STXihei" w:hAnsi="STXihei" w:cs="STXihei"/>
                <w:spacing w:val="9"/>
                <w:sz w:val="21"/>
                <w:szCs w:val="21"/>
              </w:rPr>
              <w:t>电网创新计划（50亿美元）将通过向州、</w:t>
            </w:r>
            <w:r>
              <w:rPr>
                <w:rFonts w:ascii="STXihei" w:eastAsia="STXihei" w:hAnsi="STXihei" w:cs="STXihei"/>
                <w:spacing w:val="8"/>
                <w:sz w:val="21"/>
                <w:szCs w:val="21"/>
              </w:rPr>
              <w:t>地方政府和</w:t>
            </w:r>
            <w:r>
              <w:rPr>
                <w:rFonts w:ascii="STXihei" w:eastAsia="STXihei" w:hAnsi="STXihei" w:cs="STXihei"/>
                <w:sz w:val="21"/>
                <w:szCs w:val="21"/>
              </w:rPr>
              <w:t xml:space="preserve"> </w:t>
            </w:r>
            <w:r>
              <w:rPr>
                <w:rFonts w:ascii="STXihei" w:eastAsia="STXihei" w:hAnsi="STXihei" w:cs="STXihei"/>
                <w:spacing w:val="9"/>
                <w:sz w:val="21"/>
                <w:szCs w:val="21"/>
              </w:rPr>
              <w:t>公用事业委员会等提供财政援助，与电力公司合作使</w:t>
            </w:r>
            <w:r>
              <w:rPr>
                <w:rFonts w:ascii="STXihei" w:eastAsia="STXihei" w:hAnsi="STXihei" w:cs="STXihei"/>
                <w:spacing w:val="10"/>
                <w:sz w:val="21"/>
                <w:szCs w:val="21"/>
              </w:rPr>
              <w:t xml:space="preserve"> </w:t>
            </w:r>
            <w:r>
              <w:rPr>
                <w:rFonts w:ascii="STXihei" w:eastAsia="STXihei" w:hAnsi="STXihei" w:cs="STXihei"/>
                <w:spacing w:val="9"/>
                <w:sz w:val="21"/>
                <w:szCs w:val="21"/>
              </w:rPr>
              <w:t>用创新方法建设输配电基础设施和储能项目，以增强</w:t>
            </w:r>
            <w:r>
              <w:rPr>
                <w:rFonts w:ascii="STXihei" w:eastAsia="STXihei" w:hAnsi="STXihei" w:cs="STXihei"/>
                <w:spacing w:val="10"/>
                <w:sz w:val="21"/>
                <w:szCs w:val="21"/>
              </w:rPr>
              <w:t xml:space="preserve"> </w:t>
            </w:r>
            <w:r>
              <w:rPr>
                <w:rFonts w:ascii="STXihei" w:eastAsia="STXihei" w:hAnsi="STXihei" w:cs="STXihei"/>
                <w:spacing w:val="-4"/>
                <w:sz w:val="22"/>
                <w:szCs w:val="22"/>
              </w:rPr>
              <w:t>电网的韧性和可靠性。</w:t>
            </w:r>
          </w:p>
        </w:tc>
      </w:tr>
    </w:tbl>
    <w:p>
      <w:pPr>
        <w:spacing w:before="105" w:line="179" w:lineRule="auto"/>
        <w:ind w:left="162"/>
        <w:rPr>
          <w:rFonts w:ascii="STXihei" w:eastAsia="STXihei" w:hAnsi="STXihei" w:cs="STXihei"/>
          <w:sz w:val="21"/>
          <w:szCs w:val="21"/>
        </w:rPr>
      </w:pPr>
      <w:r>
        <w:rPr>
          <w:rFonts w:ascii="STXihei" w:eastAsia="STXihei" w:hAnsi="STXihei" w:cs="STXihei"/>
          <w:spacing w:val="1"/>
          <w:sz w:val="21"/>
          <w:szCs w:val="21"/>
        </w:rPr>
        <w:t>资料来源：   欧委会，美国能源部，五矿证券研究所</w:t>
      </w:r>
    </w:p>
    <w:p>
      <w:pPr>
        <w:spacing w:line="179" w:lineRule="auto"/>
        <w:rPr>
          <w:rFonts w:ascii="STXihei" w:eastAsia="STXihei" w:hAnsi="STXihei" w:cs="STXihei"/>
          <w:sz w:val="21"/>
          <w:szCs w:val="21"/>
        </w:rPr>
        <w:sectPr>
          <w:headerReference w:type="default" r:id="rId53"/>
          <w:footerReference w:type="default" r:id="rId54"/>
          <w:type w:val="continuous"/>
          <w:pgSz w:w="19200" w:h="10800"/>
          <w:pgMar w:top="400" w:right="723" w:bottom="229" w:left="771" w:header="0" w:footer="0" w:gutter="0"/>
          <w:pgNumType w:start="21"/>
          <w:cols w:num="2" w:space="708" w:equalWidth="0">
            <w:col w:w="8948" w:space="100"/>
            <w:col w:w="8658" w:space="0"/>
          </w:cols>
        </w:sectPr>
      </w:pPr>
    </w:p>
    <w:p>
      <w:pPr>
        <w:spacing w:line="389"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https://d.book118.com/618014042017006031</w:t>
        </w:r>
      </w:hyperlink>
    </w:p>
    <w:p>
      <w:pPr>
        <w:spacing w:line="389" w:lineRule="auto"/>
        <w:rPr>
          <w:rFonts w:ascii="Arial"/>
          <w:sz w:val="21"/>
        </w:rPr>
      </w:pPr>
    </w:p>
    <w:sectPr>
      <w:headerReference w:type="default" r:id="rId56"/>
      <w:footerReference w:type="default" r:id="rId57"/>
      <w:type w:val="continuous"/>
      <w:pgSz w:w="19200" w:h="10800"/>
      <w:pgMar w:top="400" w:right="723" w:bottom="229" w:left="771" w:header="0" w:footer="0" w:gutter="0"/>
      <w:pgNumType w:start="22"/>
      <w:cols w:num="1" w:space="708" w:equalWidth="0">
        <w:col w:w="17706"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Arial" w:eastAsia="Arial" w:hAnsi="Arial" w:cs="Arial"/>
        <w:sz w:val="20"/>
        <w:szCs w:val="20"/>
      </w:rPr>
    </w:pPr>
    <w:r>
      <w:rPr>
        <w:rFonts w:ascii="Arial" w:eastAsia="Arial" w:hAnsi="Arial" w:cs="Arial"/>
        <w:color w:val="898989"/>
        <w:spacing w:val="-6"/>
        <w:sz w:val="20"/>
        <w:szCs w:val="20"/>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Arial" w:eastAsia="Arial" w:hAnsi="Arial" w:cs="Arial"/>
        <w:sz w:val="20"/>
        <w:szCs w:val="20"/>
      </w:rPr>
    </w:pPr>
    <w:r>
      <w:rPr>
        <w:rFonts w:ascii="Arial" w:eastAsia="Arial" w:hAnsi="Arial" w:cs="Arial"/>
        <w:color w:val="898989"/>
        <w:spacing w:val="-6"/>
        <w:sz w:val="20"/>
        <w:szCs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59264" behindDoc="1" locked="0" layoutInCell="0" allowOverlap="1">
              <wp:simplePos x="0" y="0"/>
              <wp:positionH relativeFrom="page">
                <wp:posOffset>275081</wp:posOffset>
              </wp:positionH>
              <wp:positionV relativeFrom="page">
                <wp:posOffset>229361</wp:posOffset>
              </wp:positionV>
              <wp:extent cx="11663680" cy="449580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275081" y="229361"/>
                        <a:ext cx="11663680" cy="4495800"/>
                      </a:xfrm>
                      <a:prstGeom prst="rect">
                        <a:avLst/>
                      </a:prstGeom>
                      <a:solidFill>
                        <a:srgbClr val="EEEEE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49" style="width:918.4pt;height:354pt;margin-top:18.06pt;margin-left:21.66pt;mso-position-horizontal-relative:page;mso-position-vertical-relative:page;mso-wrap-distance-bottom:0;mso-wrap-distance-left:0;mso-wrap-distance-right:0;mso-wrap-distance-top:0;position:absolute;v-text-anchor:top;z-index:-251658240" o:allowincell="f" fillcolor="#eee" stroked="f"/>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61312" behindDoc="1" locked="0" layoutInCell="0" allowOverlap="1">
              <wp:simplePos x="0" y="0"/>
              <wp:positionH relativeFrom="page">
                <wp:posOffset>275081</wp:posOffset>
              </wp:positionH>
              <wp:positionV relativeFrom="page">
                <wp:posOffset>229361</wp:posOffset>
              </wp:positionV>
              <wp:extent cx="11663680" cy="4495800"/>
              <wp:effectExtent l="0" t="0" r="0" b="0"/>
              <wp:wrapNone/>
              <wp:docPr id="1775396096" name="Rect 2"/>
              <wp:cNvGraphicFramePr/>
              <a:graphic xmlns:a="http://schemas.openxmlformats.org/drawingml/2006/main">
                <a:graphicData uri="http://schemas.microsoft.com/office/word/2010/wordprocessingShape">
                  <wps:wsp xmlns:wps="http://schemas.microsoft.com/office/word/2010/wordprocessingShape">
                    <wps:cNvSpPr/>
                    <wps:spPr>
                      <a:xfrm>
                        <a:off x="275081" y="229361"/>
                        <a:ext cx="11663680" cy="4495800"/>
                      </a:xfrm>
                      <a:prstGeom prst="rect">
                        <a:avLst/>
                      </a:prstGeom>
                      <a:solidFill>
                        <a:srgbClr val="EEEEE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0" style="width:918.4pt;height:354pt;margin-top:18.06pt;margin-left:21.66pt;mso-position-horizontal-relative:page;mso-position-vertical-relative:page;mso-wrap-distance-bottom:0;mso-wrap-distance-left:0;mso-wrap-distance-right:0;mso-wrap-distance-top:0;position:absolute;v-text-anchor:top;z-index:-251656192" o:allowincell="f" fillcolor="#eee" stroked="f"/>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63360" behindDoc="1" locked="0" layoutInCell="0" allowOverlap="1">
              <wp:simplePos x="0" y="0"/>
              <wp:positionH relativeFrom="page">
                <wp:posOffset>275081</wp:posOffset>
              </wp:positionH>
              <wp:positionV relativeFrom="page">
                <wp:posOffset>229361</wp:posOffset>
              </wp:positionV>
              <wp:extent cx="11663680" cy="4495800"/>
              <wp:effectExtent l="0" t="0" r="0" b="0"/>
              <wp:wrapNone/>
              <wp:docPr id="1522268119" name="Rect 2"/>
              <wp:cNvGraphicFramePr/>
              <a:graphic xmlns:a="http://schemas.openxmlformats.org/drawingml/2006/main">
                <a:graphicData uri="http://schemas.microsoft.com/office/word/2010/wordprocessingShape">
                  <wps:wsp xmlns:wps="http://schemas.microsoft.com/office/word/2010/wordprocessingShape">
                    <wps:cNvSpPr/>
                    <wps:spPr>
                      <a:xfrm>
                        <a:off x="275081" y="229361"/>
                        <a:ext cx="11663680" cy="4495800"/>
                      </a:xfrm>
                      <a:prstGeom prst="rect">
                        <a:avLst/>
                      </a:prstGeom>
                      <a:solidFill>
                        <a:srgbClr val="EEEEE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1" style="width:918.4pt;height:354pt;margin-top:18.06pt;margin-left:21.66pt;mso-position-horizontal-relative:page;mso-position-vertical-relative:page;mso-wrap-distance-bottom:0;mso-wrap-distance-left:0;mso-wrap-distance-right:0;mso-wrap-distance-top:0;position:absolute;v-text-anchor:top;z-index:-251654144" o:allowincell="f" fillcolor="#eee" stroked="f"/>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03" w:lineRule="auto"/>
      <w:rPr>
        <w:rFonts w:ascii="Arial"/>
        <w:sz w:val="21"/>
      </w:rPr>
    </w:pPr>
    <w:r>
      <w:pict>
        <v:shape id="_x0000_s2052" style="width:860.05pt;height:0.9pt;margin-top:55.97pt;margin-left:49.98pt;mso-position-horizontal-relative:page;mso-position-vertical-relative:page;position:absolute;z-index:251665408" coordorigin="0,0" coordsize="17200,17" o:allowincell="f" path="m,8l17200,8e" filled="f" strokecolor="#c41425" strokeweight="0.86pt"/>
      </w:pict>
    </w:r>
    <w:r>
      <w:drawing>
        <wp:anchor distT="0" distB="0" distL="0" distR="0" simplePos="0" relativeHeight="251664384"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367027" cy="524255"/>
                  </a:xfrm>
                  <a:prstGeom prst="rect">
                    <a:avLst/>
                  </a:prstGeom>
                </pic:spPr>
              </pic:pic>
            </a:graphicData>
          </a:graphic>
        </wp:anchor>
      </w:drawing>
    </w:r>
  </w:p>
  <w:p>
    <w:pPr>
      <w:pStyle w:val="BodyText"/>
      <w:spacing w:before="91" w:line="200" w:lineRule="auto"/>
      <w:ind w:left="15303"/>
      <w:rPr>
        <w:sz w:val="21"/>
        <w:szCs w:val="21"/>
      </w:rPr>
    </w:pP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03" w:lineRule="auto"/>
      <w:rPr>
        <w:rFonts w:ascii="Arial"/>
        <w:sz w:val="21"/>
      </w:rPr>
    </w:pPr>
    <w:r>
      <w:pict>
        <v:shape id="_x0000_s2053" style="width:860.05pt;height:0.9pt;margin-top:55.97pt;margin-left:49.98pt;mso-position-horizontal-relative:page;mso-position-vertical-relative:page;position:absolute;z-index:251667456" coordorigin="0,0" coordsize="17200,17" o:allowincell="f" path="m,8l17200,8e" filled="f" strokecolor="#c41425" strokeweight="0.86pt"/>
      </w:pict>
    </w:r>
    <w:r>
      <w:drawing>
        <wp:anchor distT="0" distB="0" distL="0" distR="0" simplePos="0" relativeHeight="251666432"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878192253" name="IM 8"/>
          <wp:cNvGraphicFramePr/>
          <a:graphic xmlns:a="http://schemas.openxmlformats.org/drawingml/2006/main">
            <a:graphicData uri="http://schemas.openxmlformats.org/drawingml/2006/picture">
              <pic:pic xmlns:pic="http://schemas.openxmlformats.org/drawingml/2006/picture">
                <pic:nvPicPr>
                  <pic:cNvPr id="878192253" name="IM 8"/>
                  <pic:cNvPicPr/>
                </pic:nvPicPr>
                <pic:blipFill>
                  <a:blip xmlns:r="http://schemas.openxmlformats.org/officeDocument/2006/relationships" r:embed="rId1"/>
                  <a:stretch>
                    <a:fillRect/>
                  </a:stretch>
                </pic:blipFill>
                <pic:spPr>
                  <a:xfrm>
                    <a:off x="0" y="0"/>
                    <a:ext cx="1367027" cy="524255"/>
                  </a:xfrm>
                  <a:prstGeom prst="rect">
                    <a:avLst/>
                  </a:prstGeom>
                </pic:spPr>
              </pic:pic>
            </a:graphicData>
          </a:graphic>
        </wp:anchor>
      </w:drawing>
    </w:r>
  </w:p>
  <w:p>
    <w:pPr>
      <w:pStyle w:val="BodyText"/>
      <w:spacing w:before="91" w:line="200" w:lineRule="auto"/>
      <w:ind w:left="15303"/>
      <w:rPr>
        <w:sz w:val="21"/>
        <w:szCs w:val="21"/>
      </w:rPr>
    </w:pP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03" w:lineRule="auto"/>
      <w:rPr>
        <w:rFonts w:ascii="Arial"/>
        <w:sz w:val="21"/>
      </w:rPr>
    </w:pPr>
    <w:r>
      <w:pict>
        <v:shape id="_x0000_s2054" style="width:860.05pt;height:0.9pt;margin-top:55.97pt;margin-left:49.98pt;mso-position-horizontal-relative:page;mso-position-vertical-relative:page;position:absolute;z-index:251669504" coordorigin="0,0" coordsize="17200,17" o:allowincell="f" path="m,8l17200,8e" filled="f" strokecolor="#c41425" strokeweight="0.86pt"/>
      </w:pict>
    </w:r>
    <w:r>
      <w:drawing>
        <wp:anchor distT="0" distB="0" distL="0" distR="0" simplePos="0" relativeHeight="251668480"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1610105312" name="IM 8"/>
          <wp:cNvGraphicFramePr/>
          <a:graphic xmlns:a="http://schemas.openxmlformats.org/drawingml/2006/main">
            <a:graphicData uri="http://schemas.openxmlformats.org/drawingml/2006/picture">
              <pic:pic xmlns:pic="http://schemas.openxmlformats.org/drawingml/2006/picture">
                <pic:nvPicPr>
                  <pic:cNvPr id="1610105312" name="IM 8"/>
                  <pic:cNvPicPr/>
                </pic:nvPicPr>
                <pic:blipFill>
                  <a:blip xmlns:r="http://schemas.openxmlformats.org/officeDocument/2006/relationships" r:embed="rId1"/>
                  <a:stretch>
                    <a:fillRect/>
                  </a:stretch>
                </pic:blipFill>
                <pic:spPr>
                  <a:xfrm>
                    <a:off x="0" y="0"/>
                    <a:ext cx="1367027" cy="524255"/>
                  </a:xfrm>
                  <a:prstGeom prst="rect">
                    <a:avLst/>
                  </a:prstGeom>
                </pic:spPr>
              </pic:pic>
            </a:graphicData>
          </a:graphic>
        </wp:anchor>
      </w:drawing>
    </w:r>
  </w:p>
  <w:p>
    <w:pPr>
      <w:pStyle w:val="BodyText"/>
      <w:spacing w:before="91" w:line="200" w:lineRule="auto"/>
      <w:ind w:left="15303"/>
      <w:rPr>
        <w:sz w:val="21"/>
        <w:szCs w:val="21"/>
      </w:rPr>
    </w:pP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03" w:lineRule="auto"/>
      <w:rPr>
        <w:rFonts w:ascii="Arial"/>
        <w:sz w:val="21"/>
      </w:rPr>
    </w:pPr>
    <w:r>
      <w:pict>
        <v:shape id="_x0000_s2055" style="width:860.05pt;height:0.9pt;margin-top:55.97pt;margin-left:49.98pt;mso-position-horizontal-relative:page;mso-position-vertical-relative:page;position:absolute;z-index:251671552" coordorigin="0,0" coordsize="17200,17" o:allowincell="f" path="m,8l17200,8e" filled="f" strokecolor="#c41425" strokeweight="0.86pt"/>
      </w:pict>
    </w:r>
    <w:r>
      <w:drawing>
        <wp:anchor distT="0" distB="0" distL="0" distR="0" simplePos="0" relativeHeight="251670528" behindDoc="0" locked="0" layoutInCell="0" allowOverlap="1">
          <wp:simplePos x="0" y="0"/>
          <wp:positionH relativeFrom="page">
            <wp:posOffset>630173</wp:posOffset>
          </wp:positionH>
          <wp:positionV relativeFrom="page">
            <wp:posOffset>173735</wp:posOffset>
          </wp:positionV>
          <wp:extent cx="1367027" cy="524255"/>
          <wp:effectExtent l="0" t="0" r="0" b="0"/>
          <wp:wrapNone/>
          <wp:docPr id="448228488" name="IM 8"/>
          <wp:cNvGraphicFramePr/>
          <a:graphic xmlns:a="http://schemas.openxmlformats.org/drawingml/2006/main">
            <a:graphicData uri="http://schemas.openxmlformats.org/drawingml/2006/picture">
              <pic:pic xmlns:pic="http://schemas.openxmlformats.org/drawingml/2006/picture">
                <pic:nvPicPr>
                  <pic:cNvPr id="448228488" name="IM 8"/>
                  <pic:cNvPicPr/>
                </pic:nvPicPr>
                <pic:blipFill>
                  <a:blip xmlns:r="http://schemas.openxmlformats.org/officeDocument/2006/relationships" r:embed="rId1"/>
                  <a:stretch>
                    <a:fillRect/>
                  </a:stretch>
                </pic:blipFill>
                <pic:spPr>
                  <a:xfrm>
                    <a:off x="0" y="0"/>
                    <a:ext cx="1367027" cy="524255"/>
                  </a:xfrm>
                  <a:prstGeom prst="rect">
                    <a:avLst/>
                  </a:prstGeom>
                </pic:spPr>
              </pic:pic>
            </a:graphicData>
          </a:graphic>
        </wp:anchor>
      </w:drawing>
    </w:r>
  </w:p>
  <w:p>
    <w:pPr>
      <w:pStyle w:val="BodyText"/>
      <w:spacing w:before="91" w:line="200" w:lineRule="auto"/>
      <w:ind w:left="15303"/>
      <w:rPr>
        <w:sz w:val="21"/>
        <w:szCs w:val="21"/>
      </w:rPr>
    </w:pPr>
    <w:r>
      <w:rPr>
        <w:color w:val="7F7F7F"/>
        <w:spacing w:val="7"/>
        <w:sz w:val="21"/>
        <w:szCs w:val="21"/>
      </w:rPr>
      <w:t>珍惜有限</w:t>
    </w:r>
    <w:r>
      <w:rPr>
        <w:color w:val="7F7F7F"/>
        <w:spacing w:val="4"/>
        <w:sz w:val="21"/>
        <w:szCs w:val="21"/>
      </w:rPr>
      <w:t xml:space="preserve">  </w:t>
    </w:r>
    <w:r>
      <w:rPr>
        <w:color w:val="7F7F7F"/>
        <w:spacing w:val="7"/>
        <w:sz w:val="21"/>
        <w:szCs w:val="21"/>
      </w:rPr>
      <w:t>创造无限</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rect id="_x0000_s2056" style="width:960pt;height:540pt;margin-top:0;margin-left:0;mso-position-horizontal-relative:page;mso-position-vertical-relative:page;position:absolute;z-index:251672576" o:allowincell="f" filled="t" fillcolor="#c00000" stroked="f"/>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48"/>
      <w:szCs w:val="4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5.xml" /><Relationship Id="rId12" Type="http://schemas.openxmlformats.org/officeDocument/2006/relationships/footer" Target="footer2.xml" /><Relationship Id="rId13" Type="http://schemas.openxmlformats.org/officeDocument/2006/relationships/header" Target="header6.xml" /><Relationship Id="rId14" Type="http://schemas.openxmlformats.org/officeDocument/2006/relationships/footer" Target="footer3.xml" /><Relationship Id="rId15" Type="http://schemas.openxmlformats.org/officeDocument/2006/relationships/header" Target="header7.xml" /><Relationship Id="rId16" Type="http://schemas.openxmlformats.org/officeDocument/2006/relationships/footer" Target="footer4.xml" /><Relationship Id="rId17" Type="http://schemas.openxmlformats.org/officeDocument/2006/relationships/image" Target="media/image4.png"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footer" Target="footer7.xml" /><Relationship Id="rId24" Type="http://schemas.openxmlformats.org/officeDocument/2006/relationships/header" Target="header11.xml" /><Relationship Id="rId25" Type="http://schemas.openxmlformats.org/officeDocument/2006/relationships/footer" Target="footer8.xml" /><Relationship Id="rId26" Type="http://schemas.openxmlformats.org/officeDocument/2006/relationships/header" Target="header12.xml" /><Relationship Id="rId27" Type="http://schemas.openxmlformats.org/officeDocument/2006/relationships/footer" Target="footer9.xml" /><Relationship Id="rId28" Type="http://schemas.openxmlformats.org/officeDocument/2006/relationships/image" Target="media/image3.jpe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5.png" /><Relationship Id="rId32" Type="http://schemas.openxmlformats.org/officeDocument/2006/relationships/image" Target="media/image6.jpeg" /><Relationship Id="rId33" Type="http://schemas.openxmlformats.org/officeDocument/2006/relationships/image" Target="media/image7.jpeg" /><Relationship Id="rId34" Type="http://schemas.openxmlformats.org/officeDocument/2006/relationships/image" Target="media/image8.jpeg" /><Relationship Id="rId35" Type="http://schemas.openxmlformats.org/officeDocument/2006/relationships/image" Target="media/image9.png" /><Relationship Id="rId36" Type="http://schemas.openxmlformats.org/officeDocument/2006/relationships/header" Target="header14.xml" /><Relationship Id="rId37" Type="http://schemas.openxmlformats.org/officeDocument/2006/relationships/footer" Target="footer11.xml" /><Relationship Id="rId38" Type="http://schemas.openxmlformats.org/officeDocument/2006/relationships/header" Target="header15.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image" Target="media/image10.jpeg" /><Relationship Id="rId41" Type="http://schemas.openxmlformats.org/officeDocument/2006/relationships/image" Target="media/image11.png" /><Relationship Id="rId42" Type="http://schemas.openxmlformats.org/officeDocument/2006/relationships/header" Target="header16.xml" /><Relationship Id="rId43" Type="http://schemas.openxmlformats.org/officeDocument/2006/relationships/footer" Target="footer13.xml" /><Relationship Id="rId44" Type="http://schemas.openxmlformats.org/officeDocument/2006/relationships/header" Target="header17.xml" /><Relationship Id="rId45" Type="http://schemas.openxmlformats.org/officeDocument/2006/relationships/footer" Target="footer14.xml" /><Relationship Id="rId46" Type="http://schemas.openxmlformats.org/officeDocument/2006/relationships/image" Target="media/image12.jpeg" /><Relationship Id="rId47" Type="http://schemas.openxmlformats.org/officeDocument/2006/relationships/header" Target="header18.xml" /><Relationship Id="rId48" Type="http://schemas.openxmlformats.org/officeDocument/2006/relationships/footer" Target="footer15.xml" /><Relationship Id="rId49" Type="http://schemas.openxmlformats.org/officeDocument/2006/relationships/header" Target="header19.xml" /><Relationship Id="rId5" Type="http://schemas.openxmlformats.org/officeDocument/2006/relationships/header" Target="header1.xml" /><Relationship Id="rId50" Type="http://schemas.openxmlformats.org/officeDocument/2006/relationships/footer" Target="footer16.xml" /><Relationship Id="rId51" Type="http://schemas.openxmlformats.org/officeDocument/2006/relationships/header" Target="header20.xml" /><Relationship Id="rId52" Type="http://schemas.openxmlformats.org/officeDocument/2006/relationships/footer" Target="footer17.xml" /><Relationship Id="rId53" Type="http://schemas.openxmlformats.org/officeDocument/2006/relationships/header" Target="header21.xml" /><Relationship Id="rId54" Type="http://schemas.openxmlformats.org/officeDocument/2006/relationships/footer" Target="footer18.xml" /><Relationship Id="rId55" Type="http://schemas.openxmlformats.org/officeDocument/2006/relationships/hyperlink" Target="https://d.book118.com/618014042017006031" TargetMode="External" /><Relationship Id="rId56" Type="http://schemas.openxmlformats.org/officeDocument/2006/relationships/header" Target="header22.xml" /><Relationship Id="rId57" Type="http://schemas.openxmlformats.org/officeDocument/2006/relationships/footer" Target="footer19.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header" Target="header2.xml" /><Relationship Id="rId7" Type="http://schemas.openxmlformats.org/officeDocument/2006/relationships/image" Target="media/image2.jpeg" /><Relationship Id="rId8" Type="http://schemas.openxmlformats.org/officeDocument/2006/relationships/header" Target="header3.xml" /><Relationship Id="rId9" Type="http://schemas.openxmlformats.org/officeDocument/2006/relationships/header" Target="header4.xml"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演示文稿</dc:title>
  <dc:creator>证券研究所</dc:creator>
  <cp:revision>0</cp:revision>
  <dcterms:created xsi:type="dcterms:W3CDTF">2024-01-25T09:20:29Z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2024-01-25T09:29:38Z</vt:filetime>
  </property>
  <property fmtid="{D5CDD505-2E9C-101B-9397-08002B2CF9AE}" pid="3" name="CRO">
    <vt:lpwstr>wqlLaW5nc29mdCBQREYgdG8gV1BTIDkw</vt:lpwstr>
  </property>
</Properties>
</file>