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embeddings/oleObject2.vsd" ContentType="application/vnd.visio"/>
  <Override PartName="/word/embeddings/oleObject3.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56" w:beforeLines="50" w:after="156" w:afterLines="50" w:line="360" w:lineRule="auto"/>
        <w:jc w:val="center"/>
        <w:outlineLvl w:val="0"/>
        <w:rPr>
          <w:b/>
          <w:sz w:val="32"/>
          <w:szCs w:val="32"/>
        </w:rPr>
      </w:pPr>
      <w:bookmarkStart w:id="0" w:name="_Toc393547587"/>
      <w:bookmarkStart w:id="1" w:name="_Toc386621639"/>
      <w:bookmarkStart w:id="2" w:name="_Toc14347164"/>
      <w:bookmarkStart w:id="3" w:name="_Toc354151335"/>
      <w:bookmarkStart w:id="4" w:name="_Toc374102636"/>
      <w:bookmarkStart w:id="5" w:name="_Toc354489518"/>
      <w:r>
        <w:rPr>
          <w:b/>
          <w:sz w:val="32"/>
          <w:szCs w:val="32"/>
        </w:rPr>
        <w:t>前言</w:t>
      </w:r>
      <w:bookmarkEnd w:id="0"/>
      <w:bookmarkEnd w:id="1"/>
      <w:bookmarkEnd w:id="2"/>
    </w:p>
    <w:p>
      <w:pPr>
        <w:adjustRightInd w:val="0"/>
        <w:snapToGrid w:val="0"/>
        <w:spacing w:line="360" w:lineRule="auto"/>
        <w:ind w:firstLine="560" w:firstLineChars="200"/>
        <w:jc w:val="left"/>
        <w:rPr>
          <w:sz w:val="28"/>
          <w:szCs w:val="28"/>
        </w:rPr>
      </w:pPr>
      <w:r>
        <w:rPr>
          <w:rFonts w:hint="eastAsia"/>
          <w:sz w:val="28"/>
          <w:szCs w:val="28"/>
          <w:lang w:eastAsia="zh-CN"/>
        </w:rPr>
        <w:t>XX家具有限公司</w:t>
      </w:r>
      <w:r>
        <w:rPr>
          <w:sz w:val="28"/>
          <w:szCs w:val="28"/>
        </w:rPr>
        <w:t>位于</w:t>
      </w:r>
      <w:r>
        <w:rPr>
          <w:rFonts w:hint="eastAsia"/>
          <w:sz w:val="28"/>
          <w:szCs w:val="28"/>
          <w:lang w:eastAsia="zh-CN"/>
        </w:rPr>
        <w:t>XX</w:t>
      </w:r>
      <w:r>
        <w:rPr>
          <w:sz w:val="28"/>
          <w:szCs w:val="28"/>
        </w:rPr>
        <w:t>省</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XXXX</w:t>
      </w:r>
      <w:r>
        <w:rPr>
          <w:sz w:val="28"/>
          <w:szCs w:val="28"/>
        </w:rPr>
        <w:t>66号，成立于2019年5月，主要经营办公家具、酒店家具、教学家具、实木复合家具、板式家具，公司因业务发展需要，在</w:t>
      </w:r>
      <w:r>
        <w:rPr>
          <w:rFonts w:hint="eastAsia"/>
          <w:sz w:val="28"/>
          <w:szCs w:val="28"/>
          <w:lang w:eastAsia="zh-CN"/>
        </w:rPr>
        <w:t>XX</w:t>
      </w:r>
      <w:r>
        <w:rPr>
          <w:sz w:val="28"/>
          <w:szCs w:val="28"/>
        </w:rPr>
        <w:t>省</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XXXX</w:t>
      </w:r>
      <w:r>
        <w:rPr>
          <w:sz w:val="28"/>
          <w:szCs w:val="28"/>
        </w:rPr>
        <w:t>66号投资1500万元，建设年产10万套木质家具生产线建设项目。</w:t>
      </w:r>
    </w:p>
    <w:p>
      <w:pPr>
        <w:adjustRightInd w:val="0"/>
        <w:snapToGrid w:val="0"/>
        <w:spacing w:line="360" w:lineRule="auto"/>
        <w:ind w:firstLine="560" w:firstLineChars="200"/>
        <w:jc w:val="left"/>
        <w:rPr>
          <w:sz w:val="28"/>
          <w:szCs w:val="28"/>
        </w:rPr>
      </w:pPr>
      <w:r>
        <w:rPr>
          <w:rFonts w:hAnsi="宋体" w:hint="eastAsia"/>
          <w:sz w:val="28"/>
          <w:szCs w:val="28"/>
          <w:lang w:eastAsia="zh-CN"/>
        </w:rPr>
        <w:t>XX家具有限公司</w:t>
      </w:r>
      <w:r>
        <w:rPr>
          <w:rFonts w:hAnsi="宋体" w:hint="eastAsia"/>
          <w:sz w:val="28"/>
          <w:szCs w:val="28"/>
        </w:rPr>
        <w:t>租用</w:t>
      </w:r>
      <w:r>
        <w:rPr>
          <w:rFonts w:hAnsi="宋体" w:hint="eastAsia"/>
          <w:sz w:val="28"/>
          <w:szCs w:val="28"/>
          <w:lang w:eastAsia="zh-CN"/>
        </w:rPr>
        <w:t>XX</w:t>
      </w:r>
      <w:r>
        <w:rPr>
          <w:rFonts w:hAnsi="宋体" w:hint="eastAsia"/>
          <w:sz w:val="28"/>
          <w:szCs w:val="28"/>
        </w:rPr>
        <w:t>镇</w:t>
      </w:r>
      <w:r>
        <w:rPr>
          <w:rFonts w:hAnsi="宋体" w:hint="eastAsia"/>
          <w:sz w:val="28"/>
          <w:szCs w:val="28"/>
          <w:lang w:eastAsia="zh-CN"/>
        </w:rPr>
        <w:t>XXXX</w:t>
      </w:r>
      <w:r>
        <w:rPr>
          <w:rFonts w:hAnsi="宋体"/>
          <w:sz w:val="28"/>
          <w:szCs w:val="28"/>
        </w:rPr>
        <w:t>66</w:t>
      </w:r>
      <w:r>
        <w:rPr>
          <w:rFonts w:hAnsi="宋体" w:hint="eastAsia"/>
          <w:sz w:val="28"/>
          <w:szCs w:val="28"/>
        </w:rPr>
        <w:t>号原工业用地厂房进行布置改造，总建设面积约</w:t>
      </w:r>
      <w:r>
        <w:rPr>
          <w:rFonts w:hAnsi="宋体"/>
          <w:sz w:val="28"/>
          <w:szCs w:val="28"/>
        </w:rPr>
        <w:t>12000</w:t>
      </w:r>
      <w:r>
        <w:rPr>
          <w:rFonts w:hAnsi="宋体" w:hint="eastAsia"/>
          <w:sz w:val="28"/>
          <w:szCs w:val="28"/>
        </w:rPr>
        <w:t>㎡，主要建设生产厂房约</w:t>
      </w:r>
      <w:r>
        <w:rPr>
          <w:rFonts w:hAnsi="宋体"/>
          <w:sz w:val="28"/>
          <w:szCs w:val="28"/>
        </w:rPr>
        <w:t>8000</w:t>
      </w:r>
      <w:r>
        <w:rPr>
          <w:rFonts w:hAnsi="宋体" w:hint="eastAsia"/>
          <w:sz w:val="28"/>
          <w:szCs w:val="28"/>
        </w:rPr>
        <w:t>㎡，原材料库和成品库共</w:t>
      </w:r>
      <w:r>
        <w:rPr>
          <w:rFonts w:hAnsi="宋体"/>
          <w:sz w:val="28"/>
          <w:szCs w:val="28"/>
        </w:rPr>
        <w:t>1000</w:t>
      </w:r>
      <w:r>
        <w:rPr>
          <w:rFonts w:hAnsi="宋体" w:hint="eastAsia"/>
          <w:sz w:val="28"/>
          <w:szCs w:val="28"/>
        </w:rPr>
        <w:t>㎡，办公用房及其他辅助用房约</w:t>
      </w:r>
      <w:r>
        <w:rPr>
          <w:rFonts w:hAnsi="宋体"/>
          <w:sz w:val="28"/>
          <w:szCs w:val="28"/>
        </w:rPr>
        <w:t>2000</w:t>
      </w:r>
      <w:r>
        <w:rPr>
          <w:rFonts w:hAnsi="宋体" w:hint="eastAsia"/>
          <w:sz w:val="28"/>
          <w:szCs w:val="28"/>
        </w:rPr>
        <w:t>㎡；购买安装设备</w:t>
      </w:r>
      <w:r>
        <w:rPr>
          <w:rFonts w:hAnsi="宋体"/>
          <w:sz w:val="28"/>
          <w:szCs w:val="28"/>
        </w:rPr>
        <w:t>30</w:t>
      </w:r>
      <w:r>
        <w:rPr>
          <w:rFonts w:hAnsi="宋体" w:hint="eastAsia"/>
          <w:sz w:val="28"/>
          <w:szCs w:val="28"/>
        </w:rPr>
        <w:t>台，主要设备有下料雕刻机、铣边机、开孔机、砂光机等。</w:t>
      </w:r>
    </w:p>
    <w:p>
      <w:pPr>
        <w:adjustRightInd w:val="0"/>
        <w:snapToGrid w:val="0"/>
        <w:spacing w:line="360" w:lineRule="auto"/>
        <w:ind w:firstLine="560" w:firstLineChars="200"/>
        <w:jc w:val="left"/>
        <w:rPr>
          <w:sz w:val="28"/>
          <w:szCs w:val="28"/>
        </w:rPr>
      </w:pPr>
      <w:r>
        <w:rPr>
          <w:rFonts w:hAnsi="宋体"/>
          <w:sz w:val="28"/>
          <w:szCs w:val="28"/>
        </w:rPr>
        <w:t>2019</w:t>
      </w:r>
      <w:r>
        <w:rPr>
          <w:rFonts w:hAnsi="宋体" w:hint="eastAsia"/>
          <w:sz w:val="28"/>
          <w:szCs w:val="28"/>
        </w:rPr>
        <w:t>年</w:t>
      </w:r>
      <w:r>
        <w:rPr>
          <w:rFonts w:hAnsi="宋体"/>
          <w:sz w:val="28"/>
          <w:szCs w:val="28"/>
        </w:rPr>
        <w:t>6</w:t>
      </w:r>
      <w:r>
        <w:rPr>
          <w:rFonts w:hAnsi="宋体" w:hint="eastAsia"/>
          <w:sz w:val="28"/>
          <w:szCs w:val="28"/>
        </w:rPr>
        <w:t>月</w:t>
      </w:r>
      <w:r>
        <w:rPr>
          <w:rFonts w:hAnsi="宋体"/>
          <w:sz w:val="28"/>
          <w:szCs w:val="28"/>
        </w:rPr>
        <w:t>14</w:t>
      </w:r>
      <w:r>
        <w:rPr>
          <w:rFonts w:hAnsi="宋体" w:hint="eastAsia"/>
          <w:sz w:val="28"/>
          <w:szCs w:val="28"/>
        </w:rPr>
        <w:t>日，</w:t>
      </w:r>
      <w:r>
        <w:rPr>
          <w:rFonts w:hAnsi="宋体" w:hint="eastAsia"/>
          <w:sz w:val="28"/>
          <w:szCs w:val="28"/>
          <w:lang w:eastAsia="zh-CN"/>
        </w:rPr>
        <w:t>XX家具有限公司</w:t>
      </w:r>
      <w:r>
        <w:rPr>
          <w:rFonts w:hAnsi="宋体" w:hint="eastAsia"/>
          <w:sz w:val="28"/>
          <w:szCs w:val="28"/>
        </w:rPr>
        <w:t>取得了由</w:t>
      </w:r>
      <w:r>
        <w:rPr>
          <w:rFonts w:hAnsi="宋体" w:hint="eastAsia"/>
          <w:sz w:val="28"/>
          <w:szCs w:val="28"/>
          <w:lang w:eastAsia="zh-CN"/>
        </w:rPr>
        <w:t>XX</w:t>
      </w:r>
      <w:r>
        <w:rPr>
          <w:rFonts w:hAnsi="宋体" w:hint="eastAsia"/>
          <w:sz w:val="28"/>
          <w:szCs w:val="28"/>
        </w:rPr>
        <w:t>县发展和改革局下发的《关于印发年产</w:t>
      </w:r>
      <w:r>
        <w:rPr>
          <w:rFonts w:hAnsi="宋体"/>
          <w:sz w:val="28"/>
          <w:szCs w:val="28"/>
        </w:rPr>
        <w:t>10</w:t>
      </w:r>
      <w:r>
        <w:rPr>
          <w:rFonts w:hAnsi="宋体" w:hint="eastAsia"/>
          <w:sz w:val="28"/>
          <w:szCs w:val="28"/>
        </w:rPr>
        <w:t>万套木质家具生产线建设项目备案确认书的通知》三发改投〖</w:t>
      </w:r>
      <w:r>
        <w:rPr>
          <w:rFonts w:hAnsi="宋体"/>
          <w:sz w:val="28"/>
          <w:szCs w:val="28"/>
        </w:rPr>
        <w:t>2019</w:t>
      </w:r>
      <w:r>
        <w:rPr>
          <w:rFonts w:hAnsi="宋体" w:hint="eastAsia"/>
          <w:sz w:val="28"/>
          <w:szCs w:val="28"/>
        </w:rPr>
        <w:t>〗</w:t>
      </w:r>
      <w:r>
        <w:rPr>
          <w:rFonts w:hAnsi="宋体"/>
          <w:sz w:val="28"/>
          <w:szCs w:val="28"/>
        </w:rPr>
        <w:t>148</w:t>
      </w:r>
      <w:r>
        <w:rPr>
          <w:rFonts w:hAnsi="宋体" w:hint="eastAsia"/>
          <w:sz w:val="28"/>
          <w:szCs w:val="28"/>
        </w:rPr>
        <w:t>号。</w:t>
      </w:r>
    </w:p>
    <w:p>
      <w:pPr>
        <w:pStyle w:val="BodyTextIndent"/>
        <w:adjustRightInd w:val="0"/>
        <w:snapToGrid w:val="0"/>
        <w:spacing w:line="348" w:lineRule="auto"/>
        <w:rPr>
          <w:szCs w:val="28"/>
        </w:rPr>
      </w:pPr>
      <w:r>
        <w:rPr>
          <w:szCs w:val="28"/>
        </w:rPr>
        <w:t>根据《中华人民共和国安全生产法》、《</w:t>
      </w:r>
      <w:r>
        <w:rPr>
          <w:rFonts w:hint="eastAsia"/>
          <w:szCs w:val="28"/>
          <w:lang w:eastAsia="zh-CN"/>
        </w:rPr>
        <w:t>XX</w:t>
      </w:r>
      <w:r>
        <w:rPr>
          <w:szCs w:val="28"/>
        </w:rPr>
        <w:t>省安全生产条例》、《建设项目安全设施“三同时”监督管理办法》（国家安全生产监督管理局第36号令）（2015修订）、《</w:t>
      </w:r>
      <w:r>
        <w:rPr>
          <w:rFonts w:hint="eastAsia"/>
          <w:szCs w:val="28"/>
          <w:lang w:eastAsia="zh-CN"/>
        </w:rPr>
        <w:t>XX</w:t>
      </w:r>
      <w:r>
        <w:rPr>
          <w:szCs w:val="28"/>
        </w:rPr>
        <w:t>省安全生产监督管理局关于公路水运轨道交通电力军工等行业建设项目安全设施“三同时”审查和安全评价等有关问题的补充通知》（陕安监[2016]110号）等法律、法规、规章和文件的要求，本项目必须在通过安全设施设计的审查后，方可进行施工、安装。为此，项目建设单位委托</w:t>
      </w:r>
      <w:r>
        <w:rPr>
          <w:rFonts w:hint="eastAsia"/>
          <w:szCs w:val="28"/>
          <w:lang w:eastAsia="zh-CN"/>
        </w:rPr>
        <w:t>XX</w:t>
      </w:r>
      <w:r>
        <w:rPr>
          <w:szCs w:val="28"/>
        </w:rPr>
        <w:t>宇泰建筑设计有限公司进行本项目的安全设施设计工作。</w:t>
      </w:r>
    </w:p>
    <w:p>
      <w:pPr>
        <w:pStyle w:val="BodyTextIndent"/>
        <w:adjustRightInd w:val="0"/>
        <w:snapToGrid w:val="0"/>
        <w:spacing w:line="348" w:lineRule="auto"/>
        <w:rPr>
          <w:szCs w:val="28"/>
        </w:rPr>
      </w:pPr>
      <w:r>
        <w:rPr>
          <w:rFonts w:hint="eastAsia"/>
          <w:szCs w:val="28"/>
          <w:lang w:eastAsia="zh-CN"/>
        </w:rPr>
        <w:t>XX</w:t>
      </w:r>
      <w:r>
        <w:rPr>
          <w:szCs w:val="28"/>
        </w:rPr>
        <w:t>宇泰建筑设计有限公司按照《</w:t>
      </w:r>
      <w:r>
        <w:rPr>
          <w:rFonts w:hint="eastAsia"/>
          <w:szCs w:val="28"/>
          <w:lang w:eastAsia="zh-CN"/>
        </w:rPr>
        <w:t>XX</w:t>
      </w:r>
      <w:r>
        <w:rPr>
          <w:szCs w:val="28"/>
        </w:rPr>
        <w:t>省安全生产监督管理局关于公路水运轨道交通电力军工等行业建设项目安全设施“三同时”审查和安全评价等有关问题的补充通知》（陕安监[2016]110号）以及相关设计规范的要求，对本项目进行安全设施设计，并编制《</w:t>
      </w:r>
      <w:r>
        <w:rPr>
          <w:rFonts w:hint="eastAsia"/>
          <w:szCs w:val="28"/>
          <w:lang w:eastAsia="zh-CN"/>
        </w:rPr>
        <w:t>XX家具有限公司</w:t>
      </w:r>
      <w:r>
        <w:rPr>
          <w:szCs w:val="28"/>
        </w:rPr>
        <w:t>年产10万套木质家具生产线建设项目安全设施设计》。</w:t>
      </w:r>
    </w:p>
    <w:p>
      <w:pPr>
        <w:pStyle w:val="BodyTextIndent"/>
        <w:adjustRightInd w:val="0"/>
        <w:snapToGrid w:val="0"/>
        <w:spacing w:line="348" w:lineRule="auto"/>
        <w:rPr>
          <w:szCs w:val="28"/>
        </w:rPr>
        <w:sectPr>
          <w:headerReference w:type="default" r:id="rId4"/>
          <w:footerReference w:type="default" r:id="rId5"/>
          <w:pgSz w:w="11906" w:h="16838"/>
          <w:pgMar w:top="1537" w:right="1418" w:bottom="1361" w:left="1474" w:header="1140" w:footer="975" w:gutter="0"/>
          <w:pgNumType w:fmt="upperRoman" w:start="1"/>
          <w:cols w:space="708"/>
          <w:docGrid w:type="lines" w:linePitch="312"/>
        </w:sectPr>
      </w:pPr>
      <w:r>
        <w:rPr>
          <w:szCs w:val="28"/>
        </w:rPr>
        <w:t>在安全设施设计工作过程中得到了</w:t>
      </w:r>
      <w:r>
        <w:rPr>
          <w:rFonts w:hint="eastAsia"/>
          <w:szCs w:val="28"/>
          <w:lang w:eastAsia="zh-CN"/>
        </w:rPr>
        <w:t>XX家具有限公司</w:t>
      </w:r>
    </w:p>
    <w:p>
      <w:pPr>
        <w:pStyle w:val="BodyTextIndent"/>
        <w:adjustRightInd w:val="0"/>
        <w:snapToGrid w:val="0"/>
        <w:spacing w:line="348" w:lineRule="auto"/>
        <w:rPr>
          <w:szCs w:val="28"/>
        </w:rPr>
      </w:pPr>
      <w:r>
        <w:rPr>
          <w:szCs w:val="28"/>
        </w:rPr>
        <w:t>领导和安全技术负责人等的大力支持，在此表示衷心的感谢。</w:t>
      </w:r>
    </w:p>
    <w:p>
      <w:pPr>
        <w:pStyle w:val="BodyTextIndent"/>
        <w:adjustRightInd w:val="0"/>
        <w:snapToGrid w:val="0"/>
        <w:spacing w:line="348" w:lineRule="auto"/>
        <w:jc w:val="center"/>
        <w:rPr>
          <w:szCs w:val="28"/>
        </w:rPr>
      </w:pPr>
    </w:p>
    <w:p>
      <w:pPr>
        <w:pStyle w:val="BodyTextIndent"/>
        <w:adjustRightInd w:val="0"/>
        <w:snapToGrid w:val="0"/>
        <w:spacing w:line="348" w:lineRule="auto"/>
        <w:jc w:val="center"/>
        <w:rPr>
          <w:szCs w:val="28"/>
        </w:rPr>
      </w:pPr>
      <w:r>
        <w:rPr>
          <w:rFonts w:hint="eastAsia"/>
          <w:szCs w:val="28"/>
          <w:lang w:eastAsia="zh-CN"/>
        </w:rPr>
        <w:t>XX</w:t>
      </w:r>
      <w:r>
        <w:rPr>
          <w:szCs w:val="28"/>
        </w:rPr>
        <w:t>宇泰建筑设计有限公司</w:t>
      </w:r>
    </w:p>
    <w:p>
      <w:pPr>
        <w:pStyle w:val="BodyTextIndent"/>
        <w:adjustRightInd w:val="0"/>
        <w:snapToGrid w:val="0"/>
        <w:spacing w:line="348" w:lineRule="auto"/>
        <w:jc w:val="center"/>
        <w:rPr>
          <w:szCs w:val="28"/>
        </w:rPr>
        <w:sectPr>
          <w:headerReference w:type="default" r:id="rId6"/>
          <w:footerReference w:type="default" r:id="rId7"/>
          <w:type w:val="nextPage"/>
          <w:pgSz w:w="11906" w:h="16838"/>
          <w:pgMar w:top="1537" w:right="1418" w:bottom="1361" w:left="1474" w:header="1140" w:footer="975" w:gutter="0"/>
          <w:pgNumType w:fmt="upperRoman" w:start="2"/>
          <w:cols w:space="708"/>
          <w:titlePg w:val="0"/>
          <w:docGrid w:type="lines" w:linePitch="312"/>
        </w:sectPr>
      </w:pPr>
      <w:r>
        <w:rPr>
          <w:szCs w:val="28"/>
        </w:rPr>
        <w:t>2019年</w:t>
      </w:r>
      <w:r>
        <w:rPr>
          <w:rFonts w:hint="eastAsia"/>
          <w:szCs w:val="28"/>
        </w:rPr>
        <w:t>12</w:t>
      </w:r>
      <w:r>
        <w:rPr>
          <w:szCs w:val="28"/>
        </w:rPr>
        <w:t>月</w:t>
      </w:r>
    </w:p>
    <w:p>
      <w:pPr>
        <w:pStyle w:val="BodyTextIndent"/>
        <w:adjustRightInd w:val="0"/>
        <w:snapToGrid w:val="0"/>
        <w:spacing w:line="500" w:lineRule="exact"/>
        <w:ind w:right="-170" w:firstLine="0" w:rightChars="-81" w:firstLineChars="0"/>
        <w:jc w:val="center"/>
        <w:rPr>
          <w:szCs w:val="28"/>
        </w:rPr>
      </w:pPr>
      <w:r>
        <w:rPr>
          <w:rFonts w:eastAsia="黑体"/>
          <w:b/>
          <w:sz w:val="32"/>
          <w:szCs w:val="32"/>
        </w:rPr>
        <w:t>目录</w:t>
      </w:r>
      <w:r>
        <w:rPr>
          <w:rFonts w:eastAsia="黑体"/>
          <w:b/>
          <w:szCs w:val="28"/>
        </w:rPr>
        <w:fldChar w:fldCharType="begin"/>
      </w:r>
      <w:r>
        <w:rPr>
          <w:rFonts w:eastAsia="黑体"/>
          <w:b/>
          <w:szCs w:val="28"/>
        </w:rPr>
        <w:instrText xml:space="preserve"> TOC \o "1-2" \h \z \u </w:instrText>
      </w:r>
      <w:r>
        <w:rPr>
          <w:rFonts w:eastAsia="黑体"/>
          <w:b/>
          <w:szCs w:val="28"/>
        </w:rPr>
        <w:fldChar w:fldCharType="separate"/>
      </w:r>
    </w:p>
    <w:p>
      <w:pPr>
        <w:pStyle w:val="TOC1"/>
        <w:tabs>
          <w:tab w:val="right" w:leader="dot" w:pos="9175"/>
        </w:tabs>
        <w:adjustRightInd w:val="0"/>
        <w:snapToGrid w:val="0"/>
        <w:spacing w:line="500" w:lineRule="exact"/>
        <w:rPr>
          <w:rFonts w:ascii="Times New Roman" w:hAnsi="Times New Roman"/>
          <w:lang w:val="en-US" w:eastAsia="zh-CN"/>
        </w:rPr>
      </w:pPr>
      <w:hyperlink w:anchor="_Toc14347164" w:history="1">
        <w:r>
          <w:rPr>
            <w:rStyle w:val="Hyperlink"/>
            <w:rFonts w:ascii="Times New Roman"/>
            <w:b/>
            <w:color w:val="auto"/>
          </w:rPr>
          <w:t>前言</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_Toc14347164 \h </w:instrText>
        </w:r>
        <w:r>
          <w:rPr>
            <w:rFonts w:ascii="Times New Roman" w:hAnsi="Times New Roman"/>
          </w:rPr>
          <w:fldChar w:fldCharType="separate"/>
        </w:r>
        <w:r>
          <w:rPr>
            <w:rFonts w:ascii="Times New Roman" w:hAnsi="Times New Roman"/>
          </w:rPr>
          <w:t>I</w:t>
        </w:r>
        <w:r>
          <w:rPr>
            <w:rFonts w:ascii="Times New Roman" w:hAnsi="Times New Roman"/>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165" w:history="1">
        <w:r>
          <w:rPr>
            <w:rStyle w:val="Hyperlink"/>
            <w:rFonts w:ascii="Times New Roman" w:eastAsia="黑体" w:hAnsi="Times New Roman"/>
            <w:color w:val="auto"/>
          </w:rPr>
          <w:t>1设计依据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_Toc14347165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166" w:history="1">
        <w:r>
          <w:rPr>
            <w:rStyle w:val="Hyperlink"/>
            <w:rFonts w:eastAsia="楷体"/>
            <w:color w:val="auto"/>
            <w:sz w:val="28"/>
            <w:szCs w:val="28"/>
          </w:rPr>
          <w:t>1.1国家法律</w:t>
        </w:r>
        <w:r>
          <w:rPr>
            <w:sz w:val="28"/>
            <w:szCs w:val="28"/>
          </w:rPr>
          <w:tab/>
        </w:r>
        <w:r>
          <w:rPr>
            <w:sz w:val="28"/>
            <w:szCs w:val="28"/>
          </w:rPr>
          <w:fldChar w:fldCharType="begin"/>
        </w:r>
        <w:r>
          <w:rPr>
            <w:sz w:val="28"/>
            <w:szCs w:val="28"/>
          </w:rPr>
          <w:instrText xml:space="preserve"> PAGEREF _Toc14347166 \h </w:instrText>
        </w:r>
        <w:r>
          <w:rPr>
            <w:sz w:val="28"/>
            <w:szCs w:val="28"/>
          </w:rPr>
          <w:fldChar w:fldCharType="separate"/>
        </w:r>
        <w:r>
          <w:rPr>
            <w:sz w:val="28"/>
            <w:szCs w:val="28"/>
          </w:rPr>
          <w:t>1</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67" w:history="1">
        <w:r>
          <w:rPr>
            <w:rStyle w:val="Hyperlink"/>
            <w:rFonts w:eastAsia="楷体"/>
            <w:color w:val="auto"/>
            <w:sz w:val="28"/>
            <w:szCs w:val="28"/>
          </w:rPr>
          <w:t>1.2国家行政法规</w:t>
        </w:r>
        <w:r>
          <w:rPr>
            <w:sz w:val="28"/>
            <w:szCs w:val="28"/>
          </w:rPr>
          <w:tab/>
        </w:r>
        <w:r>
          <w:rPr>
            <w:sz w:val="28"/>
            <w:szCs w:val="28"/>
          </w:rPr>
          <w:fldChar w:fldCharType="begin"/>
        </w:r>
        <w:r>
          <w:rPr>
            <w:sz w:val="28"/>
            <w:szCs w:val="28"/>
          </w:rPr>
          <w:instrText xml:space="preserve"> PAGEREF _Toc14347167 \h </w:instrText>
        </w:r>
        <w:r>
          <w:rPr>
            <w:sz w:val="28"/>
            <w:szCs w:val="28"/>
          </w:rPr>
          <w:fldChar w:fldCharType="separate"/>
        </w:r>
        <w:r>
          <w:rPr>
            <w:sz w:val="28"/>
            <w:szCs w:val="28"/>
          </w:rPr>
          <w:t>1</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68" w:history="1">
        <w:r>
          <w:rPr>
            <w:rStyle w:val="Hyperlink"/>
            <w:rFonts w:eastAsia="楷体"/>
            <w:color w:val="auto"/>
            <w:sz w:val="28"/>
            <w:szCs w:val="28"/>
          </w:rPr>
          <w:t>1.3地方法规</w:t>
        </w:r>
        <w:r>
          <w:rPr>
            <w:sz w:val="28"/>
            <w:szCs w:val="28"/>
          </w:rPr>
          <w:tab/>
        </w:r>
        <w:r>
          <w:rPr>
            <w:sz w:val="28"/>
            <w:szCs w:val="28"/>
          </w:rPr>
          <w:fldChar w:fldCharType="begin"/>
        </w:r>
        <w:r>
          <w:rPr>
            <w:sz w:val="28"/>
            <w:szCs w:val="28"/>
          </w:rPr>
          <w:instrText xml:space="preserve"> PAGEREF _Toc14347168 \h </w:instrText>
        </w:r>
        <w:r>
          <w:rPr>
            <w:sz w:val="28"/>
            <w:szCs w:val="28"/>
          </w:rPr>
          <w:fldChar w:fldCharType="separate"/>
        </w:r>
        <w:r>
          <w:rPr>
            <w:sz w:val="28"/>
            <w:szCs w:val="28"/>
          </w:rPr>
          <w:t>2</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69" w:history="1">
        <w:r>
          <w:rPr>
            <w:rStyle w:val="Hyperlink"/>
            <w:rFonts w:eastAsia="楷体"/>
            <w:color w:val="auto"/>
            <w:sz w:val="28"/>
            <w:szCs w:val="28"/>
          </w:rPr>
          <w:t>1.4政府部门规章和规范性文件</w:t>
        </w:r>
        <w:r>
          <w:rPr>
            <w:sz w:val="28"/>
            <w:szCs w:val="28"/>
          </w:rPr>
          <w:tab/>
        </w:r>
        <w:r>
          <w:rPr>
            <w:sz w:val="28"/>
            <w:szCs w:val="28"/>
          </w:rPr>
          <w:fldChar w:fldCharType="begin"/>
        </w:r>
        <w:r>
          <w:rPr>
            <w:sz w:val="28"/>
            <w:szCs w:val="28"/>
          </w:rPr>
          <w:instrText xml:space="preserve"> PAGEREF _Toc14347169 \h </w:instrText>
        </w:r>
        <w:r>
          <w:rPr>
            <w:sz w:val="28"/>
            <w:szCs w:val="28"/>
          </w:rPr>
          <w:fldChar w:fldCharType="separate"/>
        </w:r>
        <w:r>
          <w:rPr>
            <w:sz w:val="28"/>
            <w:szCs w:val="28"/>
          </w:rPr>
          <w:t>3</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70" w:history="1">
        <w:r>
          <w:rPr>
            <w:rStyle w:val="Hyperlink"/>
            <w:rFonts w:eastAsia="楷体"/>
            <w:color w:val="auto"/>
            <w:sz w:val="28"/>
            <w:szCs w:val="28"/>
          </w:rPr>
          <w:t>1.5国家标准</w:t>
        </w:r>
        <w:r>
          <w:rPr>
            <w:sz w:val="28"/>
            <w:szCs w:val="28"/>
          </w:rPr>
          <w:tab/>
        </w:r>
        <w:r>
          <w:rPr>
            <w:sz w:val="28"/>
            <w:szCs w:val="28"/>
          </w:rPr>
          <w:fldChar w:fldCharType="begin"/>
        </w:r>
        <w:r>
          <w:rPr>
            <w:sz w:val="28"/>
            <w:szCs w:val="28"/>
          </w:rPr>
          <w:instrText xml:space="preserve"> PAGEREF _Toc14347170 \h </w:instrText>
        </w:r>
        <w:r>
          <w:rPr>
            <w:sz w:val="28"/>
            <w:szCs w:val="28"/>
          </w:rPr>
          <w:fldChar w:fldCharType="separate"/>
        </w:r>
        <w:r>
          <w:rPr>
            <w:sz w:val="28"/>
            <w:szCs w:val="28"/>
          </w:rPr>
          <w:t>4</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71" w:history="1">
        <w:r>
          <w:rPr>
            <w:rStyle w:val="Hyperlink"/>
            <w:rFonts w:eastAsia="楷体"/>
            <w:color w:val="auto"/>
            <w:sz w:val="28"/>
            <w:szCs w:val="28"/>
          </w:rPr>
          <w:t>1.6建设项目主要技术资料</w:t>
        </w:r>
        <w:r>
          <w:rPr>
            <w:sz w:val="28"/>
            <w:szCs w:val="28"/>
          </w:rPr>
          <w:tab/>
        </w:r>
        <w:r>
          <w:rPr>
            <w:sz w:val="28"/>
            <w:szCs w:val="28"/>
          </w:rPr>
          <w:fldChar w:fldCharType="begin"/>
        </w:r>
        <w:r>
          <w:rPr>
            <w:sz w:val="28"/>
            <w:szCs w:val="28"/>
          </w:rPr>
          <w:instrText xml:space="preserve"> PAGEREF _Toc14347171 \h </w:instrText>
        </w:r>
        <w:r>
          <w:rPr>
            <w:sz w:val="28"/>
            <w:szCs w:val="28"/>
          </w:rPr>
          <w:fldChar w:fldCharType="separate"/>
        </w:r>
        <w:r>
          <w:rPr>
            <w:sz w:val="28"/>
            <w:szCs w:val="28"/>
          </w:rPr>
          <w:t>6</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172" w:history="1">
        <w:r>
          <w:rPr>
            <w:rStyle w:val="Hyperlink"/>
            <w:rFonts w:ascii="Times New Roman" w:eastAsia="黑体" w:hAnsi="Times New Roman"/>
            <w:color w:val="auto"/>
          </w:rPr>
          <w:t>2建设项目概况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_Toc14347172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173" w:history="1">
        <w:r>
          <w:rPr>
            <w:rStyle w:val="Hyperlink"/>
            <w:rFonts w:eastAsia="楷体"/>
            <w:color w:val="auto"/>
            <w:sz w:val="28"/>
            <w:szCs w:val="28"/>
          </w:rPr>
          <w:t>2.1项目地理位置和周边环境</w:t>
        </w:r>
        <w:r>
          <w:rPr>
            <w:sz w:val="28"/>
            <w:szCs w:val="28"/>
          </w:rPr>
          <w:tab/>
        </w:r>
        <w:r>
          <w:rPr>
            <w:sz w:val="28"/>
            <w:szCs w:val="28"/>
          </w:rPr>
          <w:fldChar w:fldCharType="begin"/>
        </w:r>
        <w:r>
          <w:rPr>
            <w:sz w:val="28"/>
            <w:szCs w:val="28"/>
          </w:rPr>
          <w:instrText xml:space="preserve"> PAGEREF _Toc14347173 \h </w:instrText>
        </w:r>
        <w:r>
          <w:rPr>
            <w:sz w:val="28"/>
            <w:szCs w:val="28"/>
          </w:rPr>
          <w:fldChar w:fldCharType="separate"/>
        </w:r>
        <w:r>
          <w:rPr>
            <w:sz w:val="28"/>
            <w:szCs w:val="28"/>
          </w:rPr>
          <w:t>7</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74" w:history="1">
        <w:r>
          <w:rPr>
            <w:rStyle w:val="Hyperlink"/>
            <w:rFonts w:eastAsia="楷体"/>
            <w:color w:val="auto"/>
            <w:sz w:val="28"/>
            <w:szCs w:val="28"/>
          </w:rPr>
          <w:t>2.2项目所在地自然条件</w:t>
        </w:r>
        <w:r>
          <w:rPr>
            <w:sz w:val="28"/>
            <w:szCs w:val="28"/>
          </w:rPr>
          <w:tab/>
        </w:r>
        <w:r>
          <w:rPr>
            <w:sz w:val="28"/>
            <w:szCs w:val="28"/>
          </w:rPr>
          <w:fldChar w:fldCharType="begin"/>
        </w:r>
        <w:r>
          <w:rPr>
            <w:sz w:val="28"/>
            <w:szCs w:val="28"/>
          </w:rPr>
          <w:instrText xml:space="preserve"> PAGEREF _Toc14347174 \h </w:instrText>
        </w:r>
        <w:r>
          <w:rPr>
            <w:sz w:val="28"/>
            <w:szCs w:val="28"/>
          </w:rPr>
          <w:fldChar w:fldCharType="separate"/>
        </w:r>
        <w:r>
          <w:rPr>
            <w:sz w:val="28"/>
            <w:szCs w:val="28"/>
          </w:rPr>
          <w:t>8</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75" w:history="1">
        <w:r>
          <w:rPr>
            <w:rStyle w:val="Hyperlink"/>
            <w:rFonts w:eastAsia="楷体"/>
            <w:color w:val="auto"/>
            <w:sz w:val="28"/>
            <w:szCs w:val="28"/>
          </w:rPr>
          <w:t>2.3工程性质及设计内容</w:t>
        </w:r>
        <w:r>
          <w:rPr>
            <w:sz w:val="28"/>
            <w:szCs w:val="28"/>
          </w:rPr>
          <w:tab/>
        </w:r>
        <w:r>
          <w:rPr>
            <w:sz w:val="28"/>
            <w:szCs w:val="28"/>
          </w:rPr>
          <w:fldChar w:fldCharType="begin"/>
        </w:r>
        <w:r>
          <w:rPr>
            <w:sz w:val="28"/>
            <w:szCs w:val="28"/>
          </w:rPr>
          <w:instrText xml:space="preserve"> PAGEREF _Toc14347175 \h </w:instrText>
        </w:r>
        <w:r>
          <w:rPr>
            <w:sz w:val="28"/>
            <w:szCs w:val="28"/>
          </w:rPr>
          <w:fldChar w:fldCharType="separate"/>
        </w:r>
        <w:r>
          <w:rPr>
            <w:sz w:val="28"/>
            <w:szCs w:val="28"/>
          </w:rPr>
          <w:t>10</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76" w:history="1">
        <w:r>
          <w:rPr>
            <w:rStyle w:val="Hyperlink"/>
            <w:rFonts w:eastAsia="楷体"/>
            <w:color w:val="auto"/>
            <w:sz w:val="28"/>
            <w:szCs w:val="28"/>
          </w:rPr>
          <w:t>2.4项目基本概况</w:t>
        </w:r>
        <w:r>
          <w:rPr>
            <w:sz w:val="28"/>
            <w:szCs w:val="28"/>
          </w:rPr>
          <w:tab/>
        </w:r>
        <w:r>
          <w:rPr>
            <w:sz w:val="28"/>
            <w:szCs w:val="28"/>
          </w:rPr>
          <w:fldChar w:fldCharType="begin"/>
        </w:r>
        <w:r>
          <w:rPr>
            <w:sz w:val="28"/>
            <w:szCs w:val="28"/>
          </w:rPr>
          <w:instrText xml:space="preserve"> PAGEREF _Toc14347176 \h </w:instrText>
        </w:r>
        <w:r>
          <w:rPr>
            <w:sz w:val="28"/>
            <w:szCs w:val="28"/>
          </w:rPr>
          <w:fldChar w:fldCharType="separate"/>
        </w:r>
        <w:r>
          <w:rPr>
            <w:sz w:val="28"/>
            <w:szCs w:val="28"/>
          </w:rPr>
          <w:t>12</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77" w:history="1">
        <w:r>
          <w:rPr>
            <w:rStyle w:val="Hyperlink"/>
            <w:rFonts w:eastAsia="楷体"/>
            <w:color w:val="auto"/>
            <w:sz w:val="28"/>
            <w:szCs w:val="28"/>
          </w:rPr>
          <w:t>2.5生产工艺及设备</w:t>
        </w:r>
        <w:r>
          <w:rPr>
            <w:sz w:val="28"/>
            <w:szCs w:val="28"/>
          </w:rPr>
          <w:tab/>
        </w:r>
        <w:r>
          <w:rPr>
            <w:sz w:val="28"/>
            <w:szCs w:val="28"/>
          </w:rPr>
          <w:fldChar w:fldCharType="begin"/>
        </w:r>
        <w:r>
          <w:rPr>
            <w:sz w:val="28"/>
            <w:szCs w:val="28"/>
          </w:rPr>
          <w:instrText xml:space="preserve"> PAGEREF _Toc14347177 \h </w:instrText>
        </w:r>
        <w:r>
          <w:rPr>
            <w:sz w:val="28"/>
            <w:szCs w:val="28"/>
          </w:rPr>
          <w:fldChar w:fldCharType="separate"/>
        </w:r>
        <w:r>
          <w:rPr>
            <w:sz w:val="28"/>
            <w:szCs w:val="28"/>
          </w:rPr>
          <w:t>16</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78" w:history="1">
        <w:r>
          <w:rPr>
            <w:rStyle w:val="Hyperlink"/>
            <w:rFonts w:eastAsia="楷体"/>
            <w:color w:val="auto"/>
            <w:sz w:val="28"/>
            <w:szCs w:val="28"/>
          </w:rPr>
          <w:t>2.6建筑与结构</w:t>
        </w:r>
        <w:r>
          <w:rPr>
            <w:sz w:val="28"/>
            <w:szCs w:val="28"/>
          </w:rPr>
          <w:tab/>
        </w:r>
        <w:r>
          <w:rPr>
            <w:sz w:val="28"/>
            <w:szCs w:val="28"/>
          </w:rPr>
          <w:fldChar w:fldCharType="begin"/>
        </w:r>
        <w:r>
          <w:rPr>
            <w:sz w:val="28"/>
            <w:szCs w:val="28"/>
          </w:rPr>
          <w:instrText xml:space="preserve"> PAGEREF _Toc14347178 \h </w:instrText>
        </w:r>
        <w:r>
          <w:rPr>
            <w:sz w:val="28"/>
            <w:szCs w:val="28"/>
          </w:rPr>
          <w:fldChar w:fldCharType="separate"/>
        </w:r>
        <w:r>
          <w:rPr>
            <w:sz w:val="28"/>
            <w:szCs w:val="28"/>
          </w:rPr>
          <w:t>21</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179" w:history="1">
        <w:r>
          <w:rPr>
            <w:rStyle w:val="Hyperlink"/>
            <w:rFonts w:ascii="Times New Roman" w:eastAsia="黑体" w:hAnsi="Times New Roman"/>
            <w:color w:val="auto"/>
          </w:rPr>
          <w:t>3建设项目危险源及危险和有害因素分析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_Toc14347179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hyperlink>
    </w:p>
    <w:p>
      <w:pPr>
        <w:pStyle w:val="TOC2"/>
        <w:tabs>
          <w:tab w:val="right" w:leader="dot" w:pos="9214"/>
        </w:tabs>
        <w:adjustRightInd w:val="0"/>
        <w:snapToGrid w:val="0"/>
        <w:spacing w:line="500" w:lineRule="exact"/>
        <w:rPr>
          <w:rFonts w:eastAsia="楷体"/>
          <w:sz w:val="28"/>
          <w:szCs w:val="28"/>
        </w:rPr>
      </w:pPr>
      <w:hyperlink w:anchor="_Toc14347180" w:history="1">
        <w:r>
          <w:rPr>
            <w:rStyle w:val="Hyperlink"/>
            <w:rFonts w:eastAsia="楷体"/>
            <w:color w:val="auto"/>
            <w:sz w:val="28"/>
            <w:szCs w:val="28"/>
          </w:rPr>
          <w:t>3.1</w:t>
        </w:r>
        <w:r>
          <w:rPr>
            <w:rStyle w:val="Hyperlink"/>
            <w:rFonts w:eastAsia="楷体" w:hAnsi="楷体"/>
            <w:color w:val="auto"/>
            <w:sz w:val="28"/>
            <w:szCs w:val="28"/>
          </w:rPr>
          <w:t>主要危险、有害物质</w:t>
        </w:r>
        <w:r>
          <w:rPr>
            <w:rFonts w:eastAsia="楷体"/>
            <w:sz w:val="28"/>
            <w:szCs w:val="28"/>
          </w:rPr>
          <w:tab/>
        </w:r>
        <w:r>
          <w:rPr>
            <w:rFonts w:eastAsia="楷体"/>
            <w:sz w:val="28"/>
            <w:szCs w:val="28"/>
          </w:rPr>
          <w:fldChar w:fldCharType="begin"/>
        </w:r>
        <w:r>
          <w:rPr>
            <w:rFonts w:eastAsia="楷体"/>
            <w:sz w:val="28"/>
            <w:szCs w:val="28"/>
          </w:rPr>
          <w:instrText xml:space="preserve"> PAGEREF _Toc14347180 \h </w:instrText>
        </w:r>
        <w:r>
          <w:rPr>
            <w:rFonts w:eastAsia="楷体"/>
            <w:sz w:val="28"/>
            <w:szCs w:val="28"/>
          </w:rPr>
          <w:fldChar w:fldCharType="separate"/>
        </w:r>
        <w:r>
          <w:rPr>
            <w:rFonts w:eastAsia="楷体"/>
            <w:sz w:val="28"/>
            <w:szCs w:val="28"/>
          </w:rPr>
          <w:t>22</w:t>
        </w:r>
        <w:r>
          <w:rPr>
            <w:rFonts w:eastAsia="楷体"/>
            <w:sz w:val="28"/>
            <w:szCs w:val="28"/>
          </w:rPr>
          <w:fldChar w:fldCharType="end"/>
        </w:r>
      </w:hyperlink>
    </w:p>
    <w:p>
      <w:pPr>
        <w:pStyle w:val="TOC2"/>
        <w:tabs>
          <w:tab w:val="right" w:leader="dot" w:pos="9214"/>
        </w:tabs>
        <w:adjustRightInd w:val="0"/>
        <w:snapToGrid w:val="0"/>
        <w:spacing w:line="500" w:lineRule="exact"/>
        <w:rPr>
          <w:rFonts w:eastAsia="楷体"/>
          <w:sz w:val="28"/>
          <w:szCs w:val="28"/>
        </w:rPr>
      </w:pPr>
      <w:hyperlink w:anchor="_Toc14347181" w:history="1">
        <w:r>
          <w:rPr>
            <w:rStyle w:val="Hyperlink"/>
            <w:rFonts w:eastAsia="楷体"/>
            <w:color w:val="auto"/>
            <w:sz w:val="28"/>
            <w:szCs w:val="28"/>
          </w:rPr>
          <w:t>3.2</w:t>
        </w:r>
        <w:r>
          <w:rPr>
            <w:rStyle w:val="Hyperlink"/>
            <w:rFonts w:eastAsia="楷体" w:hAnsi="楷体"/>
            <w:color w:val="auto"/>
            <w:sz w:val="28"/>
            <w:szCs w:val="28"/>
          </w:rPr>
          <w:t>自然条件、总平面布置的危险有害因素识别与分析</w:t>
        </w:r>
        <w:r>
          <w:rPr>
            <w:rFonts w:eastAsia="楷体"/>
            <w:sz w:val="28"/>
            <w:szCs w:val="28"/>
          </w:rPr>
          <w:tab/>
        </w:r>
        <w:r>
          <w:rPr>
            <w:rFonts w:eastAsia="楷体"/>
            <w:sz w:val="28"/>
            <w:szCs w:val="28"/>
          </w:rPr>
          <w:fldChar w:fldCharType="begin"/>
        </w:r>
        <w:r>
          <w:rPr>
            <w:rFonts w:eastAsia="楷体"/>
            <w:sz w:val="28"/>
            <w:szCs w:val="28"/>
          </w:rPr>
          <w:instrText xml:space="preserve"> PAGEREF _Toc14347181 \h </w:instrText>
        </w:r>
        <w:r>
          <w:rPr>
            <w:rFonts w:eastAsia="楷体"/>
            <w:sz w:val="28"/>
            <w:szCs w:val="28"/>
          </w:rPr>
          <w:fldChar w:fldCharType="separate"/>
        </w:r>
        <w:r>
          <w:rPr>
            <w:rFonts w:eastAsia="楷体"/>
            <w:sz w:val="28"/>
            <w:szCs w:val="28"/>
          </w:rPr>
          <w:t>25</w:t>
        </w:r>
        <w:r>
          <w:rPr>
            <w:rFonts w:eastAsia="楷体"/>
            <w:sz w:val="28"/>
            <w:szCs w:val="28"/>
          </w:rPr>
          <w:fldChar w:fldCharType="end"/>
        </w:r>
      </w:hyperlink>
    </w:p>
    <w:p>
      <w:pPr>
        <w:pStyle w:val="TOC2"/>
        <w:tabs>
          <w:tab w:val="right" w:leader="dot" w:pos="9214"/>
        </w:tabs>
        <w:adjustRightInd w:val="0"/>
        <w:snapToGrid w:val="0"/>
        <w:spacing w:line="500" w:lineRule="exact"/>
        <w:rPr>
          <w:rFonts w:eastAsia="楷体"/>
          <w:sz w:val="28"/>
          <w:szCs w:val="28"/>
        </w:rPr>
      </w:pPr>
      <w:hyperlink w:anchor="_Toc14347182" w:history="1">
        <w:r>
          <w:rPr>
            <w:rStyle w:val="Hyperlink"/>
            <w:rFonts w:eastAsia="楷体"/>
            <w:color w:val="auto"/>
            <w:sz w:val="28"/>
            <w:szCs w:val="28"/>
          </w:rPr>
          <w:t>3.3</w:t>
        </w:r>
        <w:r>
          <w:rPr>
            <w:rStyle w:val="Hyperlink"/>
            <w:rFonts w:eastAsia="楷体" w:hAnsi="楷体"/>
            <w:color w:val="auto"/>
            <w:sz w:val="28"/>
            <w:szCs w:val="28"/>
          </w:rPr>
          <w:t>生产过程危险、有害因素识别与分析</w:t>
        </w:r>
        <w:r>
          <w:rPr>
            <w:rFonts w:eastAsia="楷体"/>
            <w:sz w:val="28"/>
            <w:szCs w:val="28"/>
          </w:rPr>
          <w:tab/>
        </w:r>
        <w:r>
          <w:rPr>
            <w:rFonts w:eastAsia="楷体"/>
            <w:sz w:val="28"/>
            <w:szCs w:val="28"/>
          </w:rPr>
          <w:fldChar w:fldCharType="begin"/>
        </w:r>
        <w:r>
          <w:rPr>
            <w:rFonts w:eastAsia="楷体"/>
            <w:sz w:val="28"/>
            <w:szCs w:val="28"/>
          </w:rPr>
          <w:instrText xml:space="preserve"> PAGEREF _Toc14347182 \h </w:instrText>
        </w:r>
        <w:r>
          <w:rPr>
            <w:rFonts w:eastAsia="楷体"/>
            <w:sz w:val="28"/>
            <w:szCs w:val="28"/>
          </w:rPr>
          <w:fldChar w:fldCharType="separate"/>
        </w:r>
        <w:r>
          <w:rPr>
            <w:rFonts w:eastAsia="楷体"/>
            <w:sz w:val="28"/>
            <w:szCs w:val="28"/>
          </w:rPr>
          <w:t>27</w:t>
        </w:r>
        <w:r>
          <w:rPr>
            <w:rFonts w:eastAsia="楷体"/>
            <w:sz w:val="28"/>
            <w:szCs w:val="28"/>
          </w:rPr>
          <w:fldChar w:fldCharType="end"/>
        </w:r>
      </w:hyperlink>
    </w:p>
    <w:p>
      <w:pPr>
        <w:pStyle w:val="TOC2"/>
        <w:tabs>
          <w:tab w:val="right" w:leader="dot" w:pos="9214"/>
        </w:tabs>
        <w:adjustRightInd w:val="0"/>
        <w:snapToGrid w:val="0"/>
        <w:spacing w:line="500" w:lineRule="exact"/>
        <w:rPr>
          <w:rFonts w:eastAsia="楷体"/>
          <w:sz w:val="28"/>
          <w:szCs w:val="28"/>
        </w:rPr>
      </w:pPr>
      <w:hyperlink w:anchor="_Toc14347183" w:history="1">
        <w:r>
          <w:rPr>
            <w:rStyle w:val="Hyperlink"/>
            <w:rFonts w:eastAsia="楷体"/>
            <w:color w:val="auto"/>
            <w:sz w:val="28"/>
            <w:szCs w:val="28"/>
          </w:rPr>
          <w:t>3.4</w:t>
        </w:r>
        <w:r>
          <w:rPr>
            <w:rStyle w:val="Hyperlink"/>
            <w:rFonts w:eastAsia="楷体" w:hAnsi="楷体"/>
            <w:color w:val="auto"/>
            <w:sz w:val="28"/>
            <w:szCs w:val="28"/>
          </w:rPr>
          <w:t>公辅工程单元危险、有害因素识别与分析</w:t>
        </w:r>
        <w:r>
          <w:rPr>
            <w:rFonts w:eastAsia="楷体"/>
            <w:sz w:val="28"/>
            <w:szCs w:val="28"/>
          </w:rPr>
          <w:tab/>
        </w:r>
        <w:r>
          <w:rPr>
            <w:rFonts w:eastAsia="楷体"/>
            <w:sz w:val="28"/>
            <w:szCs w:val="28"/>
          </w:rPr>
          <w:fldChar w:fldCharType="begin"/>
        </w:r>
        <w:r>
          <w:rPr>
            <w:rFonts w:eastAsia="楷体"/>
            <w:sz w:val="28"/>
            <w:szCs w:val="28"/>
          </w:rPr>
          <w:instrText xml:space="preserve"> PAGEREF _Toc14347183 \h </w:instrText>
        </w:r>
        <w:r>
          <w:rPr>
            <w:rFonts w:eastAsia="楷体"/>
            <w:sz w:val="28"/>
            <w:szCs w:val="28"/>
          </w:rPr>
          <w:fldChar w:fldCharType="separate"/>
        </w:r>
        <w:r>
          <w:rPr>
            <w:rFonts w:eastAsia="楷体"/>
            <w:sz w:val="28"/>
            <w:szCs w:val="28"/>
          </w:rPr>
          <w:t>35</w:t>
        </w:r>
        <w:r>
          <w:rPr>
            <w:rFonts w:eastAsia="楷体"/>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84" w:history="1">
        <w:r>
          <w:rPr>
            <w:rStyle w:val="Hyperlink"/>
            <w:rFonts w:eastAsia="楷体"/>
            <w:color w:val="auto"/>
            <w:sz w:val="28"/>
            <w:szCs w:val="28"/>
          </w:rPr>
          <w:t>3.5检修过程中危险、有害因素辨识与分析</w:t>
        </w:r>
        <w:r>
          <w:rPr>
            <w:sz w:val="28"/>
            <w:szCs w:val="28"/>
          </w:rPr>
          <w:tab/>
        </w:r>
        <w:r>
          <w:rPr>
            <w:sz w:val="28"/>
            <w:szCs w:val="28"/>
          </w:rPr>
          <w:fldChar w:fldCharType="begin"/>
        </w:r>
        <w:r>
          <w:rPr>
            <w:sz w:val="28"/>
            <w:szCs w:val="28"/>
          </w:rPr>
          <w:instrText xml:space="preserve"> PAGEREF _Toc14347184 \h </w:instrText>
        </w:r>
        <w:r>
          <w:rPr>
            <w:sz w:val="28"/>
            <w:szCs w:val="28"/>
          </w:rPr>
          <w:fldChar w:fldCharType="separate"/>
        </w:r>
        <w:r>
          <w:rPr>
            <w:sz w:val="28"/>
            <w:szCs w:val="28"/>
          </w:rPr>
          <w:t>38</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85" w:history="1">
        <w:r>
          <w:rPr>
            <w:rStyle w:val="Hyperlink"/>
            <w:rFonts w:eastAsia="楷体"/>
            <w:color w:val="auto"/>
            <w:sz w:val="28"/>
            <w:szCs w:val="28"/>
          </w:rPr>
          <w:t>3.6依据《生产过程危险和有害因素分类与代码》分析</w:t>
        </w:r>
        <w:r>
          <w:rPr>
            <w:sz w:val="28"/>
            <w:szCs w:val="28"/>
          </w:rPr>
          <w:tab/>
        </w:r>
        <w:r>
          <w:rPr>
            <w:sz w:val="28"/>
            <w:szCs w:val="28"/>
          </w:rPr>
          <w:fldChar w:fldCharType="begin"/>
        </w:r>
        <w:r>
          <w:rPr>
            <w:sz w:val="28"/>
            <w:szCs w:val="28"/>
          </w:rPr>
          <w:instrText xml:space="preserve"> PAGEREF _Toc14347185 \h </w:instrText>
        </w:r>
        <w:r>
          <w:rPr>
            <w:sz w:val="28"/>
            <w:szCs w:val="28"/>
          </w:rPr>
          <w:fldChar w:fldCharType="separate"/>
        </w:r>
        <w:r>
          <w:rPr>
            <w:sz w:val="28"/>
            <w:szCs w:val="28"/>
          </w:rPr>
          <w:t>38</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86" w:history="1">
        <w:r>
          <w:rPr>
            <w:rStyle w:val="Hyperlink"/>
            <w:color w:val="auto"/>
            <w:sz w:val="28"/>
            <w:szCs w:val="28"/>
          </w:rPr>
          <w:t>3.7危险、有害因素分析综合结果</w:t>
        </w:r>
        <w:r>
          <w:rPr>
            <w:sz w:val="28"/>
            <w:szCs w:val="28"/>
          </w:rPr>
          <w:tab/>
        </w:r>
        <w:r>
          <w:rPr>
            <w:sz w:val="28"/>
            <w:szCs w:val="28"/>
          </w:rPr>
          <w:fldChar w:fldCharType="begin"/>
        </w:r>
        <w:r>
          <w:rPr>
            <w:sz w:val="28"/>
            <w:szCs w:val="28"/>
          </w:rPr>
          <w:instrText xml:space="preserve"> PAGEREF _Toc14347186 \h </w:instrText>
        </w:r>
        <w:r>
          <w:rPr>
            <w:sz w:val="28"/>
            <w:szCs w:val="28"/>
          </w:rPr>
          <w:fldChar w:fldCharType="separate"/>
        </w:r>
        <w:r>
          <w:rPr>
            <w:sz w:val="28"/>
            <w:szCs w:val="28"/>
          </w:rPr>
          <w:t>41</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187" w:history="1">
        <w:r>
          <w:rPr>
            <w:rStyle w:val="Hyperlink"/>
            <w:rFonts w:ascii="Times New Roman" w:eastAsia="黑体" w:hAnsi="Times New Roman"/>
            <w:color w:val="auto"/>
          </w:rPr>
          <w:t>4总平面布置和建筑设计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_Toc14347187 \h </w:instrText>
        </w:r>
        <w:r>
          <w:rPr>
            <w:rFonts w:ascii="Times New Roman" w:hAnsi="Times New Roman"/>
          </w:rPr>
          <w:fldChar w:fldCharType="separate"/>
        </w:r>
        <w:r>
          <w:rPr>
            <w:rFonts w:ascii="Times New Roman" w:hAnsi="Times New Roman"/>
          </w:rPr>
          <w:t>42</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188" w:history="1">
        <w:r>
          <w:rPr>
            <w:rStyle w:val="Hyperlink"/>
            <w:rFonts w:eastAsia="楷体"/>
            <w:color w:val="auto"/>
            <w:sz w:val="28"/>
            <w:szCs w:val="28"/>
          </w:rPr>
          <w:t>4.1建设项目与厂/界外设施的主要间距、标准规范符合性及采取的防护措施</w:t>
        </w:r>
        <w:r>
          <w:rPr>
            <w:sz w:val="28"/>
            <w:szCs w:val="28"/>
          </w:rPr>
          <w:tab/>
        </w:r>
        <w:r>
          <w:rPr>
            <w:sz w:val="28"/>
            <w:szCs w:val="28"/>
          </w:rPr>
          <w:fldChar w:fldCharType="begin"/>
        </w:r>
        <w:r>
          <w:rPr>
            <w:sz w:val="28"/>
            <w:szCs w:val="28"/>
          </w:rPr>
          <w:instrText xml:space="preserve"> PAGEREF _Toc14347188 \h </w:instrText>
        </w:r>
        <w:r>
          <w:rPr>
            <w:sz w:val="28"/>
            <w:szCs w:val="28"/>
          </w:rPr>
          <w:fldChar w:fldCharType="separate"/>
        </w:r>
        <w:r>
          <w:rPr>
            <w:sz w:val="28"/>
            <w:szCs w:val="28"/>
          </w:rPr>
          <w:t>42</w:t>
        </w:r>
        <w:r>
          <w:rPr>
            <w:sz w:val="28"/>
            <w:szCs w:val="28"/>
          </w:rPr>
          <w:fldChar w:fldCharType="end"/>
        </w:r>
      </w:hyperlink>
    </w:p>
    <w:p>
      <w:pPr>
        <w:pStyle w:val="TOC2"/>
        <w:tabs>
          <w:tab w:val="right" w:leader="dot" w:pos="9214"/>
        </w:tabs>
        <w:adjustRightInd w:val="0"/>
        <w:snapToGrid w:val="0"/>
        <w:spacing w:line="500" w:lineRule="exact"/>
        <w:rPr>
          <w:sz w:val="28"/>
          <w:szCs w:val="28"/>
        </w:rPr>
        <w:sectPr>
          <w:headerReference w:type="default" r:id="rId8"/>
          <w:footerReference w:type="default" r:id="rId9"/>
          <w:pgSz w:w="11906" w:h="16838"/>
          <w:pgMar w:top="1418" w:right="1418" w:bottom="1304" w:left="1588" w:header="1134" w:footer="974" w:gutter="0"/>
          <w:pgNumType w:fmt="upperRoman" w:start="1"/>
          <w:cols w:space="708"/>
          <w:docGrid w:type="lines" w:linePitch="312"/>
        </w:sectPr>
      </w:pPr>
      <w:hyperlink w:anchor="_Toc14347189" w:history="1">
        <w:r>
          <w:rPr>
            <w:rStyle w:val="Hyperlink"/>
            <w:rFonts w:eastAsia="楷体"/>
            <w:color w:val="auto"/>
            <w:sz w:val="28"/>
            <w:szCs w:val="28"/>
          </w:rPr>
          <w:t>4.2全厂及装置（设施）平面及竖向布置</w:t>
        </w:r>
        <w:r>
          <w:rPr>
            <w:sz w:val="28"/>
            <w:szCs w:val="28"/>
          </w:rPr>
          <w:tab/>
        </w:r>
        <w:r>
          <w:rPr>
            <w:sz w:val="28"/>
            <w:szCs w:val="28"/>
          </w:rPr>
          <w:fldChar w:fldCharType="begin"/>
        </w:r>
        <w:r>
          <w:rPr>
            <w:sz w:val="28"/>
            <w:szCs w:val="28"/>
          </w:rPr>
          <w:instrText xml:space="preserve"> PAGEREF _Toc14347189 \h </w:instrText>
        </w:r>
        <w:r>
          <w:rPr>
            <w:sz w:val="28"/>
            <w:szCs w:val="28"/>
          </w:rPr>
          <w:fldChar w:fldCharType="separate"/>
        </w:r>
        <w:r>
          <w:rPr>
            <w:sz w:val="28"/>
            <w:szCs w:val="28"/>
          </w:rPr>
          <w:t>42</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90" w:history="1">
        <w:r>
          <w:rPr>
            <w:rStyle w:val="Hyperlink"/>
            <w:rFonts w:eastAsia="楷体"/>
            <w:color w:val="auto"/>
            <w:sz w:val="28"/>
            <w:szCs w:val="28"/>
          </w:rPr>
          <w:t>4.3厂区消防道路、安全疏散通道及出口的设置</w:t>
        </w:r>
        <w:r>
          <w:rPr>
            <w:sz w:val="28"/>
            <w:szCs w:val="28"/>
          </w:rPr>
          <w:tab/>
        </w:r>
        <w:r>
          <w:rPr>
            <w:sz w:val="28"/>
            <w:szCs w:val="28"/>
          </w:rPr>
          <w:fldChar w:fldCharType="begin"/>
        </w:r>
        <w:r>
          <w:rPr>
            <w:sz w:val="28"/>
            <w:szCs w:val="28"/>
          </w:rPr>
          <w:instrText xml:space="preserve"> PAGEREF _Toc14347190 \h </w:instrText>
        </w:r>
        <w:r>
          <w:rPr>
            <w:sz w:val="28"/>
            <w:szCs w:val="28"/>
          </w:rPr>
          <w:fldChar w:fldCharType="separate"/>
        </w:r>
        <w:r>
          <w:rPr>
            <w:sz w:val="28"/>
            <w:szCs w:val="28"/>
          </w:rPr>
          <w:t>42</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91" w:history="1">
        <w:r>
          <w:rPr>
            <w:rStyle w:val="Hyperlink"/>
            <w:rFonts w:eastAsia="楷体"/>
            <w:color w:val="auto"/>
            <w:sz w:val="28"/>
            <w:szCs w:val="28"/>
          </w:rPr>
          <w:t>4.5建筑设计安全措施</w:t>
        </w:r>
        <w:r>
          <w:rPr>
            <w:sz w:val="28"/>
            <w:szCs w:val="28"/>
          </w:rPr>
          <w:tab/>
        </w:r>
        <w:r>
          <w:rPr>
            <w:sz w:val="28"/>
            <w:szCs w:val="28"/>
          </w:rPr>
          <w:fldChar w:fldCharType="begin"/>
        </w:r>
        <w:r>
          <w:rPr>
            <w:sz w:val="28"/>
            <w:szCs w:val="28"/>
          </w:rPr>
          <w:instrText xml:space="preserve"> PAGEREF _Toc14347191 \h </w:instrText>
        </w:r>
        <w:r>
          <w:rPr>
            <w:sz w:val="28"/>
            <w:szCs w:val="28"/>
          </w:rPr>
          <w:fldChar w:fldCharType="separate"/>
        </w:r>
        <w:r>
          <w:rPr>
            <w:sz w:val="28"/>
            <w:szCs w:val="28"/>
          </w:rPr>
          <w:t>43</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192" w:history="1">
        <w:r>
          <w:rPr>
            <w:rStyle w:val="Hyperlink"/>
            <w:rFonts w:ascii="Times New Roman" w:eastAsia="黑体" w:hAnsi="Times New Roman"/>
            <w:color w:val="auto"/>
          </w:rPr>
          <w:t>5重大危险源分析与辨识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_Toc14347192 \h </w:instrText>
        </w:r>
        <w:r>
          <w:rPr>
            <w:rFonts w:ascii="Times New Roman" w:hAnsi="Times New Roman"/>
          </w:rPr>
          <w:fldChar w:fldCharType="separate"/>
        </w:r>
        <w:r>
          <w:rPr>
            <w:rFonts w:ascii="Times New Roman" w:hAnsi="Times New Roman"/>
          </w:rPr>
          <w:t>44</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193" w:history="1">
        <w:r>
          <w:rPr>
            <w:rStyle w:val="Hyperlink"/>
            <w:rFonts w:eastAsia="楷体"/>
            <w:color w:val="auto"/>
            <w:sz w:val="28"/>
            <w:szCs w:val="28"/>
          </w:rPr>
          <w:t>5.1重大危险源辨识依据</w:t>
        </w:r>
        <w:r>
          <w:rPr>
            <w:sz w:val="28"/>
            <w:szCs w:val="28"/>
          </w:rPr>
          <w:tab/>
        </w:r>
        <w:r>
          <w:rPr>
            <w:sz w:val="28"/>
            <w:szCs w:val="28"/>
          </w:rPr>
          <w:fldChar w:fldCharType="begin"/>
        </w:r>
        <w:r>
          <w:rPr>
            <w:sz w:val="28"/>
            <w:szCs w:val="28"/>
          </w:rPr>
          <w:instrText xml:space="preserve"> PAGEREF _Toc14347193 \h </w:instrText>
        </w:r>
        <w:r>
          <w:rPr>
            <w:sz w:val="28"/>
            <w:szCs w:val="28"/>
          </w:rPr>
          <w:fldChar w:fldCharType="separate"/>
        </w:r>
        <w:r>
          <w:rPr>
            <w:sz w:val="28"/>
            <w:szCs w:val="28"/>
          </w:rPr>
          <w:t>44</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94" w:history="1">
        <w:r>
          <w:rPr>
            <w:rStyle w:val="Hyperlink"/>
            <w:rFonts w:eastAsia="楷体"/>
            <w:color w:val="auto"/>
            <w:sz w:val="28"/>
            <w:szCs w:val="28"/>
          </w:rPr>
          <w:t>5.2重大危险源辨识过程</w:t>
        </w:r>
        <w:r>
          <w:rPr>
            <w:sz w:val="28"/>
            <w:szCs w:val="28"/>
          </w:rPr>
          <w:tab/>
        </w:r>
        <w:r>
          <w:rPr>
            <w:sz w:val="28"/>
            <w:szCs w:val="28"/>
          </w:rPr>
          <w:fldChar w:fldCharType="begin"/>
        </w:r>
        <w:r>
          <w:rPr>
            <w:sz w:val="28"/>
            <w:szCs w:val="28"/>
          </w:rPr>
          <w:instrText xml:space="preserve"> PAGEREF _Toc14347194 \h </w:instrText>
        </w:r>
        <w:r>
          <w:rPr>
            <w:sz w:val="28"/>
            <w:szCs w:val="28"/>
          </w:rPr>
          <w:fldChar w:fldCharType="separate"/>
        </w:r>
        <w:r>
          <w:rPr>
            <w:sz w:val="28"/>
            <w:szCs w:val="28"/>
          </w:rPr>
          <w:t>45</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96" w:history="1">
        <w:r>
          <w:rPr>
            <w:rStyle w:val="Hyperlink"/>
            <w:rFonts w:eastAsia="楷体"/>
            <w:color w:val="auto"/>
            <w:sz w:val="28"/>
            <w:szCs w:val="28"/>
          </w:rPr>
          <w:t>5.3辨识结果</w:t>
        </w:r>
        <w:r>
          <w:rPr>
            <w:sz w:val="28"/>
            <w:szCs w:val="28"/>
          </w:rPr>
          <w:tab/>
        </w:r>
        <w:r>
          <w:rPr>
            <w:sz w:val="28"/>
            <w:szCs w:val="28"/>
          </w:rPr>
          <w:fldChar w:fldCharType="begin"/>
        </w:r>
        <w:r>
          <w:rPr>
            <w:sz w:val="28"/>
            <w:szCs w:val="28"/>
          </w:rPr>
          <w:instrText xml:space="preserve"> PAGEREF _Toc14347196 \h </w:instrText>
        </w:r>
        <w:r>
          <w:rPr>
            <w:sz w:val="28"/>
            <w:szCs w:val="28"/>
          </w:rPr>
          <w:fldChar w:fldCharType="separate"/>
        </w:r>
        <w:r>
          <w:rPr>
            <w:sz w:val="28"/>
            <w:szCs w:val="28"/>
          </w:rPr>
          <w:t>45</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197" w:history="1">
        <w:r>
          <w:rPr>
            <w:rStyle w:val="Hyperlink"/>
            <w:rFonts w:ascii="Times New Roman" w:eastAsia="黑体" w:hAnsi="Times New Roman"/>
            <w:color w:val="auto"/>
          </w:rPr>
          <w:t>6设计采用的安全设施和措施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_Toc14347197 \h </w:instrText>
        </w:r>
        <w:r>
          <w:rPr>
            <w:rFonts w:ascii="Times New Roman" w:hAnsi="Times New Roman"/>
          </w:rPr>
          <w:fldChar w:fldCharType="separate"/>
        </w:r>
        <w:r>
          <w:rPr>
            <w:rFonts w:ascii="Times New Roman" w:hAnsi="Times New Roman"/>
          </w:rPr>
          <w:t>46</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198" w:history="1">
        <w:r>
          <w:rPr>
            <w:rStyle w:val="Hyperlink"/>
            <w:rFonts w:eastAsia="楷体"/>
            <w:color w:val="auto"/>
            <w:sz w:val="28"/>
            <w:szCs w:val="28"/>
          </w:rPr>
          <w:t>6.1主要建筑物危险因素安全措施</w:t>
        </w:r>
        <w:r>
          <w:rPr>
            <w:sz w:val="28"/>
            <w:szCs w:val="28"/>
          </w:rPr>
          <w:tab/>
        </w:r>
        <w:r>
          <w:rPr>
            <w:sz w:val="28"/>
            <w:szCs w:val="28"/>
          </w:rPr>
          <w:fldChar w:fldCharType="begin"/>
        </w:r>
        <w:r>
          <w:rPr>
            <w:sz w:val="28"/>
            <w:szCs w:val="28"/>
          </w:rPr>
          <w:instrText xml:space="preserve"> PAGEREF _Toc14347198 \h </w:instrText>
        </w:r>
        <w:r>
          <w:rPr>
            <w:sz w:val="28"/>
            <w:szCs w:val="28"/>
          </w:rPr>
          <w:fldChar w:fldCharType="separate"/>
        </w:r>
        <w:r>
          <w:rPr>
            <w:sz w:val="28"/>
            <w:szCs w:val="28"/>
          </w:rPr>
          <w:t>46</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199" w:history="1">
        <w:r>
          <w:rPr>
            <w:rStyle w:val="Hyperlink"/>
            <w:rFonts w:eastAsia="楷体"/>
            <w:color w:val="auto"/>
            <w:sz w:val="28"/>
            <w:szCs w:val="28"/>
          </w:rPr>
          <w:t>6.2生产工艺及设备、设施、管道安全对策措施</w:t>
        </w:r>
        <w:r>
          <w:rPr>
            <w:sz w:val="28"/>
            <w:szCs w:val="28"/>
          </w:rPr>
          <w:tab/>
        </w:r>
        <w:r>
          <w:rPr>
            <w:sz w:val="28"/>
            <w:szCs w:val="28"/>
          </w:rPr>
          <w:fldChar w:fldCharType="begin"/>
        </w:r>
        <w:r>
          <w:rPr>
            <w:sz w:val="28"/>
            <w:szCs w:val="28"/>
          </w:rPr>
          <w:instrText xml:space="preserve"> PAGEREF _Toc14347199 \h </w:instrText>
        </w:r>
        <w:r>
          <w:rPr>
            <w:sz w:val="28"/>
            <w:szCs w:val="28"/>
          </w:rPr>
          <w:fldChar w:fldCharType="separate"/>
        </w:r>
        <w:r>
          <w:rPr>
            <w:sz w:val="28"/>
            <w:szCs w:val="28"/>
          </w:rPr>
          <w:t>48</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00" w:history="1">
        <w:r>
          <w:rPr>
            <w:rStyle w:val="Hyperlink"/>
            <w:rFonts w:eastAsia="楷体"/>
            <w:color w:val="auto"/>
            <w:sz w:val="28"/>
            <w:szCs w:val="28"/>
          </w:rPr>
          <w:t>6.3电气安全措施</w:t>
        </w:r>
        <w:r>
          <w:rPr>
            <w:sz w:val="28"/>
            <w:szCs w:val="28"/>
          </w:rPr>
          <w:tab/>
        </w:r>
        <w:r>
          <w:rPr>
            <w:sz w:val="28"/>
            <w:szCs w:val="28"/>
          </w:rPr>
          <w:fldChar w:fldCharType="begin"/>
        </w:r>
        <w:r>
          <w:rPr>
            <w:sz w:val="28"/>
            <w:szCs w:val="28"/>
          </w:rPr>
          <w:instrText xml:space="preserve"> PAGEREF _Toc14347200 \h </w:instrText>
        </w:r>
        <w:r>
          <w:rPr>
            <w:sz w:val="28"/>
            <w:szCs w:val="28"/>
          </w:rPr>
          <w:fldChar w:fldCharType="separate"/>
        </w:r>
        <w:r>
          <w:rPr>
            <w:sz w:val="28"/>
            <w:szCs w:val="28"/>
          </w:rPr>
          <w:t>59</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01" w:history="1">
        <w:r>
          <w:rPr>
            <w:rStyle w:val="Hyperlink"/>
            <w:rFonts w:eastAsia="楷体"/>
            <w:color w:val="auto"/>
            <w:sz w:val="28"/>
            <w:szCs w:val="28"/>
          </w:rPr>
          <w:t>6.4消防安全措施</w:t>
        </w:r>
        <w:r>
          <w:rPr>
            <w:sz w:val="28"/>
            <w:szCs w:val="28"/>
          </w:rPr>
          <w:tab/>
        </w:r>
        <w:r>
          <w:rPr>
            <w:sz w:val="28"/>
            <w:szCs w:val="28"/>
          </w:rPr>
          <w:fldChar w:fldCharType="begin"/>
        </w:r>
        <w:r>
          <w:rPr>
            <w:sz w:val="28"/>
            <w:szCs w:val="28"/>
          </w:rPr>
          <w:instrText xml:space="preserve"> PAGEREF _Toc14347201 \h </w:instrText>
        </w:r>
        <w:r>
          <w:rPr>
            <w:sz w:val="28"/>
            <w:szCs w:val="28"/>
          </w:rPr>
          <w:fldChar w:fldCharType="separate"/>
        </w:r>
        <w:r>
          <w:rPr>
            <w:sz w:val="28"/>
            <w:szCs w:val="28"/>
          </w:rPr>
          <w:t>61</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02" w:history="1">
        <w:r>
          <w:rPr>
            <w:rStyle w:val="Hyperlink"/>
            <w:rFonts w:eastAsia="楷体"/>
            <w:color w:val="auto"/>
            <w:sz w:val="28"/>
            <w:szCs w:val="28"/>
          </w:rPr>
          <w:t>6.5其他安全防范措施</w:t>
        </w:r>
        <w:r>
          <w:rPr>
            <w:sz w:val="28"/>
            <w:szCs w:val="28"/>
          </w:rPr>
          <w:tab/>
        </w:r>
        <w:r>
          <w:rPr>
            <w:sz w:val="28"/>
            <w:szCs w:val="28"/>
          </w:rPr>
          <w:fldChar w:fldCharType="begin"/>
        </w:r>
        <w:r>
          <w:rPr>
            <w:sz w:val="28"/>
            <w:szCs w:val="28"/>
          </w:rPr>
          <w:instrText xml:space="preserve"> PAGEREF _Toc14347202 \h </w:instrText>
        </w:r>
        <w:r>
          <w:rPr>
            <w:sz w:val="28"/>
            <w:szCs w:val="28"/>
          </w:rPr>
          <w:fldChar w:fldCharType="separate"/>
        </w:r>
        <w:r>
          <w:rPr>
            <w:sz w:val="28"/>
            <w:szCs w:val="28"/>
          </w:rPr>
          <w:t>63</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03" w:history="1">
        <w:r>
          <w:rPr>
            <w:rStyle w:val="Hyperlink"/>
            <w:rFonts w:eastAsia="楷体"/>
            <w:color w:val="auto"/>
            <w:sz w:val="28"/>
            <w:szCs w:val="28"/>
          </w:rPr>
          <w:t>6.6建设项目主要安全设施</w:t>
        </w:r>
        <w:r>
          <w:rPr>
            <w:sz w:val="28"/>
            <w:szCs w:val="28"/>
          </w:rPr>
          <w:tab/>
        </w:r>
        <w:r>
          <w:rPr>
            <w:sz w:val="28"/>
            <w:szCs w:val="28"/>
          </w:rPr>
          <w:fldChar w:fldCharType="begin"/>
        </w:r>
        <w:r>
          <w:rPr>
            <w:sz w:val="28"/>
            <w:szCs w:val="28"/>
          </w:rPr>
          <w:instrText xml:space="preserve"> PAGEREF _Toc14347203 \h </w:instrText>
        </w:r>
        <w:r>
          <w:rPr>
            <w:sz w:val="28"/>
            <w:szCs w:val="28"/>
          </w:rPr>
          <w:fldChar w:fldCharType="separate"/>
        </w:r>
        <w:r>
          <w:rPr>
            <w:sz w:val="28"/>
            <w:szCs w:val="28"/>
          </w:rPr>
          <w:t>70</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204" w:history="1">
        <w:r>
          <w:rPr>
            <w:rStyle w:val="Hyperlink"/>
            <w:rFonts w:ascii="Times New Roman" w:eastAsia="黑体" w:hAnsi="Times New Roman"/>
            <w:color w:val="auto"/>
          </w:rPr>
          <w:t>7安全生产管理机构设置及安全生产管理人员配备情况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_Toc14347204 \h </w:instrText>
        </w:r>
        <w:r>
          <w:rPr>
            <w:rFonts w:ascii="Times New Roman" w:hAnsi="Times New Roman"/>
          </w:rPr>
          <w:fldChar w:fldCharType="separate"/>
        </w:r>
        <w:r>
          <w:rPr>
            <w:rFonts w:ascii="Times New Roman" w:hAnsi="Times New Roman"/>
          </w:rPr>
          <w:t>73</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205" w:history="1">
        <w:r>
          <w:rPr>
            <w:rStyle w:val="Hyperlink"/>
            <w:rFonts w:eastAsia="楷体"/>
            <w:color w:val="auto"/>
            <w:sz w:val="28"/>
            <w:szCs w:val="28"/>
          </w:rPr>
          <w:t>7.1安全生产管理机构</w:t>
        </w:r>
        <w:r>
          <w:rPr>
            <w:sz w:val="28"/>
            <w:szCs w:val="28"/>
          </w:rPr>
          <w:tab/>
        </w:r>
        <w:r>
          <w:rPr>
            <w:sz w:val="28"/>
            <w:szCs w:val="28"/>
          </w:rPr>
          <w:fldChar w:fldCharType="begin"/>
        </w:r>
        <w:r>
          <w:rPr>
            <w:sz w:val="28"/>
            <w:szCs w:val="28"/>
          </w:rPr>
          <w:instrText xml:space="preserve"> PAGEREF _Toc14347205 \h </w:instrText>
        </w:r>
        <w:r>
          <w:rPr>
            <w:sz w:val="28"/>
            <w:szCs w:val="28"/>
          </w:rPr>
          <w:fldChar w:fldCharType="separate"/>
        </w:r>
        <w:r>
          <w:rPr>
            <w:sz w:val="28"/>
            <w:szCs w:val="28"/>
          </w:rPr>
          <w:t>73</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06" w:history="1">
        <w:r>
          <w:rPr>
            <w:rStyle w:val="Hyperlink"/>
            <w:rFonts w:eastAsia="楷体"/>
            <w:color w:val="auto"/>
            <w:sz w:val="28"/>
            <w:szCs w:val="28"/>
          </w:rPr>
          <w:t>7.2安全管理人员配备</w:t>
        </w:r>
        <w:r>
          <w:rPr>
            <w:sz w:val="28"/>
            <w:szCs w:val="28"/>
          </w:rPr>
          <w:tab/>
        </w:r>
        <w:r>
          <w:rPr>
            <w:sz w:val="28"/>
            <w:szCs w:val="28"/>
          </w:rPr>
          <w:fldChar w:fldCharType="begin"/>
        </w:r>
        <w:r>
          <w:rPr>
            <w:sz w:val="28"/>
            <w:szCs w:val="28"/>
          </w:rPr>
          <w:instrText xml:space="preserve"> PAGEREF _Toc14347206 \h </w:instrText>
        </w:r>
        <w:r>
          <w:rPr>
            <w:sz w:val="28"/>
            <w:szCs w:val="28"/>
          </w:rPr>
          <w:fldChar w:fldCharType="separate"/>
        </w:r>
        <w:r>
          <w:rPr>
            <w:sz w:val="28"/>
            <w:szCs w:val="28"/>
          </w:rPr>
          <w:t>74</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07" w:history="1">
        <w:r>
          <w:rPr>
            <w:rStyle w:val="Hyperlink"/>
            <w:rFonts w:eastAsia="楷体"/>
            <w:color w:val="auto"/>
            <w:sz w:val="28"/>
            <w:szCs w:val="28"/>
          </w:rPr>
          <w:t>7.3应建立健全的安全操作规程、安全管理制度</w:t>
        </w:r>
        <w:r>
          <w:rPr>
            <w:sz w:val="28"/>
            <w:szCs w:val="28"/>
          </w:rPr>
          <w:tab/>
        </w:r>
        <w:r>
          <w:rPr>
            <w:sz w:val="28"/>
            <w:szCs w:val="28"/>
          </w:rPr>
          <w:fldChar w:fldCharType="begin"/>
        </w:r>
        <w:r>
          <w:rPr>
            <w:sz w:val="28"/>
            <w:szCs w:val="28"/>
          </w:rPr>
          <w:instrText xml:space="preserve"> PAGEREF _Toc14347207 \h </w:instrText>
        </w:r>
        <w:r>
          <w:rPr>
            <w:sz w:val="28"/>
            <w:szCs w:val="28"/>
          </w:rPr>
          <w:fldChar w:fldCharType="separate"/>
        </w:r>
        <w:r>
          <w:rPr>
            <w:sz w:val="28"/>
            <w:szCs w:val="28"/>
          </w:rPr>
          <w:t>74</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08" w:history="1">
        <w:r>
          <w:rPr>
            <w:rStyle w:val="Hyperlink"/>
            <w:rFonts w:eastAsia="楷体"/>
            <w:color w:val="auto"/>
            <w:sz w:val="28"/>
            <w:szCs w:val="28"/>
          </w:rPr>
          <w:t>7.4从业人员安全教育培训</w:t>
        </w:r>
        <w:r>
          <w:rPr>
            <w:sz w:val="28"/>
            <w:szCs w:val="28"/>
          </w:rPr>
          <w:tab/>
        </w:r>
        <w:r>
          <w:rPr>
            <w:sz w:val="28"/>
            <w:szCs w:val="28"/>
          </w:rPr>
          <w:fldChar w:fldCharType="begin"/>
        </w:r>
        <w:r>
          <w:rPr>
            <w:sz w:val="28"/>
            <w:szCs w:val="28"/>
          </w:rPr>
          <w:instrText xml:space="preserve"> PAGEREF _Toc14347208 \h </w:instrText>
        </w:r>
        <w:r>
          <w:rPr>
            <w:sz w:val="28"/>
            <w:szCs w:val="28"/>
          </w:rPr>
          <w:fldChar w:fldCharType="separate"/>
        </w:r>
        <w:r>
          <w:rPr>
            <w:sz w:val="28"/>
            <w:szCs w:val="28"/>
          </w:rPr>
          <w:t>76</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209" w:history="1">
        <w:r>
          <w:rPr>
            <w:rStyle w:val="Hyperlink"/>
            <w:rFonts w:ascii="Times New Roman" w:eastAsia="黑体" w:hAnsi="Times New Roman"/>
            <w:color w:val="auto"/>
          </w:rPr>
          <w:t>8工艺、技术和设备、设施的先进性和可靠性分析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_Toc14347209 \h </w:instrText>
        </w:r>
        <w:r>
          <w:rPr>
            <w:rFonts w:ascii="Times New Roman" w:hAnsi="Times New Roman"/>
          </w:rPr>
          <w:fldChar w:fldCharType="separate"/>
        </w:r>
        <w:r>
          <w:rPr>
            <w:rFonts w:ascii="Times New Roman" w:hAnsi="Times New Roman"/>
          </w:rPr>
          <w:t>79</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210" w:history="1">
        <w:r>
          <w:rPr>
            <w:rStyle w:val="Hyperlink"/>
            <w:rFonts w:eastAsia="楷体"/>
            <w:color w:val="auto"/>
            <w:sz w:val="28"/>
            <w:szCs w:val="28"/>
          </w:rPr>
          <w:t>8.1工艺、技术先进性和可靠性分析</w:t>
        </w:r>
        <w:r>
          <w:rPr>
            <w:sz w:val="28"/>
            <w:szCs w:val="28"/>
          </w:rPr>
          <w:tab/>
        </w:r>
        <w:r>
          <w:rPr>
            <w:sz w:val="28"/>
            <w:szCs w:val="28"/>
          </w:rPr>
          <w:fldChar w:fldCharType="begin"/>
        </w:r>
        <w:r>
          <w:rPr>
            <w:sz w:val="28"/>
            <w:szCs w:val="28"/>
          </w:rPr>
          <w:instrText xml:space="preserve"> PAGEREF _Toc14347210 \h </w:instrText>
        </w:r>
        <w:r>
          <w:rPr>
            <w:sz w:val="28"/>
            <w:szCs w:val="28"/>
          </w:rPr>
          <w:fldChar w:fldCharType="separate"/>
        </w:r>
        <w:r>
          <w:rPr>
            <w:sz w:val="28"/>
            <w:szCs w:val="28"/>
          </w:rPr>
          <w:t>79</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11" w:history="1">
        <w:r>
          <w:rPr>
            <w:rStyle w:val="Hyperlink"/>
            <w:rFonts w:eastAsia="楷体"/>
            <w:color w:val="auto"/>
            <w:sz w:val="28"/>
            <w:szCs w:val="28"/>
          </w:rPr>
          <w:t>8.2设备、设施的先进性和可靠性分析</w:t>
        </w:r>
        <w:r>
          <w:rPr>
            <w:sz w:val="28"/>
            <w:szCs w:val="28"/>
          </w:rPr>
          <w:tab/>
        </w:r>
        <w:r>
          <w:rPr>
            <w:sz w:val="28"/>
            <w:szCs w:val="28"/>
          </w:rPr>
          <w:fldChar w:fldCharType="begin"/>
        </w:r>
        <w:r>
          <w:rPr>
            <w:sz w:val="28"/>
            <w:szCs w:val="28"/>
          </w:rPr>
          <w:instrText xml:space="preserve"> PAGEREF _Toc14347211 \h </w:instrText>
        </w:r>
        <w:r>
          <w:rPr>
            <w:sz w:val="28"/>
            <w:szCs w:val="28"/>
          </w:rPr>
          <w:fldChar w:fldCharType="separate"/>
        </w:r>
        <w:r>
          <w:rPr>
            <w:sz w:val="28"/>
            <w:szCs w:val="28"/>
          </w:rPr>
          <w:t>79</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212" w:history="1">
        <w:r>
          <w:rPr>
            <w:rStyle w:val="Hyperlink"/>
            <w:rFonts w:ascii="Times New Roman" w:eastAsia="黑体" w:hAnsi="Times New Roman"/>
            <w:color w:val="auto"/>
          </w:rPr>
          <w:t>9安全设施专项投资概算</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_Toc14347212 \h </w:instrText>
        </w:r>
        <w:r>
          <w:rPr>
            <w:rFonts w:ascii="Times New Roman" w:hAnsi="Times New Roman"/>
          </w:rPr>
          <w:fldChar w:fldCharType="separate"/>
        </w:r>
        <w:r>
          <w:rPr>
            <w:rFonts w:ascii="Times New Roman" w:hAnsi="Times New Roman"/>
          </w:rPr>
          <w:t>80</w:t>
        </w:r>
        <w:r>
          <w:rPr>
            <w:rFonts w:ascii="Times New Roman" w:hAnsi="Times New Roman"/>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213" w:history="1">
        <w:r>
          <w:rPr>
            <w:rStyle w:val="Hyperlink"/>
            <w:rFonts w:ascii="Times New Roman" w:eastAsia="黑体" w:hAnsi="Times New Roman"/>
            <w:color w:val="auto"/>
          </w:rPr>
          <w:t>10安全生产条件和设施综合分析报告的安全对策及建议采纳情况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_Toc14347213 \h </w:instrText>
        </w:r>
        <w:r>
          <w:rPr>
            <w:rFonts w:ascii="Times New Roman" w:hAnsi="Times New Roman"/>
          </w:rPr>
          <w:fldChar w:fldCharType="separate"/>
        </w:r>
        <w:r>
          <w:rPr>
            <w:rFonts w:ascii="Times New Roman" w:hAnsi="Times New Roman"/>
          </w:rPr>
          <w:t>83</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214" w:history="1">
        <w:r>
          <w:rPr>
            <w:rStyle w:val="Hyperlink"/>
            <w:rFonts w:eastAsia="楷体"/>
            <w:color w:val="auto"/>
            <w:sz w:val="28"/>
            <w:szCs w:val="28"/>
          </w:rPr>
          <w:t>10.1安全生产条件和设施综合分析报告的主要结论</w:t>
        </w:r>
        <w:r>
          <w:rPr>
            <w:sz w:val="28"/>
            <w:szCs w:val="28"/>
          </w:rPr>
          <w:tab/>
        </w:r>
        <w:r>
          <w:rPr>
            <w:sz w:val="28"/>
            <w:szCs w:val="28"/>
          </w:rPr>
          <w:fldChar w:fldCharType="begin"/>
        </w:r>
        <w:r>
          <w:rPr>
            <w:sz w:val="28"/>
            <w:szCs w:val="28"/>
          </w:rPr>
          <w:instrText xml:space="preserve"> PAGEREF _Toc14347214 \h </w:instrText>
        </w:r>
        <w:r>
          <w:rPr>
            <w:sz w:val="28"/>
            <w:szCs w:val="28"/>
          </w:rPr>
          <w:fldChar w:fldCharType="separate"/>
        </w:r>
        <w:r>
          <w:rPr>
            <w:sz w:val="28"/>
            <w:szCs w:val="28"/>
          </w:rPr>
          <w:t>83</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15" w:history="1">
        <w:r>
          <w:rPr>
            <w:rStyle w:val="Hyperlink"/>
            <w:rFonts w:eastAsia="楷体"/>
            <w:color w:val="auto"/>
            <w:sz w:val="28"/>
            <w:szCs w:val="28"/>
          </w:rPr>
          <w:t>10.2安全对策及建议采纳情况</w:t>
        </w:r>
        <w:r>
          <w:rPr>
            <w:sz w:val="28"/>
            <w:szCs w:val="28"/>
          </w:rPr>
          <w:tab/>
        </w:r>
        <w:r>
          <w:rPr>
            <w:sz w:val="28"/>
            <w:szCs w:val="28"/>
          </w:rPr>
          <w:fldChar w:fldCharType="begin"/>
        </w:r>
        <w:r>
          <w:rPr>
            <w:sz w:val="28"/>
            <w:szCs w:val="28"/>
          </w:rPr>
          <w:instrText xml:space="preserve"> PAGEREF _Toc14347215 \h </w:instrText>
        </w:r>
        <w:r>
          <w:rPr>
            <w:sz w:val="28"/>
            <w:szCs w:val="28"/>
          </w:rPr>
          <w:fldChar w:fldCharType="separate"/>
        </w:r>
        <w:r>
          <w:rPr>
            <w:sz w:val="28"/>
            <w:szCs w:val="28"/>
          </w:rPr>
          <w:t>83</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216" w:history="1">
        <w:r>
          <w:rPr>
            <w:rStyle w:val="Hyperlink"/>
            <w:rFonts w:ascii="Times New Roman" w:eastAsia="黑体" w:hAnsi="Times New Roman"/>
            <w:color w:val="auto"/>
          </w:rPr>
          <w:t>11预期效果及存在问题与建议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_Toc14347216 \h </w:instrText>
        </w:r>
        <w:r>
          <w:rPr>
            <w:rFonts w:ascii="Times New Roman" w:hAnsi="Times New Roman"/>
          </w:rPr>
          <w:fldChar w:fldCharType="separate"/>
        </w:r>
        <w:r>
          <w:rPr>
            <w:rFonts w:ascii="Times New Roman" w:hAnsi="Times New Roman"/>
          </w:rPr>
          <w:t>91</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217" w:history="1">
        <w:r>
          <w:rPr>
            <w:rStyle w:val="Hyperlink"/>
            <w:rFonts w:eastAsia="楷体"/>
            <w:color w:val="auto"/>
            <w:sz w:val="28"/>
            <w:szCs w:val="28"/>
          </w:rPr>
          <w:t>11.1预期效果</w:t>
        </w:r>
        <w:r>
          <w:rPr>
            <w:sz w:val="28"/>
            <w:szCs w:val="28"/>
          </w:rPr>
          <w:tab/>
        </w:r>
        <w:r>
          <w:rPr>
            <w:sz w:val="28"/>
            <w:szCs w:val="28"/>
          </w:rPr>
          <w:fldChar w:fldCharType="begin"/>
        </w:r>
        <w:r>
          <w:rPr>
            <w:sz w:val="28"/>
            <w:szCs w:val="28"/>
          </w:rPr>
          <w:instrText xml:space="preserve"> PAGEREF _Toc14347217 \h </w:instrText>
        </w:r>
        <w:r>
          <w:rPr>
            <w:sz w:val="28"/>
            <w:szCs w:val="28"/>
          </w:rPr>
          <w:fldChar w:fldCharType="separate"/>
        </w:r>
        <w:r>
          <w:rPr>
            <w:sz w:val="28"/>
            <w:szCs w:val="28"/>
          </w:rPr>
          <w:t>91</w:t>
        </w:r>
        <w:r>
          <w:rPr>
            <w:sz w:val="28"/>
            <w:szCs w:val="28"/>
          </w:rPr>
          <w:fldChar w:fldCharType="end"/>
        </w:r>
      </w:hyperlink>
    </w:p>
    <w:p>
      <w:pPr>
        <w:pStyle w:val="TOC2"/>
        <w:tabs>
          <w:tab w:val="right" w:leader="dot" w:pos="9214"/>
        </w:tabs>
        <w:adjustRightInd w:val="0"/>
        <w:snapToGrid w:val="0"/>
        <w:spacing w:line="500" w:lineRule="exact"/>
        <w:rPr>
          <w:sz w:val="28"/>
          <w:szCs w:val="28"/>
        </w:rPr>
        <w:sectPr>
          <w:headerReference w:type="default" r:id="rId10"/>
          <w:footerReference w:type="default" r:id="rId11"/>
          <w:type w:val="nextPage"/>
          <w:pgSz w:w="11906" w:h="16838"/>
          <w:pgMar w:top="1418" w:right="1418" w:bottom="1304" w:left="1588" w:header="1134" w:footer="974" w:gutter="0"/>
          <w:pgNumType w:fmt="upperRoman" w:start="2"/>
          <w:cols w:space="708"/>
          <w:titlePg w:val="0"/>
          <w:docGrid w:type="lines" w:linePitch="312"/>
        </w:sectPr>
      </w:pPr>
      <w:hyperlink w:anchor="_Toc14347218" w:history="1">
        <w:r>
          <w:rPr>
            <w:rStyle w:val="Hyperlink"/>
            <w:rFonts w:eastAsia="楷体"/>
            <w:color w:val="auto"/>
            <w:sz w:val="28"/>
            <w:szCs w:val="28"/>
          </w:rPr>
          <w:t>11.2存在问题与建议</w:t>
        </w:r>
        <w:r>
          <w:rPr>
            <w:sz w:val="28"/>
            <w:szCs w:val="28"/>
          </w:rPr>
          <w:tab/>
        </w:r>
        <w:r>
          <w:rPr>
            <w:sz w:val="28"/>
            <w:szCs w:val="28"/>
          </w:rPr>
          <w:fldChar w:fldCharType="begin"/>
        </w:r>
        <w:r>
          <w:rPr>
            <w:sz w:val="28"/>
            <w:szCs w:val="28"/>
          </w:rPr>
          <w:instrText xml:space="preserve"> PAGEREF _Toc14347218 \h </w:instrText>
        </w:r>
        <w:r>
          <w:rPr>
            <w:sz w:val="28"/>
            <w:szCs w:val="28"/>
          </w:rPr>
          <w:fldChar w:fldCharType="separate"/>
        </w:r>
        <w:r>
          <w:rPr>
            <w:sz w:val="28"/>
            <w:szCs w:val="28"/>
          </w:rPr>
          <w:t>92</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219" w:history="1">
        <w:r>
          <w:rPr>
            <w:rStyle w:val="Hyperlink"/>
            <w:rFonts w:ascii="Times New Roman" w:eastAsia="黑体" w:hAnsi="Times New Roman"/>
            <w:color w:val="auto"/>
          </w:rPr>
          <w:t>12事故预防及应急救援措施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_Toc14347219 \h </w:instrText>
        </w:r>
        <w:r>
          <w:rPr>
            <w:rFonts w:ascii="Times New Roman" w:hAnsi="Times New Roman"/>
          </w:rPr>
          <w:fldChar w:fldCharType="separate"/>
        </w:r>
        <w:r>
          <w:rPr>
            <w:rFonts w:ascii="Times New Roman" w:hAnsi="Times New Roman"/>
          </w:rPr>
          <w:t>95</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220" w:history="1">
        <w:r>
          <w:rPr>
            <w:rStyle w:val="Hyperlink"/>
            <w:rFonts w:eastAsia="楷体"/>
            <w:color w:val="auto"/>
            <w:sz w:val="28"/>
            <w:szCs w:val="28"/>
          </w:rPr>
          <w:t>12.1应急救援措施</w:t>
        </w:r>
        <w:r>
          <w:rPr>
            <w:sz w:val="28"/>
            <w:szCs w:val="28"/>
          </w:rPr>
          <w:tab/>
        </w:r>
        <w:r>
          <w:rPr>
            <w:sz w:val="28"/>
            <w:szCs w:val="28"/>
          </w:rPr>
          <w:fldChar w:fldCharType="begin"/>
        </w:r>
        <w:r>
          <w:rPr>
            <w:sz w:val="28"/>
            <w:szCs w:val="28"/>
          </w:rPr>
          <w:instrText xml:space="preserve"> PAGEREF _Toc14347220 \h </w:instrText>
        </w:r>
        <w:r>
          <w:rPr>
            <w:sz w:val="28"/>
            <w:szCs w:val="28"/>
          </w:rPr>
          <w:fldChar w:fldCharType="separate"/>
        </w:r>
        <w:r>
          <w:rPr>
            <w:sz w:val="28"/>
            <w:szCs w:val="28"/>
          </w:rPr>
          <w:t>95</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21" w:history="1">
        <w:r>
          <w:rPr>
            <w:rStyle w:val="Hyperlink"/>
            <w:rFonts w:eastAsia="楷体"/>
            <w:color w:val="auto"/>
            <w:sz w:val="28"/>
            <w:szCs w:val="28"/>
          </w:rPr>
          <w:t>12.2生产安全事故现场处置方案</w:t>
        </w:r>
        <w:r>
          <w:rPr>
            <w:sz w:val="28"/>
            <w:szCs w:val="28"/>
          </w:rPr>
          <w:tab/>
        </w:r>
        <w:r>
          <w:rPr>
            <w:sz w:val="28"/>
            <w:szCs w:val="28"/>
          </w:rPr>
          <w:fldChar w:fldCharType="begin"/>
        </w:r>
        <w:r>
          <w:rPr>
            <w:sz w:val="28"/>
            <w:szCs w:val="28"/>
          </w:rPr>
          <w:instrText xml:space="preserve"> PAGEREF _Toc14347221 \h </w:instrText>
        </w:r>
        <w:r>
          <w:rPr>
            <w:sz w:val="28"/>
            <w:szCs w:val="28"/>
          </w:rPr>
          <w:fldChar w:fldCharType="separate"/>
        </w:r>
        <w:r>
          <w:rPr>
            <w:sz w:val="28"/>
            <w:szCs w:val="28"/>
          </w:rPr>
          <w:t>96</w:t>
        </w:r>
        <w:r>
          <w:rPr>
            <w:sz w:val="28"/>
            <w:szCs w:val="28"/>
          </w:rPr>
          <w:fldChar w:fldCharType="end"/>
        </w:r>
      </w:hyperlink>
    </w:p>
    <w:p>
      <w:pPr>
        <w:pStyle w:val="TOC1"/>
        <w:tabs>
          <w:tab w:val="right" w:leader="dot" w:pos="9175"/>
        </w:tabs>
        <w:adjustRightInd w:val="0"/>
        <w:snapToGrid w:val="0"/>
        <w:spacing w:line="500" w:lineRule="exact"/>
        <w:rPr>
          <w:rFonts w:ascii="Times New Roman" w:hAnsi="Times New Roman"/>
          <w:lang w:val="en-US" w:eastAsia="zh-CN"/>
        </w:rPr>
      </w:pPr>
      <w:hyperlink w:anchor="_Toc14347222" w:history="1">
        <w:r>
          <w:rPr>
            <w:rStyle w:val="Hyperlink"/>
            <w:rFonts w:ascii="Times New Roman" w:eastAsia="黑体" w:hAnsi="Times New Roman"/>
            <w:color w:val="auto"/>
          </w:rPr>
          <w:t>13附件、附图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_Toc14347222 \h </w:instrText>
        </w:r>
        <w:r>
          <w:rPr>
            <w:rFonts w:ascii="Times New Roman" w:hAnsi="Times New Roman"/>
          </w:rPr>
          <w:fldChar w:fldCharType="separate"/>
        </w:r>
        <w:r>
          <w:rPr>
            <w:rFonts w:ascii="Times New Roman" w:hAnsi="Times New Roman"/>
          </w:rPr>
          <w:t>102</w:t>
        </w:r>
        <w:r>
          <w:rPr>
            <w:rFonts w:ascii="Times New Roman" w:hAnsi="Times New Roman"/>
          </w:rPr>
          <w:fldChar w:fldCharType="end"/>
        </w:r>
      </w:hyperlink>
    </w:p>
    <w:p>
      <w:pPr>
        <w:pStyle w:val="TOC2"/>
        <w:tabs>
          <w:tab w:val="right" w:leader="dot" w:pos="9214"/>
        </w:tabs>
        <w:adjustRightInd w:val="0"/>
        <w:snapToGrid w:val="0"/>
        <w:spacing w:line="500" w:lineRule="exact"/>
        <w:rPr>
          <w:sz w:val="28"/>
          <w:szCs w:val="28"/>
        </w:rPr>
      </w:pPr>
      <w:hyperlink w:anchor="_Toc14347223" w:history="1">
        <w:r>
          <w:rPr>
            <w:rStyle w:val="Hyperlink"/>
            <w:rFonts w:eastAsia="楷体"/>
            <w:color w:val="auto"/>
            <w:sz w:val="28"/>
            <w:szCs w:val="28"/>
          </w:rPr>
          <w:t>13.1附件</w:t>
        </w:r>
        <w:r>
          <w:rPr>
            <w:sz w:val="28"/>
            <w:szCs w:val="28"/>
          </w:rPr>
          <w:tab/>
        </w:r>
        <w:r>
          <w:rPr>
            <w:sz w:val="28"/>
            <w:szCs w:val="28"/>
          </w:rPr>
          <w:fldChar w:fldCharType="begin"/>
        </w:r>
        <w:r>
          <w:rPr>
            <w:sz w:val="28"/>
            <w:szCs w:val="28"/>
          </w:rPr>
          <w:instrText xml:space="preserve"> PAGEREF _Toc14347223 \h </w:instrText>
        </w:r>
        <w:r>
          <w:rPr>
            <w:sz w:val="28"/>
            <w:szCs w:val="28"/>
          </w:rPr>
          <w:fldChar w:fldCharType="separate"/>
        </w:r>
        <w:r>
          <w:rPr>
            <w:sz w:val="28"/>
            <w:szCs w:val="28"/>
          </w:rPr>
          <w:t>102</w:t>
        </w:r>
        <w:r>
          <w:rPr>
            <w:sz w:val="28"/>
            <w:szCs w:val="28"/>
          </w:rPr>
          <w:fldChar w:fldCharType="end"/>
        </w:r>
      </w:hyperlink>
    </w:p>
    <w:p>
      <w:pPr>
        <w:pStyle w:val="TOC2"/>
        <w:tabs>
          <w:tab w:val="right" w:leader="dot" w:pos="9214"/>
        </w:tabs>
        <w:adjustRightInd w:val="0"/>
        <w:snapToGrid w:val="0"/>
        <w:spacing w:line="500" w:lineRule="exact"/>
        <w:rPr>
          <w:sz w:val="28"/>
          <w:szCs w:val="28"/>
        </w:rPr>
      </w:pPr>
      <w:hyperlink w:anchor="_Toc14347224" w:history="1">
        <w:r>
          <w:rPr>
            <w:rStyle w:val="Hyperlink"/>
            <w:rFonts w:eastAsia="楷体"/>
            <w:color w:val="auto"/>
            <w:sz w:val="28"/>
            <w:szCs w:val="28"/>
          </w:rPr>
          <w:t>13.2附图</w:t>
        </w:r>
        <w:r>
          <w:rPr>
            <w:sz w:val="28"/>
            <w:szCs w:val="28"/>
          </w:rPr>
          <w:tab/>
        </w:r>
        <w:r>
          <w:rPr>
            <w:sz w:val="28"/>
            <w:szCs w:val="28"/>
          </w:rPr>
          <w:fldChar w:fldCharType="begin"/>
        </w:r>
        <w:r>
          <w:rPr>
            <w:sz w:val="28"/>
            <w:szCs w:val="28"/>
          </w:rPr>
          <w:instrText xml:space="preserve"> PAGEREF _Toc14347224 \h </w:instrText>
        </w:r>
        <w:r>
          <w:rPr>
            <w:sz w:val="28"/>
            <w:szCs w:val="28"/>
          </w:rPr>
          <w:fldChar w:fldCharType="separate"/>
        </w:r>
        <w:r>
          <w:rPr>
            <w:sz w:val="28"/>
            <w:szCs w:val="28"/>
          </w:rPr>
          <w:t>102</w:t>
        </w:r>
        <w:r>
          <w:rPr>
            <w:sz w:val="28"/>
            <w:szCs w:val="28"/>
          </w:rPr>
          <w:fldChar w:fldCharType="end"/>
        </w:r>
      </w:hyperlink>
    </w:p>
    <w:p>
      <w:pPr>
        <w:pStyle w:val="BodyTextIndent"/>
        <w:adjustRightInd w:val="0"/>
        <w:snapToGrid w:val="0"/>
        <w:spacing w:line="500" w:lineRule="exact"/>
        <w:ind w:right="-170" w:firstLine="0" w:rightChars="-81" w:firstLineChars="0"/>
        <w:rPr>
          <w:szCs w:val="28"/>
        </w:rPr>
      </w:pPr>
      <w:r>
        <w:rPr>
          <w:szCs w:val="28"/>
        </w:rPr>
        <w:fldChar w:fldCharType="end"/>
      </w:r>
    </w:p>
    <w:p>
      <w:pPr>
        <w:pStyle w:val="BodyTextIndent"/>
        <w:spacing w:line="360" w:lineRule="auto"/>
        <w:ind w:firstLine="0" w:firstLineChars="0"/>
        <w:rPr>
          <w:szCs w:val="28"/>
        </w:rPr>
        <w:sectPr>
          <w:headerReference w:type="default" r:id="rId12"/>
          <w:footerReference w:type="default" r:id="rId13"/>
          <w:type w:val="nextPage"/>
          <w:pgSz w:w="11906" w:h="16838"/>
          <w:pgMar w:top="1418" w:right="1418" w:bottom="1304" w:left="1588" w:header="1134" w:footer="974" w:gutter="0"/>
          <w:pgNumType w:fmt="upperRoman" w:start="3"/>
          <w:cols w:space="708"/>
          <w:titlePg w:val="0"/>
          <w:docGrid w:type="lines" w:linePitch="312"/>
        </w:sectPr>
      </w:pPr>
    </w:p>
    <w:p>
      <w:pPr>
        <w:pStyle w:val="Heading1"/>
        <w:adjustRightInd w:val="0"/>
        <w:snapToGrid w:val="0"/>
        <w:spacing w:before="156" w:beforeLines="50" w:after="0" w:line="360" w:lineRule="auto"/>
        <w:jc w:val="center"/>
        <w:rPr>
          <w:rFonts w:ascii="Times New Roman" w:eastAsia="黑体" w:hAnsi="Times New Roman"/>
          <w:sz w:val="32"/>
          <w:szCs w:val="32"/>
        </w:rPr>
      </w:pPr>
      <w:bookmarkStart w:id="6" w:name="_Toc465883352"/>
      <w:bookmarkStart w:id="7" w:name="_Toc14347165"/>
      <w:bookmarkStart w:id="8" w:name="_Toc393547595"/>
      <w:bookmarkEnd w:id="3"/>
      <w:bookmarkEnd w:id="4"/>
      <w:bookmarkEnd w:id="5"/>
      <w:r>
        <w:rPr>
          <w:rFonts w:ascii="Times New Roman" w:eastAsia="黑体" w:hAnsi="Times New Roman"/>
          <w:sz w:val="32"/>
          <w:szCs w:val="32"/>
        </w:rPr>
        <w:t>1设计依据</w:t>
      </w:r>
      <w:bookmarkEnd w:id="6"/>
      <w:bookmarkEnd w:id="7"/>
    </w:p>
    <w:p>
      <w:pPr>
        <w:pStyle w:val="Heading2"/>
        <w:adjustRightInd w:val="0"/>
        <w:snapToGrid w:val="0"/>
        <w:spacing w:before="0" w:after="0" w:line="360" w:lineRule="auto"/>
        <w:rPr>
          <w:rFonts w:ascii="Times New Roman" w:eastAsia="楷体" w:hAnsi="Times New Roman"/>
        </w:rPr>
      </w:pPr>
      <w:bookmarkStart w:id="9" w:name="_Toc391729448"/>
      <w:bookmarkStart w:id="10" w:name="_Toc388959556"/>
      <w:bookmarkStart w:id="11" w:name="_Toc387085789"/>
      <w:bookmarkStart w:id="12" w:name="_Toc375162452"/>
      <w:bookmarkStart w:id="13" w:name="_Toc369267129"/>
      <w:bookmarkStart w:id="14" w:name="_Toc14347166"/>
      <w:bookmarkStart w:id="15" w:name="_Toc401525650"/>
      <w:bookmarkStart w:id="16" w:name="_Toc465883353"/>
      <w:bookmarkStart w:id="17" w:name="_Toc394422392"/>
      <w:bookmarkStart w:id="18" w:name="_Toc20503"/>
      <w:bookmarkStart w:id="19" w:name="_Toc361385039"/>
      <w:bookmarkStart w:id="20" w:name="_Toc401525912"/>
      <w:bookmarkStart w:id="21" w:name="_Toc402804528"/>
      <w:bookmarkStart w:id="22" w:name="_Toc358285330"/>
      <w:bookmarkStart w:id="23" w:name="_Toc4044"/>
      <w:r>
        <w:rPr>
          <w:rFonts w:ascii="Times New Roman" w:eastAsia="楷体" w:hAnsi="Times New Roman"/>
        </w:rPr>
        <w:t>1.1国家法律</w:t>
      </w:r>
      <w:bookmarkEnd w:id="9"/>
      <w:bookmarkEnd w:id="10"/>
      <w:bookmarkEnd w:id="11"/>
      <w:bookmarkEnd w:id="12"/>
      <w:bookmarkEnd w:id="13"/>
      <w:bookmarkEnd w:id="14"/>
      <w:bookmarkEnd w:id="15"/>
      <w:bookmarkEnd w:id="16"/>
      <w:bookmarkEnd w:id="17"/>
      <w:bookmarkEnd w:id="18"/>
      <w:bookmarkEnd w:id="19"/>
      <w:bookmarkEnd w:id="23"/>
      <w:bookmarkEnd w:id="20"/>
      <w:bookmarkEnd w:id="21"/>
      <w:bookmarkEnd w:id="22"/>
    </w:p>
    <w:p>
      <w:pPr>
        <w:adjustRightInd w:val="0"/>
        <w:snapToGrid w:val="0"/>
        <w:spacing w:line="360" w:lineRule="auto"/>
        <w:ind w:firstLine="560" w:firstLineChars="200"/>
        <w:rPr>
          <w:spacing w:val="2"/>
          <w:sz w:val="28"/>
          <w:szCs w:val="28"/>
        </w:rPr>
      </w:pPr>
      <w:r>
        <w:rPr>
          <w:spacing w:val="2"/>
          <w:sz w:val="28"/>
          <w:szCs w:val="28"/>
        </w:rPr>
        <w:t>1、《中华人民共和国安全生产法》（主席令[2014]第13号）；</w:t>
      </w:r>
    </w:p>
    <w:p>
      <w:pPr>
        <w:adjustRightInd w:val="0"/>
        <w:snapToGrid w:val="0"/>
        <w:spacing w:line="360" w:lineRule="auto"/>
        <w:ind w:firstLine="560" w:firstLineChars="200"/>
        <w:rPr>
          <w:spacing w:val="2"/>
          <w:sz w:val="28"/>
          <w:szCs w:val="28"/>
        </w:rPr>
      </w:pPr>
      <w:r>
        <w:rPr>
          <w:spacing w:val="2"/>
          <w:sz w:val="28"/>
          <w:szCs w:val="28"/>
        </w:rPr>
        <w:t>2、《中华人民共和国劳动法》（主席令[1994]第28号）（2009年修订）；</w:t>
      </w:r>
    </w:p>
    <w:p>
      <w:pPr>
        <w:adjustRightInd w:val="0"/>
        <w:snapToGrid w:val="0"/>
        <w:spacing w:line="360" w:lineRule="auto"/>
        <w:ind w:firstLine="560" w:firstLineChars="200"/>
        <w:rPr>
          <w:spacing w:val="2"/>
          <w:sz w:val="28"/>
          <w:szCs w:val="28"/>
        </w:rPr>
      </w:pPr>
      <w:r>
        <w:rPr>
          <w:spacing w:val="2"/>
          <w:sz w:val="28"/>
          <w:szCs w:val="28"/>
        </w:rPr>
        <w:t>3、《中华人民共和国防洪法》（主席令[1997]第88号）（2015年修订）；</w:t>
      </w:r>
    </w:p>
    <w:p>
      <w:pPr>
        <w:adjustRightInd w:val="0"/>
        <w:snapToGrid w:val="0"/>
        <w:spacing w:line="360" w:lineRule="auto"/>
        <w:ind w:firstLine="560" w:firstLineChars="200"/>
        <w:rPr>
          <w:spacing w:val="2"/>
          <w:sz w:val="28"/>
          <w:szCs w:val="28"/>
        </w:rPr>
      </w:pPr>
      <w:r>
        <w:rPr>
          <w:spacing w:val="2"/>
          <w:sz w:val="28"/>
          <w:szCs w:val="28"/>
        </w:rPr>
        <w:t>4、《中华人民共和国消防法》（主席令[2008]第6号）；</w:t>
      </w:r>
    </w:p>
    <w:p>
      <w:pPr>
        <w:adjustRightInd w:val="0"/>
        <w:snapToGrid w:val="0"/>
        <w:spacing w:line="360" w:lineRule="auto"/>
        <w:ind w:firstLine="560" w:firstLineChars="200"/>
        <w:rPr>
          <w:spacing w:val="2"/>
          <w:sz w:val="28"/>
          <w:szCs w:val="28"/>
        </w:rPr>
      </w:pPr>
      <w:r>
        <w:rPr>
          <w:spacing w:val="2"/>
          <w:sz w:val="28"/>
          <w:szCs w:val="28"/>
        </w:rPr>
        <w:t>5、《中华人民共和国电力法》（主席令[1995]第60号）（2015年修订）；</w:t>
      </w:r>
    </w:p>
    <w:p>
      <w:pPr>
        <w:tabs>
          <w:tab w:val="left" w:pos="7065"/>
        </w:tabs>
        <w:adjustRightInd w:val="0"/>
        <w:snapToGrid w:val="0"/>
        <w:spacing w:line="360" w:lineRule="auto"/>
        <w:ind w:firstLine="560" w:firstLineChars="200"/>
        <w:rPr>
          <w:spacing w:val="2"/>
          <w:sz w:val="28"/>
          <w:szCs w:val="28"/>
        </w:rPr>
      </w:pPr>
      <w:r>
        <w:rPr>
          <w:spacing w:val="2"/>
          <w:sz w:val="28"/>
          <w:szCs w:val="28"/>
        </w:rPr>
        <w:t>6、《中华人民共和国防震减灾法》（主席令[2008]第7号）；</w:t>
      </w:r>
    </w:p>
    <w:p>
      <w:pPr>
        <w:adjustRightInd w:val="0"/>
        <w:snapToGrid w:val="0"/>
        <w:spacing w:line="360" w:lineRule="auto"/>
        <w:ind w:firstLine="560" w:firstLineChars="200"/>
        <w:rPr>
          <w:spacing w:val="2"/>
          <w:sz w:val="28"/>
          <w:szCs w:val="28"/>
        </w:rPr>
      </w:pPr>
      <w:r>
        <w:rPr>
          <w:spacing w:val="2"/>
          <w:sz w:val="28"/>
          <w:szCs w:val="28"/>
        </w:rPr>
        <w:t>7、《中华人民共和国气象法》（主席令[1999]第23号）（2014年修订）；</w:t>
      </w:r>
    </w:p>
    <w:p>
      <w:pPr>
        <w:adjustRightInd w:val="0"/>
        <w:snapToGrid w:val="0"/>
        <w:spacing w:line="360" w:lineRule="auto"/>
        <w:ind w:firstLine="560" w:firstLineChars="200"/>
        <w:rPr>
          <w:spacing w:val="2"/>
          <w:sz w:val="28"/>
          <w:szCs w:val="28"/>
        </w:rPr>
      </w:pPr>
      <w:r>
        <w:rPr>
          <w:spacing w:val="2"/>
          <w:sz w:val="28"/>
          <w:szCs w:val="28"/>
        </w:rPr>
        <w:t>8、《中华人民共和国道路交通安全法》（主席令[2011]第47号）；</w:t>
      </w:r>
    </w:p>
    <w:p>
      <w:pPr>
        <w:adjustRightInd w:val="0"/>
        <w:snapToGrid w:val="0"/>
        <w:spacing w:line="360" w:lineRule="auto"/>
        <w:ind w:firstLine="560" w:firstLineChars="200"/>
        <w:rPr>
          <w:spacing w:val="2"/>
          <w:sz w:val="28"/>
          <w:szCs w:val="28"/>
        </w:rPr>
      </w:pPr>
      <w:r>
        <w:rPr>
          <w:spacing w:val="2"/>
          <w:sz w:val="28"/>
          <w:szCs w:val="28"/>
        </w:rPr>
        <w:t>9、《中华人民共和国建筑法》（主席令[2011]第46号）；</w:t>
      </w:r>
    </w:p>
    <w:p>
      <w:pPr>
        <w:adjustRightInd w:val="0"/>
        <w:snapToGrid w:val="0"/>
        <w:spacing w:line="360" w:lineRule="auto"/>
        <w:ind w:firstLine="560" w:firstLineChars="200"/>
        <w:rPr>
          <w:spacing w:val="2"/>
          <w:sz w:val="28"/>
          <w:szCs w:val="28"/>
        </w:rPr>
      </w:pPr>
      <w:r>
        <w:rPr>
          <w:spacing w:val="2"/>
          <w:sz w:val="28"/>
          <w:szCs w:val="28"/>
        </w:rPr>
        <w:t>10、《中华人民共和国职业病防治法》（主席令[2011]第52号，主席令[2018]第24号修订）；</w:t>
      </w:r>
    </w:p>
    <w:p>
      <w:pPr>
        <w:adjustRightInd w:val="0"/>
        <w:snapToGrid w:val="0"/>
        <w:spacing w:line="360" w:lineRule="auto"/>
        <w:ind w:firstLine="560" w:firstLineChars="200"/>
        <w:rPr>
          <w:spacing w:val="2"/>
          <w:sz w:val="28"/>
          <w:szCs w:val="28"/>
        </w:rPr>
      </w:pPr>
      <w:r>
        <w:rPr>
          <w:spacing w:val="2"/>
          <w:sz w:val="28"/>
          <w:szCs w:val="28"/>
        </w:rPr>
        <w:t>11、《中华人民共和国突发事件应对法》（主席令[2007]第69号）；</w:t>
      </w:r>
    </w:p>
    <w:p>
      <w:pPr>
        <w:adjustRightInd w:val="0"/>
        <w:snapToGrid w:val="0"/>
        <w:spacing w:line="360" w:lineRule="auto"/>
        <w:ind w:firstLine="560" w:firstLineChars="200"/>
        <w:rPr>
          <w:spacing w:val="2"/>
          <w:sz w:val="28"/>
          <w:szCs w:val="28"/>
        </w:rPr>
      </w:pPr>
      <w:r>
        <w:rPr>
          <w:spacing w:val="2"/>
          <w:sz w:val="28"/>
          <w:szCs w:val="28"/>
        </w:rPr>
        <w:t>12、《中华人民共和国可再生能源法》（主席令[2009]第23号）；</w:t>
      </w:r>
    </w:p>
    <w:p>
      <w:pPr>
        <w:adjustRightInd w:val="0"/>
        <w:snapToGrid w:val="0"/>
        <w:spacing w:line="360" w:lineRule="auto"/>
        <w:ind w:firstLine="560" w:firstLineChars="200"/>
        <w:rPr>
          <w:spacing w:val="2"/>
          <w:sz w:val="28"/>
          <w:szCs w:val="28"/>
        </w:rPr>
      </w:pPr>
      <w:r>
        <w:rPr>
          <w:spacing w:val="2"/>
          <w:sz w:val="28"/>
          <w:szCs w:val="28"/>
        </w:rPr>
        <w:t>13、《中华人民共和国特种设备安全法》（主席令[2013]第4号）；</w:t>
      </w:r>
    </w:p>
    <w:p>
      <w:pPr>
        <w:adjustRightInd w:val="0"/>
        <w:snapToGrid w:val="0"/>
        <w:spacing w:line="360" w:lineRule="auto"/>
        <w:ind w:firstLine="560" w:firstLineChars="200"/>
        <w:rPr>
          <w:spacing w:val="2"/>
          <w:sz w:val="28"/>
          <w:szCs w:val="28"/>
        </w:rPr>
      </w:pPr>
      <w:r>
        <w:rPr>
          <w:spacing w:val="2"/>
          <w:sz w:val="28"/>
          <w:szCs w:val="28"/>
        </w:rPr>
        <w:t>14、《中华人民共和国清洁生产促进法》（主席令[2012]第54号）。</w:t>
      </w:r>
    </w:p>
    <w:p>
      <w:pPr>
        <w:pStyle w:val="Heading2"/>
        <w:adjustRightInd w:val="0"/>
        <w:snapToGrid w:val="0"/>
        <w:spacing w:before="0" w:after="0" w:line="360" w:lineRule="auto"/>
        <w:rPr>
          <w:rFonts w:ascii="Times New Roman" w:eastAsia="楷体" w:hAnsi="Times New Roman"/>
        </w:rPr>
      </w:pPr>
      <w:bookmarkStart w:id="24" w:name="_Toc401525651"/>
      <w:bookmarkStart w:id="25" w:name="_Toc358285331"/>
      <w:bookmarkStart w:id="26" w:name="_Toc14347167"/>
      <w:bookmarkStart w:id="27" w:name="_Toc402804529"/>
      <w:bookmarkStart w:id="28" w:name="_Toc401525913"/>
      <w:bookmarkStart w:id="29" w:name="_Toc361385040"/>
      <w:bookmarkStart w:id="30" w:name="_Toc375162453"/>
      <w:bookmarkStart w:id="31" w:name="_Toc465883354"/>
      <w:bookmarkStart w:id="32" w:name="_Toc369267130"/>
      <w:bookmarkStart w:id="33" w:name="_Toc391729449"/>
      <w:bookmarkStart w:id="34" w:name="_Toc387085790"/>
      <w:bookmarkStart w:id="35" w:name="_Toc394422393"/>
      <w:bookmarkStart w:id="36" w:name="_Toc18867"/>
      <w:bookmarkStart w:id="37" w:name="_Toc388959557"/>
      <w:bookmarkStart w:id="38" w:name="_Toc15217"/>
      <w:r>
        <w:rPr>
          <w:rFonts w:ascii="Times New Roman" w:eastAsia="楷体" w:hAnsi="Times New Roman"/>
        </w:rPr>
        <w:t>1.2国家行政法规</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pPr>
        <w:adjustRightInd w:val="0"/>
        <w:snapToGrid w:val="0"/>
        <w:spacing w:line="360" w:lineRule="auto"/>
        <w:ind w:firstLine="560" w:firstLineChars="200"/>
        <w:rPr>
          <w:spacing w:val="2"/>
          <w:sz w:val="28"/>
          <w:szCs w:val="28"/>
        </w:rPr>
      </w:pPr>
      <w:r>
        <w:rPr>
          <w:spacing w:val="2"/>
          <w:sz w:val="28"/>
          <w:szCs w:val="28"/>
        </w:rPr>
        <w:t>1、《中华人民共和国道路交通安全法实施条例》（国务院令[2004]第405号）；</w:t>
      </w:r>
    </w:p>
    <w:p>
      <w:pPr>
        <w:adjustRightInd w:val="0"/>
        <w:snapToGrid w:val="0"/>
        <w:spacing w:line="360" w:lineRule="auto"/>
        <w:ind w:firstLine="560" w:firstLineChars="200"/>
        <w:rPr>
          <w:spacing w:val="2"/>
          <w:sz w:val="28"/>
          <w:szCs w:val="28"/>
        </w:rPr>
        <w:sectPr>
          <w:headerReference w:type="default" r:id="rId14"/>
          <w:footerReference w:type="default" r:id="rId15"/>
          <w:pgSz w:w="11906" w:h="16838"/>
          <w:pgMar w:top="1418" w:right="1418" w:bottom="1361" w:left="1474" w:header="993" w:footer="980" w:gutter="0"/>
          <w:pgNumType w:start="1"/>
          <w:cols w:space="708"/>
          <w:docGrid w:type="lines" w:linePitch="312"/>
        </w:sectPr>
      </w:pPr>
      <w:r>
        <w:rPr>
          <w:spacing w:val="2"/>
          <w:sz w:val="28"/>
          <w:szCs w:val="28"/>
        </w:rPr>
        <w:t>2、《生产安全事故报告和调查处理条例》（国务院令[2007]第493号）；</w:t>
      </w:r>
    </w:p>
    <w:p>
      <w:pPr>
        <w:adjustRightInd w:val="0"/>
        <w:snapToGrid w:val="0"/>
        <w:spacing w:line="360" w:lineRule="auto"/>
        <w:ind w:firstLine="560" w:firstLineChars="200"/>
        <w:rPr>
          <w:spacing w:val="2"/>
          <w:sz w:val="28"/>
          <w:szCs w:val="28"/>
        </w:rPr>
      </w:pPr>
      <w:r>
        <w:rPr>
          <w:spacing w:val="2"/>
          <w:sz w:val="28"/>
          <w:szCs w:val="28"/>
        </w:rPr>
        <w:t>3、《地质灾害防治条例》（国务院令[2004]第394号）；</w:t>
      </w:r>
    </w:p>
    <w:p>
      <w:pPr>
        <w:adjustRightInd w:val="0"/>
        <w:snapToGrid w:val="0"/>
        <w:spacing w:line="360" w:lineRule="auto"/>
        <w:ind w:firstLine="560" w:firstLineChars="200"/>
        <w:rPr>
          <w:spacing w:val="2"/>
          <w:sz w:val="28"/>
          <w:szCs w:val="28"/>
        </w:rPr>
      </w:pPr>
      <w:r>
        <w:rPr>
          <w:spacing w:val="2"/>
          <w:sz w:val="28"/>
          <w:szCs w:val="28"/>
        </w:rPr>
        <w:t>4、《气象灾害防御条例》（国务院令[2010]第570号）；</w:t>
      </w:r>
    </w:p>
    <w:p>
      <w:pPr>
        <w:adjustRightInd w:val="0"/>
        <w:snapToGrid w:val="0"/>
        <w:spacing w:line="360" w:lineRule="auto"/>
        <w:ind w:firstLine="560" w:firstLineChars="200"/>
        <w:rPr>
          <w:spacing w:val="2"/>
          <w:sz w:val="28"/>
          <w:szCs w:val="28"/>
        </w:rPr>
      </w:pPr>
      <w:r>
        <w:rPr>
          <w:spacing w:val="2"/>
          <w:sz w:val="28"/>
          <w:szCs w:val="28"/>
        </w:rPr>
        <w:t>5、《地震安全性评价管理条例》（国务院令[2002]第323号）；</w:t>
      </w:r>
    </w:p>
    <w:p>
      <w:pPr>
        <w:adjustRightInd w:val="0"/>
        <w:snapToGrid w:val="0"/>
        <w:spacing w:line="360" w:lineRule="auto"/>
        <w:ind w:firstLine="560" w:firstLineChars="200"/>
        <w:rPr>
          <w:spacing w:val="2"/>
          <w:sz w:val="28"/>
          <w:szCs w:val="28"/>
        </w:rPr>
      </w:pPr>
      <w:r>
        <w:rPr>
          <w:spacing w:val="2"/>
          <w:sz w:val="28"/>
          <w:szCs w:val="28"/>
        </w:rPr>
        <w:t>6、《工伤保险条例》（国务院令[2010]第586号）；</w:t>
      </w:r>
    </w:p>
    <w:p>
      <w:pPr>
        <w:adjustRightInd w:val="0"/>
        <w:snapToGrid w:val="0"/>
        <w:spacing w:line="360" w:lineRule="auto"/>
        <w:ind w:firstLine="560" w:firstLineChars="200"/>
        <w:rPr>
          <w:spacing w:val="2"/>
          <w:sz w:val="28"/>
          <w:szCs w:val="28"/>
        </w:rPr>
      </w:pPr>
      <w:r>
        <w:rPr>
          <w:spacing w:val="2"/>
          <w:sz w:val="28"/>
          <w:szCs w:val="28"/>
        </w:rPr>
        <w:t>7、《劳动保障监察条例》（国务院令[2004]第423号）；</w:t>
      </w:r>
    </w:p>
    <w:p>
      <w:pPr>
        <w:adjustRightInd w:val="0"/>
        <w:snapToGrid w:val="0"/>
        <w:spacing w:line="360" w:lineRule="auto"/>
        <w:ind w:firstLine="560" w:firstLineChars="200"/>
        <w:rPr>
          <w:spacing w:val="2"/>
          <w:sz w:val="28"/>
          <w:szCs w:val="28"/>
        </w:rPr>
      </w:pPr>
      <w:r>
        <w:rPr>
          <w:spacing w:val="2"/>
          <w:sz w:val="28"/>
          <w:szCs w:val="28"/>
        </w:rPr>
        <w:t>8、《建设工程质量管理条例》（国务院令[2004]第279号）；</w:t>
      </w:r>
    </w:p>
    <w:p>
      <w:pPr>
        <w:adjustRightInd w:val="0"/>
        <w:snapToGrid w:val="0"/>
        <w:spacing w:line="360" w:lineRule="auto"/>
        <w:ind w:firstLine="560" w:firstLineChars="200"/>
        <w:rPr>
          <w:spacing w:val="2"/>
          <w:sz w:val="28"/>
          <w:szCs w:val="28"/>
        </w:rPr>
      </w:pPr>
      <w:r>
        <w:rPr>
          <w:spacing w:val="2"/>
          <w:sz w:val="28"/>
          <w:szCs w:val="28"/>
        </w:rPr>
        <w:t>9、《危险化学品安全管理条例》（国务院令[2011]第591号）（2013年修订）；</w:t>
      </w:r>
    </w:p>
    <w:p>
      <w:pPr>
        <w:adjustRightInd w:val="0"/>
        <w:snapToGrid w:val="0"/>
        <w:spacing w:line="360" w:lineRule="auto"/>
        <w:ind w:firstLine="560" w:firstLineChars="200"/>
        <w:rPr>
          <w:spacing w:val="2"/>
          <w:sz w:val="28"/>
          <w:szCs w:val="28"/>
        </w:rPr>
      </w:pPr>
      <w:r>
        <w:rPr>
          <w:spacing w:val="2"/>
          <w:sz w:val="28"/>
          <w:szCs w:val="28"/>
        </w:rPr>
        <w:t>10、《中华人民共和国防汛条例》（国务院令[2005]第441号）;</w:t>
      </w:r>
    </w:p>
    <w:p>
      <w:pPr>
        <w:adjustRightInd w:val="0"/>
        <w:snapToGrid w:val="0"/>
        <w:spacing w:line="360" w:lineRule="auto"/>
        <w:ind w:firstLine="560" w:firstLineChars="200"/>
        <w:rPr>
          <w:spacing w:val="2"/>
          <w:sz w:val="28"/>
          <w:szCs w:val="28"/>
        </w:rPr>
      </w:pPr>
      <w:r>
        <w:rPr>
          <w:spacing w:val="2"/>
          <w:sz w:val="28"/>
          <w:szCs w:val="28"/>
        </w:rPr>
        <w:t>11、《中华人民共和国特种设备安全监察条例》（国务院令[2003]第373号，根据2009年1月24日《国务院关于修改〈特种设备安全监察条例〉的决定》修订）；</w:t>
      </w:r>
    </w:p>
    <w:p>
      <w:pPr>
        <w:adjustRightInd w:val="0"/>
        <w:snapToGrid w:val="0"/>
        <w:spacing w:line="360" w:lineRule="auto"/>
        <w:ind w:firstLine="560" w:firstLineChars="200"/>
        <w:rPr>
          <w:spacing w:val="2"/>
          <w:sz w:val="28"/>
          <w:szCs w:val="28"/>
        </w:rPr>
      </w:pPr>
      <w:r>
        <w:rPr>
          <w:spacing w:val="2"/>
          <w:sz w:val="28"/>
          <w:szCs w:val="28"/>
        </w:rPr>
        <w:t>12、《生产安全事故应急条例》（国务院令[2018]第708号）。</w:t>
      </w:r>
    </w:p>
    <w:p>
      <w:pPr>
        <w:pStyle w:val="Heading2"/>
        <w:adjustRightInd w:val="0"/>
        <w:snapToGrid w:val="0"/>
        <w:spacing w:before="0" w:after="0" w:line="360" w:lineRule="auto"/>
        <w:rPr>
          <w:rFonts w:ascii="Times New Roman" w:eastAsia="楷体" w:hAnsi="Times New Roman"/>
        </w:rPr>
      </w:pPr>
      <w:bookmarkStart w:id="39" w:name="_Toc388959558"/>
      <w:bookmarkStart w:id="40" w:name="_Toc391729450"/>
      <w:bookmarkStart w:id="41" w:name="_Toc387085791"/>
      <w:bookmarkStart w:id="42" w:name="_Toc14347168"/>
      <w:bookmarkStart w:id="43" w:name="_Toc402804530"/>
      <w:bookmarkStart w:id="44" w:name="_Toc465883355"/>
      <w:bookmarkStart w:id="45" w:name="_Toc369267131"/>
      <w:bookmarkStart w:id="46" w:name="_Toc394422394"/>
      <w:bookmarkStart w:id="47" w:name="_Toc401525914"/>
      <w:bookmarkStart w:id="48" w:name="_Toc358285332"/>
      <w:bookmarkStart w:id="49" w:name="_Toc361385041"/>
      <w:bookmarkStart w:id="50" w:name="_Toc401525652"/>
      <w:bookmarkStart w:id="51" w:name="_Toc28612"/>
      <w:bookmarkStart w:id="52" w:name="_Toc7345"/>
      <w:bookmarkStart w:id="53" w:name="_Toc375162454"/>
      <w:r>
        <w:rPr>
          <w:rFonts w:ascii="Times New Roman" w:eastAsia="楷体" w:hAnsi="Times New Roman"/>
        </w:rPr>
        <w:t>1.3地方法规</w:t>
      </w:r>
      <w:bookmarkEnd w:id="53"/>
      <w:bookmarkEnd w:id="39"/>
      <w:bookmarkEnd w:id="40"/>
      <w:bookmarkEnd w:id="41"/>
      <w:bookmarkEnd w:id="42"/>
      <w:bookmarkEnd w:id="43"/>
      <w:bookmarkEnd w:id="44"/>
      <w:bookmarkEnd w:id="45"/>
      <w:bookmarkEnd w:id="46"/>
      <w:bookmarkEnd w:id="47"/>
      <w:bookmarkEnd w:id="48"/>
      <w:bookmarkEnd w:id="49"/>
      <w:bookmarkEnd w:id="50"/>
      <w:bookmarkEnd w:id="51"/>
      <w:bookmarkEnd w:id="52"/>
    </w:p>
    <w:p>
      <w:pPr>
        <w:adjustRightInd w:val="0"/>
        <w:snapToGrid w:val="0"/>
        <w:spacing w:line="360" w:lineRule="auto"/>
        <w:ind w:firstLine="560" w:firstLineChars="200"/>
        <w:rPr>
          <w:spacing w:val="2"/>
          <w:sz w:val="28"/>
          <w:szCs w:val="28"/>
        </w:rPr>
      </w:pPr>
      <w:r>
        <w:rPr>
          <w:spacing w:val="2"/>
          <w:sz w:val="28"/>
          <w:szCs w:val="28"/>
        </w:rPr>
        <w:t>1、《</w:t>
      </w:r>
      <w:r>
        <w:rPr>
          <w:rFonts w:hint="eastAsia"/>
          <w:spacing w:val="2"/>
          <w:sz w:val="28"/>
          <w:szCs w:val="28"/>
          <w:lang w:eastAsia="zh-CN"/>
        </w:rPr>
        <w:t>XX</w:t>
      </w:r>
      <w:r>
        <w:rPr>
          <w:spacing w:val="2"/>
          <w:sz w:val="28"/>
          <w:szCs w:val="28"/>
        </w:rPr>
        <w:t>省安全生产条例》（</w:t>
      </w:r>
      <w:r>
        <w:rPr>
          <w:rFonts w:hint="eastAsia"/>
          <w:spacing w:val="2"/>
          <w:sz w:val="28"/>
          <w:szCs w:val="28"/>
          <w:lang w:eastAsia="zh-CN"/>
        </w:rPr>
        <w:t>XX</w:t>
      </w:r>
      <w:r>
        <w:rPr>
          <w:spacing w:val="2"/>
          <w:sz w:val="28"/>
          <w:szCs w:val="28"/>
        </w:rPr>
        <w:t>省人民代表大会常务委员会公告[十二届]第51号）；</w:t>
      </w:r>
    </w:p>
    <w:p>
      <w:pPr>
        <w:adjustRightInd w:val="0"/>
        <w:snapToGrid w:val="0"/>
        <w:spacing w:line="360" w:lineRule="auto"/>
        <w:ind w:firstLine="560" w:firstLineChars="200"/>
        <w:rPr>
          <w:spacing w:val="2"/>
          <w:sz w:val="28"/>
          <w:szCs w:val="28"/>
        </w:rPr>
      </w:pPr>
      <w:r>
        <w:rPr>
          <w:spacing w:val="2"/>
          <w:sz w:val="28"/>
          <w:szCs w:val="28"/>
        </w:rPr>
        <w:t>2、《</w:t>
      </w:r>
      <w:r>
        <w:rPr>
          <w:rFonts w:hint="eastAsia"/>
          <w:spacing w:val="2"/>
          <w:sz w:val="28"/>
          <w:szCs w:val="28"/>
          <w:lang w:eastAsia="zh-CN"/>
        </w:rPr>
        <w:t>XX</w:t>
      </w:r>
      <w:r>
        <w:rPr>
          <w:spacing w:val="2"/>
          <w:sz w:val="28"/>
          <w:szCs w:val="28"/>
        </w:rPr>
        <w:t>省消防条例》（2009年7月24日经</w:t>
      </w:r>
      <w:r>
        <w:rPr>
          <w:rFonts w:hint="eastAsia"/>
          <w:spacing w:val="2"/>
          <w:sz w:val="28"/>
          <w:szCs w:val="28"/>
          <w:lang w:eastAsia="zh-CN"/>
        </w:rPr>
        <w:t>XX</w:t>
      </w:r>
      <w:r>
        <w:rPr>
          <w:spacing w:val="2"/>
          <w:sz w:val="28"/>
          <w:szCs w:val="28"/>
        </w:rPr>
        <w:t>省第十一届人民代表大会常务委员会第九次会议修订）；</w:t>
      </w:r>
    </w:p>
    <w:p>
      <w:pPr>
        <w:adjustRightInd w:val="0"/>
        <w:snapToGrid w:val="0"/>
        <w:spacing w:line="360" w:lineRule="auto"/>
        <w:ind w:firstLine="560" w:firstLineChars="200"/>
        <w:rPr>
          <w:spacing w:val="2"/>
          <w:sz w:val="28"/>
          <w:szCs w:val="28"/>
        </w:rPr>
      </w:pPr>
      <w:r>
        <w:rPr>
          <w:spacing w:val="2"/>
          <w:sz w:val="28"/>
          <w:szCs w:val="28"/>
        </w:rPr>
        <w:t>3、《</w:t>
      </w:r>
      <w:r>
        <w:rPr>
          <w:rFonts w:hint="eastAsia"/>
          <w:spacing w:val="2"/>
          <w:sz w:val="28"/>
          <w:szCs w:val="28"/>
          <w:lang w:eastAsia="zh-CN"/>
        </w:rPr>
        <w:t>XX</w:t>
      </w:r>
      <w:r>
        <w:rPr>
          <w:spacing w:val="2"/>
          <w:sz w:val="28"/>
          <w:szCs w:val="28"/>
        </w:rPr>
        <w:t>省气象条例》（2001年6月1日</w:t>
      </w:r>
      <w:r>
        <w:rPr>
          <w:rFonts w:hint="eastAsia"/>
          <w:spacing w:val="2"/>
          <w:sz w:val="28"/>
          <w:szCs w:val="28"/>
          <w:lang w:eastAsia="zh-CN"/>
        </w:rPr>
        <w:t>XX</w:t>
      </w:r>
      <w:r>
        <w:rPr>
          <w:spacing w:val="2"/>
          <w:sz w:val="28"/>
          <w:szCs w:val="28"/>
        </w:rPr>
        <w:t>省第九届人民代表大会常务委员会第二十三次会议通过）;</w:t>
      </w:r>
    </w:p>
    <w:p>
      <w:pPr>
        <w:adjustRightInd w:val="0"/>
        <w:snapToGrid w:val="0"/>
        <w:spacing w:line="360" w:lineRule="auto"/>
        <w:ind w:firstLine="560" w:firstLineChars="200"/>
        <w:rPr>
          <w:spacing w:val="2"/>
          <w:sz w:val="28"/>
          <w:szCs w:val="28"/>
        </w:rPr>
      </w:pPr>
      <w:r>
        <w:rPr>
          <w:spacing w:val="2"/>
          <w:sz w:val="28"/>
          <w:szCs w:val="28"/>
        </w:rPr>
        <w:t>4、《</w:t>
      </w:r>
      <w:r>
        <w:rPr>
          <w:rFonts w:hint="eastAsia"/>
          <w:spacing w:val="2"/>
          <w:sz w:val="28"/>
          <w:szCs w:val="28"/>
          <w:lang w:eastAsia="zh-CN"/>
        </w:rPr>
        <w:t>XX</w:t>
      </w:r>
      <w:r>
        <w:rPr>
          <w:spacing w:val="2"/>
          <w:sz w:val="28"/>
          <w:szCs w:val="28"/>
        </w:rPr>
        <w:t>省生产经营单位安全生产主体责任规定》（</w:t>
      </w:r>
      <w:r>
        <w:rPr>
          <w:rFonts w:hint="eastAsia"/>
          <w:spacing w:val="2"/>
          <w:sz w:val="28"/>
          <w:szCs w:val="28"/>
          <w:lang w:eastAsia="zh-CN"/>
        </w:rPr>
        <w:t>XX</w:t>
      </w:r>
      <w:r>
        <w:rPr>
          <w:spacing w:val="2"/>
          <w:sz w:val="28"/>
          <w:szCs w:val="28"/>
        </w:rPr>
        <w:t>省人民政府令第156号）；</w:t>
      </w:r>
    </w:p>
    <w:p>
      <w:pPr>
        <w:adjustRightInd w:val="0"/>
        <w:snapToGrid w:val="0"/>
        <w:spacing w:line="360" w:lineRule="auto"/>
        <w:ind w:firstLine="560" w:firstLineChars="200"/>
        <w:rPr>
          <w:spacing w:val="2"/>
          <w:sz w:val="28"/>
          <w:szCs w:val="28"/>
        </w:rPr>
      </w:pPr>
      <w:r>
        <w:rPr>
          <w:spacing w:val="2"/>
          <w:sz w:val="28"/>
          <w:szCs w:val="28"/>
        </w:rPr>
        <w:t>5、《</w:t>
      </w:r>
      <w:r>
        <w:rPr>
          <w:rFonts w:hint="eastAsia"/>
          <w:spacing w:val="2"/>
          <w:sz w:val="28"/>
          <w:szCs w:val="28"/>
          <w:lang w:eastAsia="zh-CN"/>
        </w:rPr>
        <w:t>XX</w:t>
      </w:r>
      <w:r>
        <w:rPr>
          <w:spacing w:val="2"/>
          <w:sz w:val="28"/>
          <w:szCs w:val="28"/>
        </w:rPr>
        <w:t>省实施防雷减灾管理办法细则》（省气象局陕气发[2003]5号）；</w:t>
      </w:r>
    </w:p>
    <w:p>
      <w:pPr>
        <w:adjustRightInd w:val="0"/>
        <w:snapToGrid w:val="0"/>
        <w:spacing w:line="360" w:lineRule="auto"/>
        <w:ind w:firstLine="560" w:firstLineChars="200"/>
        <w:rPr>
          <w:sz w:val="28"/>
          <w:szCs w:val="28"/>
        </w:rPr>
        <w:sectPr>
          <w:headerReference w:type="default" r:id="rId16"/>
          <w:footerReference w:type="default" r:id="rId17"/>
          <w:type w:val="nextPage"/>
          <w:pgSz w:w="11906" w:h="16838"/>
          <w:pgMar w:top="1418" w:right="1418" w:bottom="1361" w:left="1474" w:header="993" w:footer="980" w:gutter="0"/>
          <w:pgNumType w:start="2"/>
          <w:cols w:space="708"/>
          <w:titlePg w:val="0"/>
          <w:docGrid w:type="lines" w:linePitch="312"/>
        </w:sectPr>
      </w:pPr>
      <w:r>
        <w:rPr>
          <w:sz w:val="28"/>
          <w:szCs w:val="28"/>
        </w:rPr>
        <w:t>6、《</w:t>
      </w:r>
      <w:r>
        <w:rPr>
          <w:rFonts w:hint="eastAsia"/>
          <w:sz w:val="28"/>
          <w:szCs w:val="28"/>
          <w:lang w:eastAsia="zh-CN"/>
        </w:rPr>
        <w:t>XX</w:t>
      </w:r>
    </w:p>
    <w:p>
      <w:pPr>
        <w:adjustRightInd w:val="0"/>
        <w:snapToGrid w:val="0"/>
        <w:spacing w:line="360" w:lineRule="auto"/>
        <w:ind w:firstLine="560" w:firstLineChars="200"/>
        <w:rPr>
          <w:sz w:val="28"/>
          <w:szCs w:val="28"/>
        </w:rPr>
      </w:pPr>
      <w:r>
        <w:rPr>
          <w:sz w:val="28"/>
          <w:szCs w:val="28"/>
        </w:rPr>
        <w:t>省安全生产监督管理局关于机械、轻工、纺织、烟草、商贸、军工、公路、水运、轨道交通、电力等行业建设项目安全监管有关问题的通知》（陕安监[2015]189号）；</w:t>
      </w:r>
    </w:p>
    <w:p>
      <w:pPr>
        <w:adjustRightInd w:val="0"/>
        <w:snapToGrid w:val="0"/>
        <w:spacing w:line="360" w:lineRule="auto"/>
        <w:ind w:firstLine="560" w:firstLineChars="200"/>
        <w:rPr>
          <w:spacing w:val="2"/>
          <w:sz w:val="28"/>
          <w:szCs w:val="28"/>
        </w:rPr>
      </w:pPr>
      <w:r>
        <w:rPr>
          <w:sz w:val="28"/>
          <w:szCs w:val="28"/>
        </w:rPr>
        <w:t>7、《</w:t>
      </w:r>
      <w:r>
        <w:rPr>
          <w:rFonts w:hint="eastAsia"/>
          <w:sz w:val="28"/>
          <w:szCs w:val="28"/>
          <w:lang w:eastAsia="zh-CN"/>
        </w:rPr>
        <w:t>XX</w:t>
      </w:r>
      <w:r>
        <w:rPr>
          <w:sz w:val="28"/>
          <w:szCs w:val="28"/>
        </w:rPr>
        <w:t>省安全生产监督管理局关于公路水运轨道交通电力军工等行业建设项目安全设施“三同时”审查和安全评价等有关问题的补充通知》（陕安监[2016]110号）</w:t>
      </w:r>
      <w:r>
        <w:rPr>
          <w:spacing w:val="2"/>
          <w:sz w:val="28"/>
          <w:szCs w:val="28"/>
        </w:rPr>
        <w:t>。</w:t>
      </w:r>
    </w:p>
    <w:p>
      <w:pPr>
        <w:pStyle w:val="Heading2"/>
        <w:adjustRightInd w:val="0"/>
        <w:snapToGrid w:val="0"/>
        <w:spacing w:before="0" w:after="0" w:line="360" w:lineRule="auto"/>
        <w:rPr>
          <w:rFonts w:ascii="Times New Roman" w:eastAsia="楷体" w:hAnsi="Times New Roman"/>
        </w:rPr>
      </w:pPr>
      <w:bookmarkStart w:id="54" w:name="_Toc391729451"/>
      <w:bookmarkStart w:id="55" w:name="_Toc394422395"/>
      <w:bookmarkStart w:id="56" w:name="_Toc387085792"/>
      <w:bookmarkStart w:id="57" w:name="_Toc361385042"/>
      <w:bookmarkStart w:id="58" w:name="_Toc369267132"/>
      <w:bookmarkStart w:id="59" w:name="_Toc375162455"/>
      <w:bookmarkStart w:id="60" w:name="_Toc402804531"/>
      <w:bookmarkStart w:id="61" w:name="_Toc2033"/>
      <w:bookmarkStart w:id="62" w:name="_Toc401525915"/>
      <w:bookmarkStart w:id="63" w:name="_Toc11453"/>
      <w:bookmarkStart w:id="64" w:name="_Toc465883356"/>
      <w:bookmarkStart w:id="65" w:name="_Toc358285333"/>
      <w:bookmarkStart w:id="66" w:name="_Toc401525653"/>
      <w:bookmarkStart w:id="67" w:name="_Toc14347169"/>
      <w:bookmarkStart w:id="68" w:name="_Toc388959559"/>
      <w:r>
        <w:rPr>
          <w:rFonts w:ascii="Times New Roman" w:eastAsia="楷体" w:hAnsi="Times New Roman"/>
        </w:rPr>
        <w:t>1.4</w:t>
      </w:r>
      <w:bookmarkEnd w:id="59"/>
      <w:bookmarkEnd w:id="54"/>
      <w:bookmarkEnd w:id="55"/>
      <w:bookmarkEnd w:id="56"/>
      <w:bookmarkEnd w:id="57"/>
      <w:bookmarkEnd w:id="58"/>
      <w:bookmarkEnd w:id="68"/>
      <w:bookmarkEnd w:id="60"/>
      <w:bookmarkEnd w:id="61"/>
      <w:bookmarkEnd w:id="62"/>
      <w:bookmarkEnd w:id="63"/>
      <w:bookmarkEnd w:id="64"/>
      <w:bookmarkEnd w:id="65"/>
      <w:bookmarkEnd w:id="66"/>
      <w:r>
        <w:rPr>
          <w:rFonts w:ascii="Times New Roman" w:eastAsia="楷体" w:hAnsi="Times New Roman"/>
        </w:rPr>
        <w:t>政府部门规章和规范性文件</w:t>
      </w:r>
      <w:bookmarkEnd w:id="67"/>
    </w:p>
    <w:p>
      <w:pPr>
        <w:adjustRightInd w:val="0"/>
        <w:snapToGrid w:val="0"/>
        <w:spacing w:line="360" w:lineRule="auto"/>
        <w:ind w:firstLine="560" w:firstLineChars="200"/>
        <w:rPr>
          <w:spacing w:val="2"/>
          <w:sz w:val="28"/>
          <w:szCs w:val="28"/>
        </w:rPr>
      </w:pPr>
      <w:r>
        <w:rPr>
          <w:spacing w:val="2"/>
          <w:sz w:val="28"/>
          <w:szCs w:val="28"/>
        </w:rPr>
        <w:t>1</w:t>
      </w:r>
      <w:r>
        <w:rPr>
          <w:sz w:val="28"/>
          <w:szCs w:val="28"/>
        </w:rPr>
        <w:t>、</w:t>
      </w:r>
      <w:r>
        <w:rPr>
          <w:spacing w:val="2"/>
          <w:sz w:val="28"/>
          <w:szCs w:val="28"/>
        </w:rPr>
        <w:t>《生产经营单位安全培训规定》（国家安全生产监督管理总局令[2006]第3号）</w:t>
      </w:r>
      <w:r>
        <w:rPr>
          <w:rFonts w:eastAsia="新宋体"/>
          <w:sz w:val="28"/>
          <w:szCs w:val="28"/>
        </w:rPr>
        <w:t>（2015年修订）</w:t>
      </w:r>
      <w:r>
        <w:rPr>
          <w:spacing w:val="2"/>
          <w:sz w:val="28"/>
          <w:szCs w:val="28"/>
        </w:rPr>
        <w:t>；</w:t>
      </w:r>
    </w:p>
    <w:p>
      <w:pPr>
        <w:adjustRightInd w:val="0"/>
        <w:snapToGrid w:val="0"/>
        <w:spacing w:line="360" w:lineRule="auto"/>
        <w:ind w:firstLine="560" w:firstLineChars="200"/>
        <w:rPr>
          <w:spacing w:val="2"/>
          <w:sz w:val="28"/>
          <w:szCs w:val="28"/>
        </w:rPr>
      </w:pPr>
      <w:r>
        <w:rPr>
          <w:spacing w:val="2"/>
          <w:sz w:val="28"/>
          <w:szCs w:val="28"/>
        </w:rPr>
        <w:t>2</w:t>
      </w:r>
      <w:r>
        <w:rPr>
          <w:sz w:val="28"/>
          <w:szCs w:val="28"/>
        </w:rPr>
        <w:t>、</w:t>
      </w:r>
      <w:r>
        <w:rPr>
          <w:spacing w:val="2"/>
          <w:sz w:val="28"/>
          <w:szCs w:val="28"/>
        </w:rPr>
        <w:t>《安全生产事故隐患排查治理暂行规定》（国家安全生产监督管理总局令[2008]第16号）</w:t>
      </w:r>
      <w:r>
        <w:rPr>
          <w:rFonts w:eastAsia="新宋体"/>
          <w:sz w:val="28"/>
          <w:szCs w:val="28"/>
        </w:rPr>
        <w:t>（2015年修订）</w:t>
      </w:r>
      <w:r>
        <w:rPr>
          <w:spacing w:val="2"/>
          <w:sz w:val="28"/>
          <w:szCs w:val="28"/>
        </w:rPr>
        <w:t>；</w:t>
      </w:r>
    </w:p>
    <w:p>
      <w:pPr>
        <w:adjustRightInd w:val="0"/>
        <w:snapToGrid w:val="0"/>
        <w:spacing w:line="360" w:lineRule="auto"/>
        <w:ind w:firstLine="560" w:firstLineChars="200"/>
        <w:rPr>
          <w:spacing w:val="2"/>
          <w:sz w:val="28"/>
          <w:szCs w:val="28"/>
        </w:rPr>
      </w:pPr>
      <w:r>
        <w:rPr>
          <w:spacing w:val="2"/>
          <w:sz w:val="28"/>
          <w:szCs w:val="28"/>
        </w:rPr>
        <w:t>3</w:t>
      </w:r>
      <w:r>
        <w:rPr>
          <w:sz w:val="28"/>
          <w:szCs w:val="28"/>
        </w:rPr>
        <w:t>、《国家安全监管总局关于修改&lt;生产安全事故报告和调查处理条例&gt;罚款处罚暂行规定等四部规章的决定》（安监总令[2015]第77号</w:t>
      </w:r>
      <w:r>
        <w:rPr>
          <w:spacing w:val="2"/>
          <w:sz w:val="28"/>
          <w:szCs w:val="28"/>
        </w:rPr>
        <w:t>）。</w:t>
      </w:r>
    </w:p>
    <w:p>
      <w:pPr>
        <w:adjustRightInd w:val="0"/>
        <w:snapToGrid w:val="0"/>
        <w:spacing w:line="360" w:lineRule="auto"/>
        <w:ind w:firstLine="560" w:firstLineChars="200"/>
        <w:rPr>
          <w:spacing w:val="2"/>
          <w:sz w:val="28"/>
          <w:szCs w:val="28"/>
        </w:rPr>
      </w:pPr>
      <w:r>
        <w:rPr>
          <w:spacing w:val="2"/>
          <w:sz w:val="28"/>
          <w:szCs w:val="28"/>
        </w:rPr>
        <w:t>4</w:t>
      </w:r>
      <w:r>
        <w:rPr>
          <w:sz w:val="28"/>
          <w:szCs w:val="28"/>
        </w:rPr>
        <w:t>、</w:t>
      </w:r>
      <w:r>
        <w:rPr>
          <w:spacing w:val="2"/>
          <w:sz w:val="28"/>
          <w:szCs w:val="28"/>
        </w:rPr>
        <w:t>《建设项目安全设施“三同时”监督管理办法》（国家安全生产监督管理总局令[2010]第36号）（2015年修订）；</w:t>
      </w:r>
    </w:p>
    <w:p>
      <w:pPr>
        <w:adjustRightInd w:val="0"/>
        <w:snapToGrid w:val="0"/>
        <w:spacing w:line="360" w:lineRule="auto"/>
        <w:ind w:firstLine="560" w:firstLineChars="200"/>
        <w:rPr>
          <w:spacing w:val="2"/>
          <w:sz w:val="28"/>
          <w:szCs w:val="28"/>
        </w:rPr>
      </w:pPr>
      <w:r>
        <w:rPr>
          <w:spacing w:val="2"/>
          <w:sz w:val="28"/>
          <w:szCs w:val="28"/>
        </w:rPr>
        <w:t>5</w:t>
      </w:r>
      <w:r>
        <w:rPr>
          <w:sz w:val="28"/>
          <w:szCs w:val="28"/>
        </w:rPr>
        <w:t>、</w:t>
      </w:r>
      <w:r>
        <w:rPr>
          <w:spacing w:val="2"/>
          <w:sz w:val="28"/>
          <w:szCs w:val="28"/>
        </w:rPr>
        <w:t>《特种作业人员安全技术培训考核管理规定》（国家安全生产监督管理总局令[2010]第30号）；</w:t>
      </w:r>
    </w:p>
    <w:p>
      <w:pPr>
        <w:adjustRightInd w:val="0"/>
        <w:snapToGrid w:val="0"/>
        <w:spacing w:line="360" w:lineRule="auto"/>
        <w:ind w:firstLine="560" w:firstLineChars="200"/>
        <w:rPr>
          <w:spacing w:val="2"/>
          <w:sz w:val="28"/>
          <w:szCs w:val="28"/>
        </w:rPr>
      </w:pPr>
      <w:r>
        <w:rPr>
          <w:spacing w:val="2"/>
          <w:sz w:val="28"/>
          <w:szCs w:val="28"/>
        </w:rPr>
        <w:t>6</w:t>
      </w:r>
      <w:r>
        <w:rPr>
          <w:sz w:val="28"/>
          <w:szCs w:val="28"/>
        </w:rPr>
        <w:t>、</w:t>
      </w:r>
      <w:r>
        <w:rPr>
          <w:spacing w:val="2"/>
          <w:sz w:val="28"/>
          <w:szCs w:val="28"/>
        </w:rPr>
        <w:t>《防雷减灾管理办法》（中国气象局[2013]第24号令）；</w:t>
      </w:r>
    </w:p>
    <w:p>
      <w:pPr>
        <w:adjustRightInd w:val="0"/>
        <w:snapToGrid w:val="0"/>
        <w:spacing w:line="360" w:lineRule="auto"/>
        <w:ind w:firstLine="560" w:firstLineChars="200"/>
        <w:rPr>
          <w:spacing w:val="2"/>
          <w:sz w:val="28"/>
          <w:szCs w:val="28"/>
        </w:rPr>
      </w:pPr>
      <w:r>
        <w:rPr>
          <w:spacing w:val="2"/>
          <w:sz w:val="28"/>
          <w:szCs w:val="28"/>
        </w:rPr>
        <w:t>7、《国家质量监督检验检疫总局关于修改&lt;特种设备作业人员监督管理办法&gt;的决定》（国家质量监督检验检疫总局令[2011]第140号）；</w:t>
      </w:r>
    </w:p>
    <w:p>
      <w:pPr>
        <w:adjustRightInd w:val="0"/>
        <w:snapToGrid w:val="0"/>
        <w:spacing w:line="360" w:lineRule="auto"/>
        <w:ind w:firstLine="560" w:firstLineChars="200"/>
        <w:rPr>
          <w:spacing w:val="2"/>
          <w:sz w:val="28"/>
          <w:szCs w:val="28"/>
        </w:rPr>
      </w:pPr>
      <w:r>
        <w:rPr>
          <w:spacing w:val="2"/>
          <w:sz w:val="28"/>
          <w:szCs w:val="28"/>
        </w:rPr>
        <w:t>8、《机关、团体、企业、事业单位消防安全管理规定》（公安部令[2001]第61号）；</w:t>
      </w:r>
    </w:p>
    <w:p>
      <w:pPr>
        <w:adjustRightInd w:val="0"/>
        <w:snapToGrid w:val="0"/>
        <w:spacing w:line="360" w:lineRule="auto"/>
        <w:ind w:firstLine="560" w:firstLineChars="200"/>
        <w:rPr>
          <w:spacing w:val="2"/>
          <w:sz w:val="28"/>
          <w:szCs w:val="28"/>
        </w:rPr>
      </w:pPr>
      <w:r>
        <w:rPr>
          <w:spacing w:val="2"/>
          <w:sz w:val="28"/>
          <w:szCs w:val="28"/>
        </w:rPr>
        <w:t>9、《建设工程消防监督审核管理规定》（公安部令[2009]第106号）；</w:t>
      </w:r>
    </w:p>
    <w:p>
      <w:pPr>
        <w:adjustRightInd w:val="0"/>
        <w:snapToGrid w:val="0"/>
        <w:spacing w:line="360" w:lineRule="auto"/>
        <w:ind w:firstLine="560" w:firstLineChars="200"/>
        <w:rPr>
          <w:sz w:val="28"/>
          <w:szCs w:val="28"/>
        </w:rPr>
      </w:pPr>
      <w:r>
        <w:rPr>
          <w:sz w:val="28"/>
          <w:szCs w:val="28"/>
        </w:rPr>
        <w:t>10、《生产安全事故应急预案管理办法》（国安监总局令</w:t>
      </w:r>
      <w:r>
        <w:rPr>
          <w:spacing w:val="2"/>
          <w:sz w:val="28"/>
          <w:szCs w:val="28"/>
        </w:rPr>
        <w:t>[</w:t>
      </w:r>
      <w:r>
        <w:rPr>
          <w:sz w:val="28"/>
          <w:szCs w:val="28"/>
        </w:rPr>
        <w:t>2016</w:t>
      </w:r>
      <w:r>
        <w:rPr>
          <w:spacing w:val="2"/>
          <w:sz w:val="28"/>
          <w:szCs w:val="28"/>
        </w:rPr>
        <w:t>]</w:t>
      </w:r>
      <w:r>
        <w:rPr>
          <w:sz w:val="28"/>
          <w:szCs w:val="28"/>
        </w:rPr>
        <w:t>第88号）；</w:t>
      </w:r>
    </w:p>
    <w:p>
      <w:pPr>
        <w:adjustRightInd w:val="0"/>
        <w:snapToGrid w:val="0"/>
        <w:spacing w:line="360" w:lineRule="auto"/>
        <w:ind w:firstLine="560" w:firstLineChars="200"/>
        <w:rPr>
          <w:sz w:val="28"/>
          <w:szCs w:val="28"/>
        </w:rPr>
      </w:pPr>
      <w:r>
        <w:rPr>
          <w:sz w:val="28"/>
          <w:szCs w:val="28"/>
        </w:rPr>
        <w:t>11、《安全监管总局等十部门公告：危险化学品目录（2015版）》第5号（2015年）；</w:t>
      </w:r>
    </w:p>
    <w:p>
      <w:pPr>
        <w:adjustRightInd w:val="0"/>
        <w:snapToGrid w:val="0"/>
        <w:spacing w:line="360" w:lineRule="auto"/>
        <w:ind w:firstLine="560" w:firstLineChars="200"/>
        <w:rPr>
          <w:sz w:val="28"/>
          <w:szCs w:val="28"/>
        </w:rPr>
        <w:sectPr>
          <w:headerReference w:type="default" r:id="rId18"/>
          <w:footerReference w:type="default" r:id="rId19"/>
          <w:type w:val="nextPage"/>
          <w:pgSz w:w="11906" w:h="16838"/>
          <w:pgMar w:top="1418" w:right="1418" w:bottom="1361" w:left="1474" w:header="993" w:footer="980" w:gutter="0"/>
          <w:pgNumType w:start="3"/>
          <w:cols w:space="708"/>
          <w:titlePg w:val="0"/>
          <w:docGrid w:type="lines" w:linePitch="312"/>
        </w:sectPr>
      </w:pPr>
    </w:p>
    <w:p>
      <w:pPr>
        <w:adjustRightInd w:val="0"/>
        <w:snapToGrid w:val="0"/>
        <w:spacing w:line="360" w:lineRule="auto"/>
        <w:ind w:firstLine="560" w:firstLineChars="200"/>
        <w:rPr>
          <w:sz w:val="28"/>
          <w:szCs w:val="28"/>
        </w:rPr>
      </w:pPr>
      <w:r>
        <w:rPr>
          <w:sz w:val="28"/>
          <w:szCs w:val="28"/>
        </w:rPr>
        <w:t>12、《工贸行业重点可燃性粉尘目录（2015版）》和《工贸行业可燃性粉尘作业场所工艺设施防爆技术指南（试行）》的通知（安监总厅管四[2015]84号）；</w:t>
      </w:r>
    </w:p>
    <w:p>
      <w:pPr>
        <w:adjustRightInd w:val="0"/>
        <w:snapToGrid w:val="0"/>
        <w:spacing w:line="360" w:lineRule="auto"/>
        <w:ind w:firstLine="560" w:firstLineChars="200"/>
        <w:rPr>
          <w:sz w:val="28"/>
          <w:szCs w:val="28"/>
        </w:rPr>
      </w:pPr>
      <w:r>
        <w:rPr>
          <w:spacing w:val="2"/>
          <w:sz w:val="28"/>
          <w:szCs w:val="28"/>
        </w:rPr>
        <w:t>13、</w:t>
      </w:r>
      <w:r>
        <w:rPr>
          <w:sz w:val="28"/>
          <w:szCs w:val="28"/>
        </w:rPr>
        <w:t>《国家安全监管总局关于修改〈生产经营单位安全培训规定〉等11件规章的决定》（安监总令[2013]第63号）；</w:t>
      </w:r>
    </w:p>
    <w:p>
      <w:pPr>
        <w:adjustRightInd w:val="0"/>
        <w:snapToGrid w:val="0"/>
        <w:spacing w:line="360" w:lineRule="auto"/>
        <w:ind w:firstLine="560" w:firstLineChars="200"/>
        <w:rPr>
          <w:sz w:val="28"/>
          <w:szCs w:val="28"/>
        </w:rPr>
      </w:pPr>
      <w:r>
        <w:rPr>
          <w:sz w:val="28"/>
          <w:szCs w:val="28"/>
        </w:rPr>
        <w:t>14、《工贸企业有限空间作业安全管理与监督暂行规定》（国家安监总局令[2013]第59号）；</w:t>
      </w:r>
    </w:p>
    <w:p>
      <w:pPr>
        <w:adjustRightInd w:val="0"/>
        <w:snapToGrid w:val="0"/>
        <w:spacing w:line="360" w:lineRule="auto"/>
        <w:ind w:firstLine="560" w:firstLineChars="200"/>
        <w:rPr>
          <w:spacing w:val="2"/>
          <w:sz w:val="28"/>
          <w:szCs w:val="28"/>
        </w:rPr>
      </w:pPr>
      <w:r>
        <w:rPr>
          <w:sz w:val="28"/>
          <w:szCs w:val="28"/>
        </w:rPr>
        <w:t>15、《工贸行业重大安全生产事故隐患判定标准》（安监总管四[2017]第129号）</w:t>
      </w:r>
      <w:r>
        <w:rPr>
          <w:spacing w:val="2"/>
          <w:sz w:val="28"/>
          <w:szCs w:val="28"/>
        </w:rPr>
        <w:t>。</w:t>
      </w:r>
    </w:p>
    <w:p>
      <w:pPr>
        <w:pStyle w:val="Heading2"/>
        <w:adjustRightInd w:val="0"/>
        <w:snapToGrid w:val="0"/>
        <w:spacing w:before="0" w:after="0" w:line="360" w:lineRule="auto"/>
        <w:rPr>
          <w:rFonts w:ascii="Times New Roman" w:eastAsia="楷体" w:hAnsi="Times New Roman"/>
        </w:rPr>
      </w:pPr>
      <w:bookmarkStart w:id="69" w:name="_Toc465883358"/>
      <w:bookmarkStart w:id="70" w:name="_Toc401525655"/>
      <w:bookmarkStart w:id="71" w:name="_Toc401525917"/>
      <w:bookmarkStart w:id="72" w:name="_Toc32015"/>
      <w:bookmarkStart w:id="73" w:name="_Toc7818"/>
      <w:bookmarkStart w:id="74" w:name="_Toc14347170"/>
      <w:bookmarkStart w:id="75" w:name="_Toc394422397"/>
      <w:bookmarkStart w:id="76" w:name="_Toc391729453"/>
      <w:bookmarkStart w:id="77" w:name="_Toc402804533"/>
      <w:r>
        <w:rPr>
          <w:rFonts w:ascii="Times New Roman" w:eastAsia="楷体" w:hAnsi="Times New Roman"/>
        </w:rPr>
        <w:t>1.5国家标准</w:t>
      </w:r>
      <w:bookmarkEnd w:id="77"/>
      <w:bookmarkEnd w:id="69"/>
      <w:bookmarkEnd w:id="70"/>
      <w:bookmarkEnd w:id="71"/>
      <w:bookmarkEnd w:id="72"/>
      <w:bookmarkEnd w:id="73"/>
      <w:bookmarkEnd w:id="74"/>
      <w:bookmarkEnd w:id="75"/>
      <w:bookmarkEnd w:id="76"/>
    </w:p>
    <w:p>
      <w:pPr>
        <w:adjustRightInd w:val="0"/>
        <w:snapToGrid w:val="0"/>
        <w:spacing w:line="360" w:lineRule="auto"/>
        <w:ind w:firstLine="560" w:firstLineChars="200"/>
        <w:rPr>
          <w:spacing w:val="2"/>
          <w:sz w:val="28"/>
          <w:szCs w:val="28"/>
        </w:rPr>
      </w:pPr>
      <w:r>
        <w:rPr>
          <w:spacing w:val="2"/>
          <w:sz w:val="28"/>
          <w:szCs w:val="28"/>
        </w:rPr>
        <w:t>1、《建筑设计防火规范》（GB50016-2014）（2018年版）；</w:t>
      </w:r>
    </w:p>
    <w:p>
      <w:pPr>
        <w:adjustRightInd w:val="0"/>
        <w:snapToGrid w:val="0"/>
        <w:spacing w:line="360" w:lineRule="auto"/>
        <w:ind w:firstLine="560" w:firstLineChars="200"/>
        <w:rPr>
          <w:spacing w:val="2"/>
          <w:sz w:val="28"/>
          <w:szCs w:val="28"/>
        </w:rPr>
      </w:pPr>
      <w:r>
        <w:rPr>
          <w:spacing w:val="2"/>
          <w:sz w:val="28"/>
          <w:szCs w:val="28"/>
        </w:rPr>
        <w:t>2、《建筑内部装修设计防火规范》（GB50222-2017）；</w:t>
      </w:r>
    </w:p>
    <w:p>
      <w:pPr>
        <w:adjustRightInd w:val="0"/>
        <w:snapToGrid w:val="0"/>
        <w:spacing w:line="360" w:lineRule="auto"/>
        <w:ind w:firstLine="560" w:firstLineChars="200"/>
        <w:rPr>
          <w:spacing w:val="2"/>
          <w:sz w:val="28"/>
          <w:szCs w:val="28"/>
        </w:rPr>
      </w:pPr>
      <w:r>
        <w:rPr>
          <w:spacing w:val="2"/>
          <w:sz w:val="28"/>
          <w:szCs w:val="28"/>
        </w:rPr>
        <w:t>3、《建筑工程抗震设防分类标准》（GB50223-2008）；</w:t>
      </w:r>
    </w:p>
    <w:p>
      <w:pPr>
        <w:adjustRightInd w:val="0"/>
        <w:snapToGrid w:val="0"/>
        <w:spacing w:line="360" w:lineRule="auto"/>
        <w:ind w:firstLine="560" w:firstLineChars="200"/>
        <w:rPr>
          <w:spacing w:val="2"/>
          <w:sz w:val="28"/>
          <w:szCs w:val="28"/>
        </w:rPr>
      </w:pPr>
      <w:r>
        <w:rPr>
          <w:spacing w:val="2"/>
          <w:sz w:val="28"/>
          <w:szCs w:val="28"/>
        </w:rPr>
        <w:t>4、《建筑灭火器配置设计规范》（GB50140-2005）；</w:t>
      </w:r>
    </w:p>
    <w:p>
      <w:pPr>
        <w:adjustRightInd w:val="0"/>
        <w:snapToGrid w:val="0"/>
        <w:spacing w:line="360" w:lineRule="auto"/>
        <w:ind w:firstLine="560" w:firstLineChars="200"/>
        <w:rPr>
          <w:spacing w:val="2"/>
          <w:sz w:val="28"/>
          <w:szCs w:val="28"/>
        </w:rPr>
      </w:pPr>
      <w:r>
        <w:rPr>
          <w:spacing w:val="2"/>
          <w:sz w:val="28"/>
          <w:szCs w:val="28"/>
        </w:rPr>
        <w:t>5、《建筑物防雷设计规范》（GB50057-2010）；</w:t>
      </w:r>
    </w:p>
    <w:p>
      <w:pPr>
        <w:adjustRightInd w:val="0"/>
        <w:snapToGrid w:val="0"/>
        <w:spacing w:line="360" w:lineRule="auto"/>
        <w:ind w:firstLine="560" w:firstLineChars="200"/>
        <w:rPr>
          <w:spacing w:val="2"/>
          <w:sz w:val="28"/>
          <w:szCs w:val="28"/>
        </w:rPr>
      </w:pPr>
      <w:r>
        <w:rPr>
          <w:spacing w:val="2"/>
          <w:sz w:val="28"/>
          <w:szCs w:val="28"/>
        </w:rPr>
        <w:t>6、《建筑抗震设计规范》（GB50011-2010）；</w:t>
      </w:r>
    </w:p>
    <w:p>
      <w:pPr>
        <w:adjustRightInd w:val="0"/>
        <w:snapToGrid w:val="0"/>
        <w:spacing w:line="360" w:lineRule="auto"/>
        <w:ind w:firstLine="560" w:firstLineChars="200"/>
        <w:rPr>
          <w:spacing w:val="2"/>
          <w:sz w:val="28"/>
          <w:szCs w:val="28"/>
        </w:rPr>
      </w:pPr>
      <w:r>
        <w:rPr>
          <w:spacing w:val="2"/>
          <w:sz w:val="28"/>
          <w:szCs w:val="28"/>
        </w:rPr>
        <w:t>7、《建筑照明设计标准》（GB50034-2004）；</w:t>
      </w:r>
    </w:p>
    <w:p>
      <w:pPr>
        <w:adjustRightInd w:val="0"/>
        <w:snapToGrid w:val="0"/>
        <w:spacing w:line="360" w:lineRule="auto"/>
        <w:ind w:firstLine="560" w:firstLineChars="200"/>
        <w:rPr>
          <w:spacing w:val="2"/>
          <w:sz w:val="28"/>
          <w:szCs w:val="28"/>
        </w:rPr>
      </w:pPr>
      <w:r>
        <w:rPr>
          <w:spacing w:val="2"/>
          <w:sz w:val="28"/>
          <w:szCs w:val="28"/>
        </w:rPr>
        <w:t>8、《工业企业设计卫生标准》（GBZ1-2010）；</w:t>
      </w:r>
    </w:p>
    <w:p>
      <w:pPr>
        <w:adjustRightInd w:val="0"/>
        <w:snapToGrid w:val="0"/>
        <w:spacing w:line="360" w:lineRule="auto"/>
        <w:ind w:firstLine="560" w:firstLineChars="200"/>
        <w:rPr>
          <w:spacing w:val="2"/>
          <w:sz w:val="28"/>
          <w:szCs w:val="28"/>
        </w:rPr>
      </w:pPr>
      <w:r>
        <w:rPr>
          <w:spacing w:val="2"/>
          <w:sz w:val="28"/>
          <w:szCs w:val="28"/>
        </w:rPr>
        <w:t>9、《工业企业总平面设计规范》（GB50187-2012）；</w:t>
      </w:r>
    </w:p>
    <w:p>
      <w:pPr>
        <w:adjustRightInd w:val="0"/>
        <w:snapToGrid w:val="0"/>
        <w:spacing w:line="360" w:lineRule="auto"/>
        <w:ind w:firstLine="560" w:firstLineChars="200"/>
        <w:rPr>
          <w:spacing w:val="2"/>
          <w:sz w:val="28"/>
          <w:szCs w:val="28"/>
        </w:rPr>
      </w:pPr>
      <w:r>
        <w:rPr>
          <w:spacing w:val="2"/>
          <w:sz w:val="28"/>
          <w:szCs w:val="28"/>
        </w:rPr>
        <w:t>10、《室外排水设计规范》（GB50014-2006）（2011版）；</w:t>
      </w:r>
    </w:p>
    <w:p>
      <w:pPr>
        <w:adjustRightInd w:val="0"/>
        <w:snapToGrid w:val="0"/>
        <w:spacing w:line="360" w:lineRule="auto"/>
        <w:ind w:firstLine="560" w:firstLineChars="200"/>
        <w:rPr>
          <w:spacing w:val="2"/>
          <w:sz w:val="28"/>
          <w:szCs w:val="28"/>
        </w:rPr>
      </w:pPr>
      <w:r>
        <w:rPr>
          <w:spacing w:val="2"/>
          <w:sz w:val="28"/>
          <w:szCs w:val="28"/>
        </w:rPr>
        <w:t>11、《建筑给水排水设计规范》（GB50015-2003）（2009版）；</w:t>
      </w:r>
    </w:p>
    <w:p>
      <w:pPr>
        <w:adjustRightInd w:val="0"/>
        <w:snapToGrid w:val="0"/>
        <w:spacing w:line="360" w:lineRule="auto"/>
        <w:ind w:firstLine="560" w:firstLineChars="200"/>
        <w:rPr>
          <w:spacing w:val="2"/>
          <w:sz w:val="28"/>
          <w:szCs w:val="28"/>
        </w:rPr>
      </w:pPr>
      <w:r>
        <w:rPr>
          <w:spacing w:val="2"/>
          <w:sz w:val="28"/>
          <w:szCs w:val="28"/>
        </w:rPr>
        <w:t>12、《钢结构设计规范》（GB50017-2003）；</w:t>
      </w:r>
    </w:p>
    <w:p>
      <w:pPr>
        <w:adjustRightInd w:val="0"/>
        <w:snapToGrid w:val="0"/>
        <w:spacing w:line="360" w:lineRule="auto"/>
        <w:ind w:firstLine="560" w:firstLineChars="200"/>
        <w:rPr>
          <w:spacing w:val="2"/>
          <w:sz w:val="28"/>
          <w:szCs w:val="28"/>
        </w:rPr>
      </w:pPr>
      <w:r>
        <w:rPr>
          <w:spacing w:val="2"/>
          <w:sz w:val="28"/>
          <w:szCs w:val="28"/>
        </w:rPr>
        <w:t>13、《工业建筑供暖通风与空气调节设计规范》（GB50019-2015）；</w:t>
      </w:r>
    </w:p>
    <w:p>
      <w:pPr>
        <w:adjustRightInd w:val="0"/>
        <w:snapToGrid w:val="0"/>
        <w:spacing w:line="360" w:lineRule="auto"/>
        <w:ind w:firstLine="560" w:firstLineChars="200"/>
        <w:rPr>
          <w:spacing w:val="2"/>
          <w:sz w:val="28"/>
          <w:szCs w:val="28"/>
        </w:rPr>
      </w:pPr>
      <w:r>
        <w:rPr>
          <w:spacing w:val="2"/>
          <w:sz w:val="28"/>
          <w:szCs w:val="28"/>
        </w:rPr>
        <w:t>14、《建筑采光设计标准》（GB50033-2013）；</w:t>
      </w:r>
    </w:p>
    <w:p>
      <w:pPr>
        <w:adjustRightInd w:val="0"/>
        <w:snapToGrid w:val="0"/>
        <w:spacing w:line="360" w:lineRule="auto"/>
        <w:ind w:firstLine="560" w:firstLineChars="200"/>
        <w:rPr>
          <w:spacing w:val="2"/>
          <w:sz w:val="28"/>
          <w:szCs w:val="28"/>
        </w:rPr>
      </w:pPr>
      <w:r>
        <w:rPr>
          <w:spacing w:val="2"/>
          <w:sz w:val="28"/>
          <w:szCs w:val="28"/>
        </w:rPr>
        <w:t>15、《建筑照明设计标准》（GB50034-2013）；</w:t>
      </w:r>
    </w:p>
    <w:p>
      <w:pPr>
        <w:adjustRightInd w:val="0"/>
        <w:snapToGrid w:val="0"/>
        <w:spacing w:line="360" w:lineRule="auto"/>
        <w:ind w:firstLine="560" w:firstLineChars="200"/>
        <w:rPr>
          <w:spacing w:val="2"/>
          <w:sz w:val="28"/>
          <w:szCs w:val="28"/>
        </w:rPr>
      </w:pPr>
      <w:r>
        <w:rPr>
          <w:spacing w:val="2"/>
          <w:sz w:val="28"/>
          <w:szCs w:val="28"/>
        </w:rPr>
        <w:t>16、《交流电气装置的接地设计规范》（GB/T50065-2011）；</w:t>
      </w:r>
    </w:p>
    <w:p>
      <w:pPr>
        <w:adjustRightInd w:val="0"/>
        <w:snapToGrid w:val="0"/>
        <w:spacing w:line="360" w:lineRule="auto"/>
        <w:ind w:firstLine="560" w:firstLineChars="200"/>
        <w:rPr>
          <w:spacing w:val="2"/>
          <w:sz w:val="28"/>
          <w:szCs w:val="28"/>
        </w:rPr>
        <w:sectPr>
          <w:headerReference w:type="default" r:id="rId20"/>
          <w:footerReference w:type="default" r:id="rId21"/>
          <w:type w:val="nextPage"/>
          <w:pgSz w:w="11906" w:h="16838"/>
          <w:pgMar w:top="1418" w:right="1418" w:bottom="1361" w:left="1474" w:header="993" w:footer="980" w:gutter="0"/>
          <w:pgNumType w:start="4"/>
          <w:cols w:space="708"/>
          <w:titlePg w:val="0"/>
          <w:docGrid w:type="lines" w:linePitch="312"/>
        </w:sectPr>
      </w:pPr>
      <w:r>
        <w:rPr>
          <w:spacing w:val="2"/>
          <w:sz w:val="28"/>
          <w:szCs w:val="28"/>
        </w:rPr>
        <w:t>17、《用电安全导则》（GB/T13869-2008）；</w:t>
      </w:r>
    </w:p>
    <w:p>
      <w:pPr>
        <w:adjustRightInd w:val="0"/>
        <w:snapToGrid w:val="0"/>
        <w:spacing w:line="360" w:lineRule="auto"/>
        <w:ind w:firstLine="560" w:firstLineChars="200"/>
        <w:rPr>
          <w:spacing w:val="2"/>
          <w:sz w:val="28"/>
          <w:szCs w:val="28"/>
        </w:rPr>
      </w:pPr>
      <w:r>
        <w:rPr>
          <w:spacing w:val="2"/>
          <w:sz w:val="28"/>
          <w:szCs w:val="28"/>
        </w:rPr>
        <w:t>18、《爆炸危险场所防爆安全导则》（GB/T29304-2012）；</w:t>
      </w:r>
    </w:p>
    <w:p>
      <w:pPr>
        <w:adjustRightInd w:val="0"/>
        <w:snapToGrid w:val="0"/>
        <w:spacing w:line="360" w:lineRule="auto"/>
        <w:ind w:firstLine="560" w:firstLineChars="200"/>
        <w:rPr>
          <w:spacing w:val="2"/>
          <w:sz w:val="28"/>
          <w:szCs w:val="28"/>
        </w:rPr>
      </w:pPr>
      <w:r>
        <w:rPr>
          <w:spacing w:val="2"/>
          <w:sz w:val="28"/>
          <w:szCs w:val="28"/>
        </w:rPr>
        <w:t>19、《木工（材）车间安全生产通则》（GB15606-2008）；</w:t>
      </w:r>
    </w:p>
    <w:p>
      <w:pPr>
        <w:adjustRightInd w:val="0"/>
        <w:snapToGrid w:val="0"/>
        <w:spacing w:line="360" w:lineRule="auto"/>
        <w:ind w:firstLine="560" w:firstLineChars="200"/>
        <w:rPr>
          <w:spacing w:val="2"/>
          <w:sz w:val="28"/>
          <w:szCs w:val="28"/>
        </w:rPr>
      </w:pPr>
      <w:r>
        <w:rPr>
          <w:spacing w:val="2"/>
          <w:sz w:val="28"/>
          <w:szCs w:val="28"/>
        </w:rPr>
        <w:t>20、《电力装置的继电保护和自动装置设计规范》（GB/T50062-2008）；</w:t>
      </w:r>
    </w:p>
    <w:p>
      <w:pPr>
        <w:adjustRightInd w:val="0"/>
        <w:snapToGrid w:val="0"/>
        <w:spacing w:line="360" w:lineRule="auto"/>
        <w:ind w:firstLine="560" w:firstLineChars="200"/>
        <w:rPr>
          <w:spacing w:val="2"/>
          <w:sz w:val="28"/>
          <w:szCs w:val="28"/>
        </w:rPr>
      </w:pPr>
      <w:r>
        <w:rPr>
          <w:spacing w:val="2"/>
          <w:sz w:val="28"/>
          <w:szCs w:val="28"/>
        </w:rPr>
        <w:t>21、《生产经营单位生产安全事故应急预案编制导则》（GB/T29639-2013）；</w:t>
      </w:r>
    </w:p>
    <w:p>
      <w:pPr>
        <w:adjustRightInd w:val="0"/>
        <w:snapToGrid w:val="0"/>
        <w:spacing w:line="360" w:lineRule="auto"/>
        <w:ind w:firstLine="560" w:firstLineChars="200"/>
        <w:rPr>
          <w:spacing w:val="2"/>
          <w:sz w:val="28"/>
          <w:szCs w:val="28"/>
        </w:rPr>
      </w:pPr>
      <w:r>
        <w:rPr>
          <w:spacing w:val="2"/>
          <w:sz w:val="28"/>
          <w:szCs w:val="28"/>
        </w:rPr>
        <w:t>22、《生产过程安全卫生要求总则》（GB/T12801-2008）；</w:t>
      </w:r>
    </w:p>
    <w:p>
      <w:pPr>
        <w:adjustRightInd w:val="0"/>
        <w:snapToGrid w:val="0"/>
        <w:spacing w:line="360" w:lineRule="auto"/>
        <w:ind w:firstLine="560" w:firstLineChars="200"/>
        <w:rPr>
          <w:spacing w:val="2"/>
          <w:sz w:val="28"/>
          <w:szCs w:val="28"/>
        </w:rPr>
      </w:pPr>
      <w:r>
        <w:rPr>
          <w:spacing w:val="2"/>
          <w:sz w:val="28"/>
          <w:szCs w:val="28"/>
        </w:rPr>
        <w:t>23、《生产设备安全卫生设计总则》（GB5083-1999）；</w:t>
      </w:r>
    </w:p>
    <w:p>
      <w:pPr>
        <w:adjustRightInd w:val="0"/>
        <w:snapToGrid w:val="0"/>
        <w:spacing w:line="360" w:lineRule="auto"/>
        <w:ind w:firstLine="560" w:firstLineChars="200"/>
        <w:rPr>
          <w:spacing w:val="2"/>
          <w:sz w:val="28"/>
          <w:szCs w:val="28"/>
        </w:rPr>
      </w:pPr>
      <w:r>
        <w:rPr>
          <w:spacing w:val="2"/>
          <w:sz w:val="28"/>
          <w:szCs w:val="28"/>
        </w:rPr>
        <w:t>24、《企业伤亡事故分类》（GB6441-1986）；</w:t>
      </w:r>
    </w:p>
    <w:p>
      <w:pPr>
        <w:adjustRightInd w:val="0"/>
        <w:snapToGrid w:val="0"/>
        <w:spacing w:line="360" w:lineRule="auto"/>
        <w:ind w:firstLine="560" w:firstLineChars="200"/>
        <w:rPr>
          <w:spacing w:val="2"/>
          <w:sz w:val="28"/>
          <w:szCs w:val="28"/>
        </w:rPr>
      </w:pPr>
      <w:r>
        <w:rPr>
          <w:spacing w:val="2"/>
          <w:sz w:val="28"/>
          <w:szCs w:val="28"/>
        </w:rPr>
        <w:t>25、《机械安全防护装置固定式和活动式防护装置设计与制造一般要求》（GB/T8196-2003）；</w:t>
      </w:r>
    </w:p>
    <w:p>
      <w:pPr>
        <w:adjustRightInd w:val="0"/>
        <w:snapToGrid w:val="0"/>
        <w:spacing w:line="360" w:lineRule="auto"/>
        <w:ind w:firstLine="560" w:firstLineChars="200"/>
        <w:rPr>
          <w:spacing w:val="2"/>
          <w:sz w:val="28"/>
          <w:szCs w:val="28"/>
        </w:rPr>
      </w:pPr>
      <w:r>
        <w:rPr>
          <w:spacing w:val="2"/>
          <w:sz w:val="28"/>
          <w:szCs w:val="28"/>
        </w:rPr>
        <w:t>26、《工作场所职业病危害警示标识》（GBZ158-2003）；</w:t>
      </w:r>
    </w:p>
    <w:p>
      <w:pPr>
        <w:adjustRightInd w:val="0"/>
        <w:snapToGrid w:val="0"/>
        <w:spacing w:line="360" w:lineRule="auto"/>
        <w:ind w:firstLine="560" w:firstLineChars="200"/>
        <w:rPr>
          <w:spacing w:val="2"/>
          <w:sz w:val="28"/>
          <w:szCs w:val="28"/>
        </w:rPr>
      </w:pPr>
      <w:r>
        <w:rPr>
          <w:spacing w:val="2"/>
          <w:sz w:val="28"/>
          <w:szCs w:val="28"/>
        </w:rPr>
        <w:t>27、《重大危险源辨识》（GB18218-2018）；</w:t>
      </w:r>
    </w:p>
    <w:p>
      <w:pPr>
        <w:adjustRightInd w:val="0"/>
        <w:snapToGrid w:val="0"/>
        <w:spacing w:line="360" w:lineRule="auto"/>
        <w:ind w:firstLine="560" w:firstLineChars="200"/>
        <w:rPr>
          <w:spacing w:val="2"/>
          <w:sz w:val="28"/>
          <w:szCs w:val="28"/>
        </w:rPr>
      </w:pPr>
      <w:r>
        <w:rPr>
          <w:spacing w:val="2"/>
          <w:sz w:val="28"/>
          <w:szCs w:val="28"/>
        </w:rPr>
        <w:t>28、《安全标志及其使用导则》（GB2894-2008）；</w:t>
      </w:r>
    </w:p>
    <w:p>
      <w:pPr>
        <w:adjustRightInd w:val="0"/>
        <w:snapToGrid w:val="0"/>
        <w:spacing w:line="360" w:lineRule="auto"/>
        <w:ind w:firstLine="560" w:firstLineChars="200"/>
        <w:rPr>
          <w:spacing w:val="2"/>
          <w:sz w:val="28"/>
          <w:szCs w:val="28"/>
        </w:rPr>
      </w:pPr>
      <w:r>
        <w:rPr>
          <w:spacing w:val="2"/>
          <w:sz w:val="28"/>
          <w:szCs w:val="28"/>
        </w:rPr>
        <w:t>29、《生产过程安全卫生要求总则》（GB/T12801-2008）；</w:t>
      </w:r>
    </w:p>
    <w:p>
      <w:pPr>
        <w:adjustRightInd w:val="0"/>
        <w:snapToGrid w:val="0"/>
        <w:spacing w:line="360" w:lineRule="auto"/>
        <w:ind w:firstLine="560" w:firstLineChars="200"/>
        <w:rPr>
          <w:spacing w:val="2"/>
          <w:sz w:val="28"/>
          <w:szCs w:val="28"/>
        </w:rPr>
      </w:pPr>
      <w:r>
        <w:rPr>
          <w:spacing w:val="2"/>
          <w:sz w:val="28"/>
          <w:szCs w:val="28"/>
        </w:rPr>
        <w:t>30、《粉尘防爆安全规程》（GB15577-2018）；</w:t>
      </w:r>
    </w:p>
    <w:p>
      <w:pPr>
        <w:adjustRightInd w:val="0"/>
        <w:snapToGrid w:val="0"/>
        <w:spacing w:line="360" w:lineRule="auto"/>
        <w:ind w:firstLine="560" w:firstLineChars="200"/>
        <w:rPr>
          <w:spacing w:val="2"/>
          <w:sz w:val="28"/>
          <w:szCs w:val="28"/>
        </w:rPr>
      </w:pPr>
      <w:r>
        <w:rPr>
          <w:spacing w:val="2"/>
          <w:sz w:val="28"/>
          <w:szCs w:val="28"/>
        </w:rPr>
        <w:t>31、《粉尘爆炸泄压指南》（GB/T15605-2008）；</w:t>
      </w:r>
    </w:p>
    <w:p>
      <w:pPr>
        <w:adjustRightInd w:val="0"/>
        <w:snapToGrid w:val="0"/>
        <w:spacing w:line="360" w:lineRule="auto"/>
        <w:ind w:firstLine="560" w:firstLineChars="200"/>
        <w:rPr>
          <w:spacing w:val="2"/>
          <w:sz w:val="28"/>
          <w:szCs w:val="28"/>
        </w:rPr>
      </w:pPr>
      <w:r>
        <w:rPr>
          <w:spacing w:val="2"/>
          <w:sz w:val="28"/>
          <w:szCs w:val="28"/>
        </w:rPr>
        <w:t>32、《粉尘爆炸危险场所用收尘器防爆导则》（GB/T17919-2008）；</w:t>
      </w:r>
    </w:p>
    <w:p>
      <w:pPr>
        <w:adjustRightInd w:val="0"/>
        <w:snapToGrid w:val="0"/>
        <w:spacing w:line="360" w:lineRule="auto"/>
        <w:ind w:firstLine="560" w:firstLineChars="200"/>
        <w:rPr>
          <w:spacing w:val="2"/>
          <w:sz w:val="28"/>
          <w:szCs w:val="28"/>
        </w:rPr>
      </w:pPr>
      <w:r>
        <w:rPr>
          <w:spacing w:val="2"/>
          <w:sz w:val="28"/>
          <w:szCs w:val="28"/>
        </w:rPr>
        <w:t>33、《生产过程危险和有害因素分类与代码》（GB/T13861-2009）；</w:t>
      </w:r>
    </w:p>
    <w:p>
      <w:pPr>
        <w:adjustRightInd w:val="0"/>
        <w:snapToGrid w:val="0"/>
        <w:spacing w:line="360" w:lineRule="auto"/>
        <w:ind w:firstLine="560" w:firstLineChars="200"/>
        <w:rPr>
          <w:spacing w:val="2"/>
          <w:sz w:val="28"/>
          <w:szCs w:val="28"/>
        </w:rPr>
      </w:pPr>
      <w:r>
        <w:rPr>
          <w:spacing w:val="2"/>
          <w:sz w:val="28"/>
          <w:szCs w:val="28"/>
        </w:rPr>
        <w:t>34、《低压配电设计规范》（GB50054-2011）；</w:t>
      </w:r>
    </w:p>
    <w:p>
      <w:pPr>
        <w:adjustRightInd w:val="0"/>
        <w:snapToGrid w:val="0"/>
        <w:spacing w:line="360" w:lineRule="auto"/>
        <w:ind w:firstLine="560" w:firstLineChars="200"/>
        <w:rPr>
          <w:spacing w:val="2"/>
          <w:sz w:val="28"/>
          <w:szCs w:val="28"/>
        </w:rPr>
      </w:pPr>
      <w:r>
        <w:rPr>
          <w:spacing w:val="2"/>
          <w:sz w:val="28"/>
          <w:szCs w:val="28"/>
        </w:rPr>
        <w:t>35、《系统接地的型式及安全技术要求》GB14050-2008）；</w:t>
      </w:r>
    </w:p>
    <w:p>
      <w:pPr>
        <w:adjustRightInd w:val="0"/>
        <w:snapToGrid w:val="0"/>
        <w:spacing w:line="360" w:lineRule="auto"/>
        <w:ind w:firstLine="560" w:firstLineChars="200"/>
        <w:rPr>
          <w:spacing w:val="2"/>
          <w:sz w:val="28"/>
          <w:szCs w:val="28"/>
        </w:rPr>
      </w:pPr>
      <w:r>
        <w:rPr>
          <w:spacing w:val="2"/>
          <w:sz w:val="28"/>
          <w:szCs w:val="28"/>
        </w:rPr>
        <w:t>36、《个体防护装备选用规范》（GB/T33000-2016）；</w:t>
      </w:r>
    </w:p>
    <w:p>
      <w:pPr>
        <w:adjustRightInd w:val="0"/>
        <w:snapToGrid w:val="0"/>
        <w:spacing w:line="360" w:lineRule="auto"/>
        <w:ind w:firstLine="560" w:firstLineChars="200"/>
        <w:rPr>
          <w:spacing w:val="2"/>
          <w:sz w:val="28"/>
          <w:szCs w:val="28"/>
        </w:rPr>
      </w:pPr>
      <w:r>
        <w:rPr>
          <w:spacing w:val="2"/>
          <w:sz w:val="28"/>
          <w:szCs w:val="28"/>
        </w:rPr>
        <w:t>37、《安全色》（GB2893-2008）；</w:t>
      </w:r>
    </w:p>
    <w:p>
      <w:pPr>
        <w:adjustRightInd w:val="0"/>
        <w:snapToGrid w:val="0"/>
        <w:spacing w:line="360" w:lineRule="auto"/>
        <w:ind w:firstLine="560" w:firstLineChars="200"/>
        <w:rPr>
          <w:spacing w:val="2"/>
          <w:sz w:val="28"/>
          <w:szCs w:val="28"/>
        </w:rPr>
      </w:pPr>
      <w:r>
        <w:rPr>
          <w:spacing w:val="2"/>
          <w:sz w:val="28"/>
          <w:szCs w:val="28"/>
        </w:rPr>
        <w:t>38、《可燃性粉尘环境用电气设备用外壳和限制表面温度保护的电气设备粉尘防爆照明(动力)配电箱》（JB/T11626-2013）；</w:t>
      </w:r>
    </w:p>
    <w:p>
      <w:pPr>
        <w:adjustRightInd w:val="0"/>
        <w:snapToGrid w:val="0"/>
        <w:spacing w:line="360" w:lineRule="auto"/>
        <w:ind w:firstLine="560" w:firstLineChars="200"/>
        <w:rPr>
          <w:spacing w:val="2"/>
          <w:sz w:val="28"/>
          <w:szCs w:val="28"/>
        </w:rPr>
        <w:sectPr>
          <w:headerReference w:type="default" r:id="rId22"/>
          <w:footerReference w:type="default" r:id="rId23"/>
          <w:type w:val="nextPage"/>
          <w:pgSz w:w="11906" w:h="16838"/>
          <w:pgMar w:top="1418" w:right="1418" w:bottom="1361" w:left="1474" w:header="993" w:footer="980" w:gutter="0"/>
          <w:pgNumType w:start="5"/>
          <w:cols w:space="708"/>
          <w:titlePg w:val="0"/>
          <w:docGrid w:type="lines" w:linePitch="312"/>
        </w:sectPr>
      </w:pPr>
      <w:r>
        <w:rPr>
          <w:spacing w:val="2"/>
          <w:sz w:val="28"/>
          <w:szCs w:val="28"/>
        </w:rPr>
        <w:t>39、《可燃性粉尘环境用电气设备用外壳和限制表面温度保护的电气设备粉尘防爆照明开关》（JB/T10836-2008）；</w:t>
      </w:r>
    </w:p>
    <w:p>
      <w:pPr>
        <w:adjustRightInd w:val="0"/>
        <w:snapToGrid w:val="0"/>
        <w:spacing w:line="360" w:lineRule="auto"/>
        <w:ind w:firstLine="560" w:firstLineChars="200"/>
        <w:rPr>
          <w:spacing w:val="2"/>
          <w:sz w:val="28"/>
          <w:szCs w:val="28"/>
        </w:rPr>
      </w:pPr>
      <w:r>
        <w:rPr>
          <w:spacing w:val="2"/>
          <w:sz w:val="28"/>
          <w:szCs w:val="28"/>
        </w:rPr>
        <w:t>40、《可燃性粉尘环境用电气设备用外壳和限制表面温度保护的电气设备粉尘防爆插接装置》（JB/T10847-2008）；</w:t>
      </w:r>
    </w:p>
    <w:p>
      <w:pPr>
        <w:adjustRightInd w:val="0"/>
        <w:snapToGrid w:val="0"/>
        <w:spacing w:line="360" w:lineRule="auto"/>
        <w:ind w:firstLine="560" w:firstLineChars="200"/>
        <w:rPr>
          <w:spacing w:val="2"/>
          <w:sz w:val="28"/>
          <w:szCs w:val="28"/>
        </w:rPr>
      </w:pPr>
      <w:r>
        <w:rPr>
          <w:spacing w:val="2"/>
          <w:sz w:val="28"/>
          <w:szCs w:val="28"/>
        </w:rPr>
        <w:t>41、《木材加工系统粉尘防爆安全规范》（AQ4228-2012）；</w:t>
      </w:r>
    </w:p>
    <w:p>
      <w:pPr>
        <w:adjustRightInd w:val="0"/>
        <w:snapToGrid w:val="0"/>
        <w:spacing w:line="360" w:lineRule="auto"/>
        <w:ind w:firstLine="560" w:firstLineChars="200"/>
        <w:rPr>
          <w:spacing w:val="2"/>
          <w:sz w:val="28"/>
          <w:szCs w:val="28"/>
        </w:rPr>
      </w:pPr>
      <w:r>
        <w:rPr>
          <w:spacing w:val="2"/>
          <w:sz w:val="28"/>
          <w:szCs w:val="28"/>
        </w:rPr>
        <w:t>42、《家具生产企业安全生产标准化规范》（AQ/T7010-2013）。</w:t>
      </w:r>
    </w:p>
    <w:p>
      <w:pPr>
        <w:pStyle w:val="Heading2"/>
        <w:adjustRightInd w:val="0"/>
        <w:snapToGrid w:val="0"/>
        <w:spacing w:before="0" w:after="0" w:line="360" w:lineRule="auto"/>
        <w:rPr>
          <w:rFonts w:ascii="Times New Roman" w:eastAsia="楷体" w:hAnsi="Times New Roman" w:hint="eastAsia"/>
        </w:rPr>
      </w:pPr>
      <w:bookmarkStart w:id="78" w:name="_Toc391729456"/>
      <w:bookmarkStart w:id="79" w:name="_Toc401525658"/>
      <w:bookmarkStart w:id="80" w:name="_Toc388959564"/>
      <w:bookmarkStart w:id="81" w:name="_Toc369267137"/>
      <w:bookmarkStart w:id="82" w:name="_Toc394422400"/>
      <w:bookmarkStart w:id="83" w:name="_Toc401525920"/>
      <w:bookmarkStart w:id="84" w:name="_Toc28120"/>
      <w:bookmarkStart w:id="85" w:name="_Toc402804536"/>
      <w:bookmarkStart w:id="86" w:name="_Toc361385047"/>
      <w:bookmarkStart w:id="87" w:name="_Toc358285338"/>
      <w:bookmarkStart w:id="88" w:name="_Toc18865"/>
      <w:bookmarkStart w:id="89" w:name="_Toc387085797"/>
      <w:bookmarkStart w:id="90" w:name="_Toc465883360"/>
      <w:bookmarkStart w:id="91" w:name="_Toc14347171"/>
      <w:bookmarkStart w:id="92" w:name="_Toc375162460"/>
      <w:r>
        <w:rPr>
          <w:rFonts w:ascii="Times New Roman" w:eastAsia="楷体" w:hAnsi="Times New Roman"/>
        </w:rPr>
        <w:t>1.</w:t>
      </w:r>
      <w:bookmarkEnd w:id="92"/>
      <w:bookmarkEnd w:id="78"/>
      <w:bookmarkEnd w:id="79"/>
      <w:bookmarkEnd w:id="80"/>
      <w:bookmarkEnd w:id="81"/>
      <w:bookmarkEnd w:id="82"/>
      <w:bookmarkEnd w:id="83"/>
      <w:bookmarkEnd w:id="84"/>
      <w:bookmarkEnd w:id="85"/>
      <w:bookmarkEnd w:id="86"/>
      <w:bookmarkEnd w:id="87"/>
      <w:bookmarkEnd w:id="88"/>
      <w:bookmarkEnd w:id="89"/>
      <w:r>
        <w:rPr>
          <w:rFonts w:ascii="Times New Roman" w:eastAsia="楷体" w:hAnsi="Times New Roman"/>
        </w:rPr>
        <w:t>6建设项目主要技术资料</w:t>
      </w:r>
      <w:bookmarkEnd w:id="90"/>
      <w:bookmarkEnd w:id="91"/>
    </w:p>
    <w:p>
      <w:pPr>
        <w:adjustRightInd w:val="0"/>
        <w:snapToGrid w:val="0"/>
        <w:spacing w:line="360" w:lineRule="auto"/>
        <w:ind w:firstLine="560" w:firstLineChars="200"/>
        <w:rPr>
          <w:rFonts w:hint="eastAsia"/>
          <w:spacing w:val="2"/>
          <w:sz w:val="28"/>
          <w:szCs w:val="28"/>
        </w:rPr>
      </w:pPr>
      <w:r>
        <w:rPr>
          <w:spacing w:val="2"/>
          <w:sz w:val="28"/>
          <w:szCs w:val="28"/>
        </w:rPr>
        <w:t>1、</w:t>
      </w:r>
      <w:r>
        <w:rPr>
          <w:rFonts w:hint="eastAsia"/>
          <w:spacing w:val="2"/>
          <w:sz w:val="28"/>
          <w:szCs w:val="28"/>
        </w:rPr>
        <w:t>营业执照（91610422MA6XUXH939）</w:t>
      </w:r>
    </w:p>
    <w:p>
      <w:pPr>
        <w:adjustRightInd w:val="0"/>
        <w:snapToGrid w:val="0"/>
        <w:spacing w:line="360" w:lineRule="auto"/>
        <w:ind w:firstLine="560" w:firstLineChars="200"/>
        <w:rPr>
          <w:spacing w:val="2"/>
          <w:sz w:val="28"/>
          <w:szCs w:val="28"/>
        </w:rPr>
      </w:pPr>
      <w:r>
        <w:rPr>
          <w:spacing w:val="2"/>
          <w:sz w:val="28"/>
          <w:szCs w:val="28"/>
        </w:rPr>
        <w:t>1、</w:t>
      </w:r>
      <w:r>
        <w:rPr>
          <w:rFonts w:hint="eastAsia"/>
          <w:spacing w:val="2"/>
          <w:sz w:val="28"/>
          <w:szCs w:val="28"/>
        </w:rPr>
        <w:t>土地证</w:t>
      </w:r>
    </w:p>
    <w:p>
      <w:pPr>
        <w:adjustRightInd w:val="0"/>
        <w:snapToGrid w:val="0"/>
        <w:spacing w:line="360" w:lineRule="auto"/>
        <w:ind w:firstLine="560" w:firstLineChars="200"/>
        <w:rPr>
          <w:spacing w:val="2"/>
          <w:sz w:val="28"/>
          <w:szCs w:val="28"/>
        </w:rPr>
      </w:pPr>
      <w:r>
        <w:rPr>
          <w:spacing w:val="2"/>
          <w:sz w:val="28"/>
          <w:szCs w:val="28"/>
        </w:rPr>
        <w:t>1、</w:t>
      </w:r>
      <w:r>
        <w:rPr>
          <w:rFonts w:hint="eastAsia"/>
          <w:sz w:val="28"/>
          <w:szCs w:val="28"/>
          <w:lang w:eastAsia="zh-CN"/>
        </w:rPr>
        <w:t>XX</w:t>
      </w:r>
      <w:r>
        <w:rPr>
          <w:rFonts w:hint="eastAsia"/>
          <w:sz w:val="28"/>
          <w:szCs w:val="28"/>
        </w:rPr>
        <w:t>县发展和改革局</w:t>
      </w:r>
      <w:r>
        <w:rPr>
          <w:sz w:val="28"/>
          <w:szCs w:val="28"/>
        </w:rPr>
        <w:t>《</w:t>
      </w:r>
      <w:r>
        <w:rPr>
          <w:rFonts w:hint="eastAsia"/>
          <w:sz w:val="28"/>
          <w:szCs w:val="28"/>
        </w:rPr>
        <w:t>关于印发年产10万套木质家具生产线建设项目备案确认书</w:t>
      </w:r>
      <w:r>
        <w:rPr>
          <w:sz w:val="28"/>
          <w:szCs w:val="28"/>
        </w:rPr>
        <w:t>》（</w:t>
      </w:r>
      <w:r>
        <w:rPr>
          <w:rFonts w:hint="eastAsia"/>
          <w:sz w:val="28"/>
          <w:szCs w:val="28"/>
        </w:rPr>
        <w:t>三发改投（2019）148号）</w:t>
      </w:r>
      <w:r>
        <w:rPr>
          <w:spacing w:val="2"/>
          <w:sz w:val="28"/>
          <w:szCs w:val="28"/>
        </w:rPr>
        <w:t>；</w:t>
      </w:r>
    </w:p>
    <w:p>
      <w:pPr>
        <w:adjustRightInd w:val="0"/>
        <w:snapToGrid w:val="0"/>
        <w:spacing w:line="360" w:lineRule="auto"/>
        <w:ind w:firstLine="560" w:firstLineChars="200"/>
        <w:rPr>
          <w:spacing w:val="2"/>
          <w:sz w:val="28"/>
          <w:szCs w:val="28"/>
        </w:rPr>
        <w:sectPr>
          <w:headerReference w:type="default" r:id="rId24"/>
          <w:footerReference w:type="default" r:id="rId25"/>
          <w:type w:val="nextPage"/>
          <w:pgSz w:w="11906" w:h="16838"/>
          <w:pgMar w:top="1418" w:right="1418" w:bottom="1361" w:left="1474" w:header="993" w:footer="980" w:gutter="0"/>
          <w:pgNumType w:start="6"/>
          <w:cols w:space="708"/>
          <w:titlePg w:val="0"/>
          <w:docGrid w:type="lines" w:linePitch="312"/>
        </w:sectPr>
      </w:pPr>
      <w:r>
        <w:rPr>
          <w:spacing w:val="2"/>
          <w:sz w:val="28"/>
          <w:szCs w:val="28"/>
        </w:rPr>
        <w:t>2、《</w:t>
      </w:r>
      <w:r>
        <w:rPr>
          <w:rFonts w:hint="eastAsia"/>
          <w:spacing w:val="2"/>
          <w:sz w:val="28"/>
          <w:szCs w:val="28"/>
          <w:lang w:eastAsia="zh-CN"/>
        </w:rPr>
        <w:t>XX家具有限公司</w:t>
      </w:r>
      <w:r>
        <w:rPr>
          <w:spacing w:val="2"/>
          <w:sz w:val="28"/>
          <w:szCs w:val="28"/>
        </w:rPr>
        <w:t>年产10万套木质家具生产线建设项目安全生产条件和设施综合分析报告》，</w:t>
      </w:r>
      <w:r>
        <w:rPr>
          <w:rFonts w:hint="eastAsia"/>
          <w:spacing w:val="2"/>
          <w:sz w:val="28"/>
          <w:szCs w:val="28"/>
          <w:lang w:eastAsia="zh-CN"/>
        </w:rPr>
        <w:t>XX家具有限公司</w:t>
      </w:r>
      <w:r>
        <w:rPr>
          <w:spacing w:val="2"/>
          <w:sz w:val="28"/>
          <w:szCs w:val="28"/>
        </w:rPr>
        <w:t>。</w:t>
      </w:r>
    </w:p>
    <w:p>
      <w:pPr>
        <w:pStyle w:val="Heading1"/>
        <w:adjustRightInd w:val="0"/>
        <w:snapToGrid w:val="0"/>
        <w:spacing w:before="156" w:beforeLines="50" w:after="0" w:line="360" w:lineRule="auto"/>
        <w:jc w:val="center"/>
        <w:rPr>
          <w:rFonts w:ascii="Times New Roman" w:eastAsia="黑体" w:hAnsi="Times New Roman" w:hint="eastAsia"/>
          <w:sz w:val="32"/>
          <w:szCs w:val="32"/>
        </w:rPr>
      </w:pPr>
      <w:bookmarkStart w:id="93" w:name="_Toc14347172"/>
      <w:r>
        <w:rPr>
          <w:rFonts w:ascii="Times New Roman" w:eastAsia="黑体" w:hAnsi="Times New Roman"/>
          <w:sz w:val="32"/>
          <w:szCs w:val="32"/>
        </w:rPr>
        <w:t>2建设项目概况</w:t>
      </w:r>
      <w:bookmarkEnd w:id="8"/>
      <w:bookmarkEnd w:id="93"/>
    </w:p>
    <w:p>
      <w:pPr>
        <w:pStyle w:val="Heading2"/>
        <w:adjustRightInd w:val="0"/>
        <w:snapToGrid w:val="0"/>
        <w:spacing w:before="0" w:after="0" w:line="360" w:lineRule="auto"/>
        <w:rPr>
          <w:rFonts w:ascii="Times New Roman" w:eastAsia="楷体" w:hAnsi="Times New Roman"/>
        </w:rPr>
      </w:pPr>
      <w:bookmarkStart w:id="94" w:name="_Toc14347175"/>
      <w:r>
        <w:rPr>
          <w:rFonts w:ascii="Times New Roman" w:eastAsia="楷体" w:hAnsi="Times New Roman"/>
        </w:rPr>
        <w:t>2.</w:t>
      </w:r>
      <w:r>
        <w:rPr>
          <w:rFonts w:ascii="Times New Roman" w:eastAsia="楷体" w:hAnsi="Times New Roman" w:hint="eastAsia"/>
        </w:rPr>
        <w:t>1</w:t>
      </w:r>
      <w:r>
        <w:rPr>
          <w:rFonts w:ascii="Times New Roman" w:eastAsia="楷体" w:hAnsi="Times New Roman"/>
        </w:rPr>
        <w:t>工程性质及设计内容</w:t>
      </w:r>
      <w:bookmarkEnd w:id="94"/>
    </w:p>
    <w:p>
      <w:pPr>
        <w:pStyle w:val="Heading3"/>
        <w:adjustRightInd w:val="0"/>
        <w:snapToGrid w:val="0"/>
        <w:spacing w:before="0" w:beforeLines="0" w:after="0" w:afterLines="0" w:line="360" w:lineRule="auto"/>
        <w:rPr>
          <w:rFonts w:eastAsia="宋体"/>
          <w:szCs w:val="28"/>
        </w:rPr>
      </w:pPr>
      <w:r>
        <w:rPr>
          <w:rFonts w:eastAsia="宋体"/>
          <w:szCs w:val="28"/>
        </w:rPr>
        <w:t>2.</w:t>
      </w:r>
      <w:r>
        <w:rPr>
          <w:rFonts w:eastAsia="宋体" w:hint="eastAsia"/>
          <w:szCs w:val="28"/>
        </w:rPr>
        <w:t>1</w:t>
      </w:r>
      <w:r>
        <w:rPr>
          <w:rFonts w:eastAsia="宋体"/>
          <w:szCs w:val="28"/>
        </w:rPr>
        <w:t>.1建设单位的基本情况</w:t>
      </w:r>
    </w:p>
    <w:p>
      <w:pPr>
        <w:adjustRightInd w:val="0"/>
        <w:snapToGrid w:val="0"/>
        <w:spacing w:line="360" w:lineRule="auto"/>
        <w:ind w:firstLine="560" w:firstLineChars="200"/>
        <w:rPr>
          <w:sz w:val="28"/>
          <w:szCs w:val="28"/>
          <w:lang w:val="zh-CN"/>
        </w:rPr>
      </w:pPr>
      <w:r>
        <w:rPr>
          <w:rFonts w:hint="eastAsia"/>
          <w:sz w:val="28"/>
          <w:szCs w:val="28"/>
          <w:lang w:val="zh-CN"/>
        </w:rPr>
        <w:t>XX家具有限公司</w:t>
      </w:r>
      <w:r>
        <w:rPr>
          <w:sz w:val="28"/>
          <w:szCs w:val="28"/>
          <w:lang w:val="zh-CN"/>
        </w:rPr>
        <w:t>位于</w:t>
      </w:r>
      <w:r>
        <w:rPr>
          <w:rFonts w:hint="eastAsia"/>
          <w:sz w:val="28"/>
          <w:szCs w:val="28"/>
          <w:lang w:val="zh-CN"/>
        </w:rPr>
        <w:t>XX</w:t>
      </w:r>
      <w:r>
        <w:rPr>
          <w:sz w:val="28"/>
          <w:szCs w:val="28"/>
          <w:lang w:val="zh-CN"/>
        </w:rPr>
        <w:t>省</w:t>
      </w:r>
      <w:r>
        <w:rPr>
          <w:rFonts w:hint="eastAsia"/>
          <w:sz w:val="28"/>
          <w:szCs w:val="28"/>
          <w:lang w:val="zh-CN"/>
        </w:rPr>
        <w:t>XX</w:t>
      </w:r>
      <w:r>
        <w:rPr>
          <w:sz w:val="28"/>
          <w:szCs w:val="28"/>
          <w:lang w:val="zh-CN"/>
        </w:rPr>
        <w:t>市</w:t>
      </w:r>
      <w:r>
        <w:rPr>
          <w:rFonts w:hint="eastAsia"/>
          <w:sz w:val="28"/>
          <w:szCs w:val="28"/>
          <w:lang w:val="zh-CN"/>
        </w:rPr>
        <w:t>XX</w:t>
      </w:r>
      <w:r>
        <w:rPr>
          <w:sz w:val="28"/>
          <w:szCs w:val="28"/>
          <w:lang w:val="zh-CN"/>
        </w:rPr>
        <w:t>县</w:t>
      </w:r>
      <w:r>
        <w:rPr>
          <w:rFonts w:hint="eastAsia"/>
          <w:sz w:val="28"/>
          <w:szCs w:val="28"/>
          <w:lang w:val="zh-CN"/>
        </w:rPr>
        <w:t>XX</w:t>
      </w:r>
      <w:r>
        <w:rPr>
          <w:sz w:val="28"/>
          <w:szCs w:val="28"/>
          <w:lang w:val="zh-CN"/>
        </w:rPr>
        <w:t>镇</w:t>
      </w:r>
      <w:r>
        <w:rPr>
          <w:rFonts w:hint="eastAsia"/>
          <w:sz w:val="28"/>
          <w:szCs w:val="28"/>
          <w:lang w:val="zh-CN"/>
        </w:rPr>
        <w:t>XXXX</w:t>
      </w:r>
      <w:r>
        <w:rPr>
          <w:sz w:val="28"/>
          <w:szCs w:val="28"/>
          <w:lang w:val="zh-CN"/>
        </w:rPr>
        <w:t>66号，成立于2019年5月，主要经营办公家具、酒店家具、教学家具、实木复合家具、板式家具。</w:t>
      </w:r>
    </w:p>
    <w:p>
      <w:pPr>
        <w:pStyle w:val="Heading3"/>
        <w:adjustRightInd w:val="0"/>
        <w:snapToGrid w:val="0"/>
        <w:spacing w:before="0" w:beforeLines="0" w:after="0" w:afterLines="0" w:line="360" w:lineRule="auto"/>
        <w:rPr>
          <w:rFonts w:eastAsia="宋体"/>
          <w:szCs w:val="28"/>
        </w:rPr>
      </w:pPr>
      <w:r>
        <w:rPr>
          <w:rFonts w:eastAsia="宋体"/>
          <w:szCs w:val="28"/>
        </w:rPr>
        <w:t>2.</w:t>
      </w:r>
      <w:r>
        <w:rPr>
          <w:rFonts w:eastAsia="宋体" w:hint="eastAsia"/>
          <w:szCs w:val="28"/>
        </w:rPr>
        <w:t>1</w:t>
      </w:r>
      <w:r>
        <w:rPr>
          <w:rFonts w:eastAsia="宋体"/>
          <w:szCs w:val="28"/>
        </w:rPr>
        <w:t>.2工程性质及设计内容</w:t>
      </w:r>
    </w:p>
    <w:p>
      <w:pPr>
        <w:adjustRightInd w:val="0"/>
        <w:snapToGrid w:val="0"/>
        <w:spacing w:line="360" w:lineRule="auto"/>
        <w:ind w:firstLine="560" w:firstLineChars="200"/>
        <w:rPr>
          <w:sz w:val="28"/>
          <w:szCs w:val="28"/>
          <w:lang w:val="zh-CN"/>
        </w:rPr>
      </w:pPr>
      <w:r>
        <w:rPr>
          <w:sz w:val="28"/>
          <w:szCs w:val="28"/>
          <w:lang w:val="zh-CN"/>
        </w:rPr>
        <w:t>项目名称：</w:t>
      </w:r>
      <w:r>
        <w:rPr>
          <w:rFonts w:hint="eastAsia"/>
          <w:bCs/>
          <w:iCs/>
          <w:sz w:val="28"/>
          <w:szCs w:val="28"/>
          <w:lang w:eastAsia="zh-CN"/>
        </w:rPr>
        <w:t>XX家具有限公司</w:t>
      </w:r>
      <w:r>
        <w:rPr>
          <w:bCs/>
          <w:iCs/>
          <w:sz w:val="28"/>
          <w:szCs w:val="28"/>
        </w:rPr>
        <w:t>年产10万套木质家具生产线建设项目</w:t>
      </w:r>
    </w:p>
    <w:p>
      <w:pPr>
        <w:adjustRightInd w:val="0"/>
        <w:snapToGrid w:val="0"/>
        <w:spacing w:line="360" w:lineRule="auto"/>
        <w:ind w:firstLine="560" w:firstLineChars="200"/>
        <w:rPr>
          <w:sz w:val="28"/>
          <w:szCs w:val="28"/>
          <w:lang w:val="zh-CN"/>
        </w:rPr>
      </w:pPr>
      <w:r>
        <w:rPr>
          <w:sz w:val="28"/>
          <w:szCs w:val="28"/>
          <w:lang w:val="zh-CN"/>
        </w:rPr>
        <w:t>项目建设地址：</w:t>
      </w:r>
      <w:r>
        <w:rPr>
          <w:rFonts w:hint="eastAsia"/>
          <w:bCs/>
          <w:iCs/>
          <w:sz w:val="28"/>
          <w:szCs w:val="28"/>
          <w:lang w:eastAsia="zh-CN"/>
        </w:rPr>
        <w:t>XX</w:t>
      </w:r>
      <w:r>
        <w:rPr>
          <w:bCs/>
          <w:iCs/>
          <w:sz w:val="28"/>
          <w:szCs w:val="28"/>
        </w:rPr>
        <w:t>省</w:t>
      </w:r>
      <w:r>
        <w:rPr>
          <w:rFonts w:hint="eastAsia"/>
          <w:bCs/>
          <w:iCs/>
          <w:sz w:val="28"/>
          <w:szCs w:val="28"/>
          <w:lang w:eastAsia="zh-CN"/>
        </w:rPr>
        <w:t>XX</w:t>
      </w:r>
      <w:r>
        <w:rPr>
          <w:bCs/>
          <w:iCs/>
          <w:sz w:val="28"/>
          <w:szCs w:val="28"/>
        </w:rPr>
        <w:t>市</w:t>
      </w:r>
      <w:r>
        <w:rPr>
          <w:rFonts w:hint="eastAsia"/>
          <w:bCs/>
          <w:iCs/>
          <w:sz w:val="28"/>
          <w:szCs w:val="28"/>
          <w:lang w:eastAsia="zh-CN"/>
        </w:rPr>
        <w:t>XX</w:t>
      </w:r>
      <w:r>
        <w:rPr>
          <w:bCs/>
          <w:iCs/>
          <w:sz w:val="28"/>
          <w:szCs w:val="28"/>
        </w:rPr>
        <w:t>县</w:t>
      </w:r>
      <w:r>
        <w:rPr>
          <w:rFonts w:hint="eastAsia"/>
          <w:bCs/>
          <w:iCs/>
          <w:sz w:val="28"/>
          <w:szCs w:val="28"/>
          <w:lang w:eastAsia="zh-CN"/>
        </w:rPr>
        <w:t>XX</w:t>
      </w:r>
      <w:r>
        <w:rPr>
          <w:bCs/>
          <w:iCs/>
          <w:sz w:val="28"/>
          <w:szCs w:val="28"/>
        </w:rPr>
        <w:t>镇</w:t>
      </w:r>
      <w:r>
        <w:rPr>
          <w:rFonts w:hint="eastAsia"/>
          <w:bCs/>
          <w:iCs/>
          <w:sz w:val="28"/>
          <w:szCs w:val="28"/>
          <w:lang w:eastAsia="zh-CN"/>
        </w:rPr>
        <w:t>XXXX</w:t>
      </w:r>
      <w:r>
        <w:rPr>
          <w:bCs/>
          <w:iCs/>
          <w:sz w:val="28"/>
          <w:szCs w:val="28"/>
        </w:rPr>
        <w:t>66号</w:t>
      </w:r>
    </w:p>
    <w:p>
      <w:pPr>
        <w:adjustRightInd w:val="0"/>
        <w:snapToGrid w:val="0"/>
        <w:spacing w:line="360" w:lineRule="auto"/>
        <w:ind w:firstLine="560" w:firstLineChars="200"/>
        <w:rPr>
          <w:sz w:val="28"/>
          <w:szCs w:val="28"/>
          <w:lang w:val="zh-CN"/>
        </w:rPr>
      </w:pPr>
      <w:r>
        <w:rPr>
          <w:sz w:val="28"/>
          <w:szCs w:val="28"/>
          <w:lang w:val="zh-CN"/>
        </w:rPr>
        <w:t>建设单位：</w:t>
      </w:r>
      <w:r>
        <w:rPr>
          <w:rFonts w:hint="eastAsia"/>
          <w:sz w:val="28"/>
          <w:szCs w:val="28"/>
          <w:lang w:val="zh-CN"/>
        </w:rPr>
        <w:t>XX家具有限公司</w:t>
      </w:r>
    </w:p>
    <w:p>
      <w:pPr>
        <w:adjustRightInd w:val="0"/>
        <w:snapToGrid w:val="0"/>
        <w:spacing w:line="360" w:lineRule="auto"/>
        <w:ind w:firstLine="560" w:firstLineChars="200"/>
        <w:rPr>
          <w:sz w:val="28"/>
          <w:szCs w:val="28"/>
          <w:lang w:val="zh-CN"/>
        </w:rPr>
      </w:pPr>
      <w:r>
        <w:rPr>
          <w:sz w:val="28"/>
          <w:szCs w:val="28"/>
          <w:lang w:val="zh-CN"/>
        </w:rPr>
        <w:t>建设性质：新建项目</w:t>
      </w:r>
    </w:p>
    <w:p>
      <w:pPr>
        <w:adjustRightInd w:val="0"/>
        <w:snapToGrid w:val="0"/>
        <w:spacing w:line="360" w:lineRule="auto"/>
        <w:ind w:firstLine="560" w:firstLineChars="200"/>
        <w:rPr>
          <w:sz w:val="28"/>
          <w:szCs w:val="28"/>
          <w:lang w:val="zh-CN"/>
        </w:rPr>
      </w:pPr>
      <w:r>
        <w:rPr>
          <w:sz w:val="28"/>
          <w:szCs w:val="28"/>
          <w:lang w:val="zh-CN"/>
        </w:rPr>
        <w:t>本项目建设投资估算：</w:t>
      </w:r>
      <w:r>
        <w:rPr>
          <w:rFonts w:hint="eastAsia"/>
          <w:sz w:val="28"/>
          <w:szCs w:val="28"/>
          <w:lang w:val="zh-CN"/>
        </w:rPr>
        <w:t>15</w:t>
      </w:r>
      <w:r>
        <w:rPr>
          <w:sz w:val="28"/>
          <w:szCs w:val="28"/>
          <w:lang w:val="zh-CN"/>
        </w:rPr>
        <w:t>00.00万元。</w:t>
      </w:r>
    </w:p>
    <w:p>
      <w:pPr>
        <w:adjustRightInd w:val="0"/>
        <w:snapToGrid w:val="0"/>
        <w:spacing w:line="360" w:lineRule="auto"/>
        <w:ind w:firstLine="560" w:firstLineChars="200"/>
        <w:rPr>
          <w:sz w:val="28"/>
          <w:szCs w:val="28"/>
          <w:lang w:val="zh-CN"/>
        </w:rPr>
      </w:pPr>
      <w:r>
        <w:rPr>
          <w:sz w:val="28"/>
          <w:szCs w:val="28"/>
          <w:lang w:val="zh-CN"/>
        </w:rPr>
        <w:t>本项目主要建设工程内容：</w:t>
      </w:r>
      <w:r>
        <w:rPr>
          <w:rFonts w:hint="eastAsia"/>
          <w:sz w:val="28"/>
          <w:szCs w:val="28"/>
        </w:rPr>
        <w:t>拟建项目位于</w:t>
      </w:r>
      <w:r>
        <w:rPr>
          <w:rFonts w:hint="eastAsia"/>
          <w:sz w:val="28"/>
          <w:szCs w:val="28"/>
          <w:lang w:eastAsia="zh-CN"/>
        </w:rPr>
        <w:t>XX</w:t>
      </w:r>
      <w:r>
        <w:rPr>
          <w:rFonts w:hint="eastAsia"/>
          <w:sz w:val="28"/>
          <w:szCs w:val="28"/>
        </w:rPr>
        <w:t>市</w:t>
      </w:r>
      <w:r>
        <w:rPr>
          <w:rFonts w:hint="eastAsia"/>
          <w:sz w:val="28"/>
          <w:szCs w:val="28"/>
          <w:lang w:eastAsia="zh-CN"/>
        </w:rPr>
        <w:t>XX</w:t>
      </w:r>
      <w:r>
        <w:rPr>
          <w:rFonts w:hint="eastAsia"/>
          <w:sz w:val="28"/>
          <w:szCs w:val="28"/>
        </w:rPr>
        <w:t>县</w:t>
      </w:r>
      <w:r>
        <w:rPr>
          <w:rFonts w:hint="eastAsia"/>
          <w:sz w:val="28"/>
          <w:szCs w:val="28"/>
          <w:lang w:eastAsia="zh-CN"/>
        </w:rPr>
        <w:t>XX</w:t>
      </w:r>
      <w:r>
        <w:rPr>
          <w:rFonts w:hint="eastAsia"/>
          <w:sz w:val="28"/>
          <w:szCs w:val="28"/>
        </w:rPr>
        <w:t>镇</w:t>
      </w:r>
      <w:r>
        <w:rPr>
          <w:rFonts w:hint="eastAsia"/>
          <w:sz w:val="28"/>
          <w:szCs w:val="28"/>
          <w:lang w:eastAsia="zh-CN"/>
        </w:rPr>
        <w:t>XXXX</w:t>
      </w:r>
      <w:r>
        <w:rPr>
          <w:sz w:val="28"/>
          <w:szCs w:val="28"/>
        </w:rPr>
        <w:t>66</w:t>
      </w:r>
      <w:r>
        <w:rPr>
          <w:rFonts w:hint="eastAsia"/>
          <w:sz w:val="28"/>
          <w:szCs w:val="28"/>
        </w:rPr>
        <w:t>号，建设</w:t>
      </w:r>
      <w:r>
        <w:rPr>
          <w:sz w:val="28"/>
          <w:szCs w:val="28"/>
        </w:rPr>
        <w:t>10</w:t>
      </w:r>
      <w:r>
        <w:rPr>
          <w:rFonts w:hint="eastAsia"/>
          <w:sz w:val="28"/>
          <w:szCs w:val="28"/>
        </w:rPr>
        <w:t>万套木质家具生产线建设项目。项目占地约</w:t>
      </w:r>
      <w:r>
        <w:rPr>
          <w:sz w:val="28"/>
          <w:szCs w:val="28"/>
        </w:rPr>
        <w:t>18</w:t>
      </w:r>
      <w:r>
        <w:rPr>
          <w:rFonts w:hint="eastAsia"/>
          <w:sz w:val="28"/>
          <w:szCs w:val="28"/>
        </w:rPr>
        <w:t>亩，拟建厂房为单层联合车间，其中有加工厂房</w:t>
      </w:r>
      <w:r>
        <w:rPr>
          <w:sz w:val="28"/>
          <w:szCs w:val="28"/>
        </w:rPr>
        <w:t>4</w:t>
      </w:r>
      <w:r>
        <w:rPr>
          <w:rFonts w:hint="eastAsia"/>
          <w:sz w:val="28"/>
          <w:szCs w:val="28"/>
        </w:rPr>
        <w:t>间，总建筑面积为8500</w:t>
      </w:r>
      <w:r>
        <w:rPr>
          <w:sz w:val="28"/>
          <w:szCs w:val="28"/>
        </w:rPr>
        <w:t>m</w:t>
      </w:r>
      <w:r>
        <w:rPr>
          <w:sz w:val="28"/>
          <w:szCs w:val="28"/>
          <w:vertAlign w:val="superscript"/>
        </w:rPr>
        <w:t>2</w:t>
      </w:r>
      <w:r>
        <w:rPr>
          <w:rFonts w:hint="eastAsia"/>
          <w:snapToGrid w:val="0"/>
          <w:sz w:val="28"/>
          <w:szCs w:val="28"/>
        </w:rPr>
        <w:t>；其他辅助用房有办公楼、门卫、车棚、洗澡间、工具房、职工食堂等</w:t>
      </w:r>
      <w:r>
        <w:rPr>
          <w:rFonts w:hint="eastAsia"/>
          <w:sz w:val="28"/>
          <w:szCs w:val="28"/>
        </w:rPr>
        <w:t>。</w:t>
      </w:r>
    </w:p>
    <w:p>
      <w:pPr>
        <w:adjustRightInd w:val="0"/>
        <w:snapToGrid w:val="0"/>
        <w:spacing w:line="360" w:lineRule="auto"/>
        <w:ind w:firstLine="560" w:firstLineChars="200"/>
        <w:rPr>
          <w:sz w:val="28"/>
          <w:szCs w:val="28"/>
          <w:lang w:val="zh-CN"/>
        </w:rPr>
      </w:pPr>
      <w:r>
        <w:rPr>
          <w:sz w:val="28"/>
          <w:szCs w:val="28"/>
          <w:lang w:val="zh-CN"/>
        </w:rPr>
        <w:t>设计范围：本次设计的具体范围为</w:t>
      </w:r>
      <w:r>
        <w:rPr>
          <w:snapToGrid w:val="0"/>
          <w:sz w:val="28"/>
          <w:szCs w:val="28"/>
        </w:rPr>
        <w:t>主要生产厂房，以及配套办公附属设施</w:t>
      </w:r>
      <w:r>
        <w:rPr>
          <w:sz w:val="28"/>
          <w:szCs w:val="28"/>
          <w:lang w:val="zh-CN"/>
        </w:rPr>
        <w:t>。涉及的专业有总图、工艺、电气、</w:t>
      </w:r>
      <w:r>
        <w:rPr>
          <w:rFonts w:hint="eastAsia"/>
          <w:sz w:val="28"/>
          <w:szCs w:val="28"/>
          <w:lang w:val="zh-CN"/>
        </w:rPr>
        <w:t>消防</w:t>
      </w:r>
      <w:r>
        <w:rPr>
          <w:sz w:val="28"/>
          <w:szCs w:val="28"/>
          <w:lang w:val="zh-CN"/>
        </w:rPr>
        <w:t>等。</w:t>
      </w:r>
    </w:p>
    <w:p>
      <w:pPr>
        <w:adjustRightInd w:val="0"/>
        <w:snapToGrid w:val="0"/>
        <w:spacing w:line="360" w:lineRule="auto"/>
        <w:ind w:firstLine="560" w:firstLineChars="200"/>
        <w:jc w:val="center"/>
        <w:rPr>
          <w:b/>
          <w:bCs/>
          <w:snapToGrid w:val="0"/>
          <w:sz w:val="28"/>
          <w:szCs w:val="28"/>
        </w:rPr>
      </w:pPr>
      <w:r>
        <w:rPr>
          <w:b/>
          <w:bCs/>
          <w:snapToGrid w:val="0"/>
          <w:sz w:val="28"/>
          <w:szCs w:val="28"/>
        </w:rPr>
        <w:t>表2-3本项目主要建设工程内容</w:t>
      </w:r>
    </w:p>
    <w:tbl>
      <w:tblPr>
        <w:tblStyle w:val="TableNormal"/>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
      <w:tblGrid>
        <w:gridCol w:w="797"/>
        <w:gridCol w:w="1255"/>
        <w:gridCol w:w="6985"/>
      </w:tblGrid>
      <w:tr>
        <w:tblPrEx>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Ex>
        <w:trPr>
          <w:trHeight w:val="397"/>
          <w:jc w:val="center"/>
        </w:trPr>
        <w:tc>
          <w:tcPr>
            <w:tcW w:w="2052" w:type="dxa"/>
            <w:gridSpan w:val="2"/>
            <w:vAlign w:val="center"/>
          </w:tcPr>
          <w:p>
            <w:pPr>
              <w:pStyle w:val="a14"/>
              <w:spacing w:line="240" w:lineRule="atLeast"/>
              <w:rPr>
                <w:rFonts w:ascii="Times New Roman" w:hAnsi="Times New Roman"/>
                <w:szCs w:val="21"/>
              </w:rPr>
            </w:pPr>
            <w:r>
              <w:rPr>
                <w:rFonts w:ascii="Times New Roman" w:hAnsi="Times New Roman"/>
                <w:szCs w:val="21"/>
              </w:rPr>
              <w:t>项目组成</w:t>
            </w:r>
          </w:p>
        </w:tc>
        <w:tc>
          <w:tcPr>
            <w:tcW w:w="6985" w:type="dxa"/>
            <w:vAlign w:val="center"/>
          </w:tcPr>
          <w:p>
            <w:pPr>
              <w:pStyle w:val="a14"/>
              <w:spacing w:line="240" w:lineRule="atLeast"/>
              <w:rPr>
                <w:rFonts w:ascii="Times New Roman" w:hAnsi="Times New Roman"/>
                <w:szCs w:val="21"/>
              </w:rPr>
            </w:pPr>
            <w:r>
              <w:rPr>
                <w:rFonts w:ascii="Times New Roman" w:hAnsi="Times New Roman"/>
                <w:szCs w:val="21"/>
              </w:rPr>
              <w:t>主要建设内容</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restart"/>
            <w:vAlign w:val="center"/>
          </w:tcPr>
          <w:p>
            <w:pPr>
              <w:pStyle w:val="a14"/>
              <w:spacing w:line="240" w:lineRule="atLeast"/>
              <w:rPr>
                <w:rFonts w:ascii="Times New Roman" w:hAnsi="Times New Roman"/>
                <w:szCs w:val="21"/>
              </w:rPr>
            </w:pPr>
            <w:r>
              <w:rPr>
                <w:rFonts w:ascii="Times New Roman" w:hAnsi="Times New Roman"/>
                <w:szCs w:val="21"/>
              </w:rPr>
              <w:t>主体工程</w:t>
            </w: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生产车间（一）</w:t>
            </w:r>
          </w:p>
        </w:tc>
        <w:tc>
          <w:tcPr>
            <w:tcW w:w="6985" w:type="dxa"/>
            <w:vAlign w:val="center"/>
          </w:tcPr>
          <w:p>
            <w:pPr>
              <w:pStyle w:val="a14"/>
              <w:spacing w:line="240" w:lineRule="atLeast"/>
              <w:jc w:val="both"/>
              <w:rPr>
                <w:rFonts w:ascii="Times New Roman" w:hAnsi="Times New Roman"/>
                <w:szCs w:val="21"/>
              </w:rPr>
            </w:pPr>
            <w:r>
              <w:rPr>
                <w:rFonts w:ascii="Times New Roman" w:hAnsi="Times New Roman"/>
                <w:szCs w:val="21"/>
              </w:rPr>
              <w:t>建筑面积700m</w:t>
            </w:r>
            <w:r>
              <w:rPr>
                <w:rFonts w:ascii="Times New Roman" w:hAnsi="Times New Roman"/>
                <w:szCs w:val="21"/>
                <w:vertAlign w:val="superscript"/>
              </w:rPr>
              <w:t>2</w:t>
            </w:r>
            <w:r>
              <w:rPr>
                <w:rFonts w:ascii="Times New Roman" w:hAnsi="Times New Roman"/>
                <w:szCs w:val="21"/>
              </w:rPr>
              <w:t>（1F）；生产车间（一）主要工艺为下料-封边-开孔-试拼装-包装；车间高度为8m。</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生产车间（二）</w:t>
            </w:r>
          </w:p>
        </w:tc>
        <w:tc>
          <w:tcPr>
            <w:tcW w:w="6985" w:type="dxa"/>
            <w:vAlign w:val="center"/>
          </w:tcPr>
          <w:p>
            <w:pPr>
              <w:pStyle w:val="a14"/>
              <w:spacing w:line="240" w:lineRule="atLeast"/>
              <w:jc w:val="both"/>
              <w:rPr>
                <w:rFonts w:ascii="Times New Roman" w:hAnsi="Times New Roman"/>
                <w:szCs w:val="21"/>
              </w:rPr>
            </w:pPr>
            <w:r>
              <w:rPr>
                <w:rFonts w:ascii="Times New Roman" w:hAnsi="Times New Roman"/>
                <w:szCs w:val="21"/>
              </w:rPr>
              <w:t>建筑面积5520m</w:t>
            </w:r>
            <w:r>
              <w:rPr>
                <w:rFonts w:ascii="Times New Roman" w:hAnsi="Times New Roman"/>
                <w:szCs w:val="21"/>
                <w:vertAlign w:val="superscript"/>
              </w:rPr>
              <w:t>2</w:t>
            </w:r>
            <w:r>
              <w:rPr>
                <w:rFonts w:ascii="Times New Roman" w:hAnsi="Times New Roman"/>
                <w:szCs w:val="21"/>
              </w:rPr>
              <w:t>（1F）；生产车间（二）主要生产工艺为下料雕刻、铣边-开孔-砂光-喷胶-吸塑-修剪-包装；车间高度为8m。</w:t>
            </w:r>
          </w:p>
        </w:tc>
      </w:tr>
      <w:tr>
        <w:tblPrEx>
          <w:tblW w:w="4950" w:type="pct"/>
          <w:jc w:val="center"/>
          <w:tblLayout w:type="fixed"/>
          <w:tblCellMar>
            <w:top w:w="0" w:type="dxa"/>
            <w:left w:w="57" w:type="dxa"/>
            <w:bottom w:w="0" w:type="dxa"/>
            <w:right w:w="57" w:type="dxa"/>
          </w:tblCellMar>
          <w:tblLook w:val="0000"/>
        </w:tblPrEx>
        <w:trPr>
          <w:trHeight w:val="982"/>
          <w:jc w:val="center"/>
        </w:trPr>
        <w:tc>
          <w:tcPr>
            <w:tcW w:w="797" w:type="dxa"/>
            <w:vMerge/>
            <w:vAlign w:val="center"/>
          </w:tcPr>
          <w:p>
            <w:pPr>
              <w:pStyle w:val="a14"/>
              <w:spacing w:line="240" w:lineRule="atLeast"/>
              <w:rPr>
                <w:rFonts w:ascii="Times New Roman" w:hAnsi="Times New Roman"/>
                <w:szCs w:val="21"/>
              </w:rPr>
            </w:pP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生产车间（三）</w:t>
            </w:r>
          </w:p>
        </w:tc>
        <w:tc>
          <w:tcPr>
            <w:tcW w:w="6985" w:type="dxa"/>
            <w:vAlign w:val="center"/>
          </w:tcPr>
          <w:p>
            <w:pPr>
              <w:pStyle w:val="a14"/>
              <w:spacing w:line="240" w:lineRule="atLeast"/>
              <w:jc w:val="both"/>
              <w:rPr>
                <w:rFonts w:ascii="Times New Roman" w:hAnsi="Times New Roman"/>
                <w:szCs w:val="21"/>
              </w:rPr>
            </w:pPr>
            <w:r>
              <w:rPr>
                <w:rFonts w:ascii="Times New Roman" w:hAnsi="Times New Roman"/>
                <w:szCs w:val="21"/>
              </w:rPr>
              <w:t>建筑面积</w:t>
            </w:r>
            <w:r>
              <w:rPr>
                <w:rFonts w:ascii="Times New Roman" w:hAnsi="Times New Roman" w:hint="eastAsia"/>
                <w:szCs w:val="21"/>
              </w:rPr>
              <w:t>1150</w:t>
            </w:r>
            <w:r>
              <w:rPr>
                <w:rFonts w:ascii="Times New Roman" w:hAnsi="Times New Roman"/>
                <w:szCs w:val="21"/>
              </w:rPr>
              <w:t>m</w:t>
            </w:r>
            <w:r>
              <w:rPr>
                <w:rFonts w:ascii="Times New Roman" w:hAnsi="Times New Roman"/>
                <w:szCs w:val="21"/>
                <w:vertAlign w:val="superscript"/>
              </w:rPr>
              <w:t>2</w:t>
            </w:r>
            <w:r>
              <w:rPr>
                <w:rFonts w:ascii="Times New Roman" w:hAnsi="Times New Roman"/>
                <w:szCs w:val="21"/>
              </w:rPr>
              <w:t>（1F）；车间主要生产设备为雕刻机、封边机、钻孔机、推拉锯等设备；生产车间（二）主要生产橱柜衣柜柜体；柜体工艺为下料-封边-开孔-试拼装-包装；车间高度为8m。</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生产车间（</w:t>
            </w:r>
            <w:r>
              <w:rPr>
                <w:rFonts w:ascii="Times New Roman" w:hAnsi="Times New Roman" w:hint="eastAsia"/>
                <w:szCs w:val="21"/>
              </w:rPr>
              <w:t>四</w:t>
            </w:r>
            <w:r>
              <w:rPr>
                <w:rFonts w:ascii="Times New Roman" w:hAnsi="Times New Roman"/>
                <w:szCs w:val="21"/>
              </w:rPr>
              <w:t>）</w:t>
            </w:r>
          </w:p>
        </w:tc>
        <w:tc>
          <w:tcPr>
            <w:tcW w:w="6985" w:type="dxa"/>
            <w:vAlign w:val="center"/>
          </w:tcPr>
          <w:p>
            <w:pPr>
              <w:pStyle w:val="a14"/>
              <w:spacing w:after="0" w:line="240" w:lineRule="atLeast"/>
              <w:jc w:val="both"/>
              <w:rPr>
                <w:rFonts w:ascii="Times New Roman" w:hAnsi="Times New Roman"/>
                <w:szCs w:val="21"/>
              </w:rPr>
            </w:pPr>
            <w:r>
              <w:rPr>
                <w:rFonts w:ascii="Times New Roman" w:hAnsi="Times New Roman"/>
                <w:szCs w:val="21"/>
              </w:rPr>
              <w:t>建筑面积</w:t>
            </w:r>
            <w:r>
              <w:rPr>
                <w:rFonts w:ascii="Times New Roman" w:hAnsi="Times New Roman" w:hint="eastAsia"/>
                <w:szCs w:val="21"/>
              </w:rPr>
              <w:t>1140</w:t>
            </w:r>
            <w:r>
              <w:rPr>
                <w:rFonts w:ascii="Times New Roman" w:hAnsi="Times New Roman"/>
                <w:szCs w:val="21"/>
              </w:rPr>
              <w:t>m</w:t>
            </w:r>
            <w:r>
              <w:rPr>
                <w:rFonts w:ascii="Times New Roman" w:hAnsi="Times New Roman"/>
                <w:szCs w:val="21"/>
                <w:vertAlign w:val="superscript"/>
              </w:rPr>
              <w:t>2</w:t>
            </w:r>
          </w:p>
        </w:tc>
      </w:tr>
    </w:tbl>
    <w:p>
      <w:pPr>
        <w:sectPr>
          <w:headerReference w:type="default" r:id="rId26"/>
          <w:footerReference w:type="default" r:id="rId27"/>
          <w:type w:val="nextPage"/>
          <w:pgSz w:w="11906" w:h="16838"/>
          <w:pgMar w:top="1418" w:right="1418" w:bottom="1361" w:left="1474" w:header="993" w:footer="980" w:gutter="0"/>
          <w:pgNumType w:start="7"/>
          <w:cols w:space="708"/>
          <w:titlePg w:val="0"/>
          <w:docGrid w:type="lines" w:linePitch="312"/>
        </w:sectPr>
      </w:pPr>
    </w:p>
    <w:tbl>
      <w:tblPr>
        <w:tblStyle w:val="TableNormal"/>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
      <w:tblGrid>
        <w:gridCol w:w="797"/>
        <w:gridCol w:w="1255"/>
        <w:gridCol w:w="1245"/>
        <w:gridCol w:w="5740"/>
      </w:tblGrid>
      <w:tr>
        <w:tblPrEx>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Ex>
        <w:trPr>
          <w:trHeight w:val="397"/>
          <w:jc w:val="center"/>
        </w:trPr>
        <w:tc>
          <w:tcPr>
            <w:tcW w:w="797" w:type="dxa"/>
            <w:vMerge w:val="restart"/>
            <w:vAlign w:val="center"/>
          </w:tcPr>
          <w:p/>
        </w:tc>
        <w:tc>
          <w:tcPr>
            <w:tcW w:w="1255" w:type="dxa"/>
            <w:vAlign w:val="center"/>
          </w:tcPr>
          <w:p/>
        </w:tc>
        <w:tc>
          <w:tcPr>
            <w:tcW w:w="6985" w:type="dxa"/>
            <w:gridSpan w:val="2"/>
            <w:vAlign w:val="center"/>
          </w:tcPr>
          <w:p>
            <w:pPr>
              <w:pStyle w:val="a14"/>
              <w:spacing w:before="0" w:line="240" w:lineRule="atLeast"/>
              <w:jc w:val="both"/>
              <w:rPr>
                <w:rFonts w:ascii="Times New Roman" w:hAnsi="Times New Roman"/>
                <w:szCs w:val="21"/>
              </w:rPr>
            </w:pPr>
            <w:r>
              <w:rPr>
                <w:rFonts w:ascii="Times New Roman" w:hAnsi="Times New Roman"/>
                <w:szCs w:val="21"/>
              </w:rPr>
              <w:t>（1F）；车间主要生产设备为雕刻机、封边机、钻孔机、推拉锯等设备；生产车间（二）主要生产橱柜衣柜柜体；柜体工艺为下料-封边-开孔-试拼装-包装；车间高度为8m。</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restart"/>
            <w:vAlign w:val="center"/>
          </w:tcPr>
          <w:p>
            <w:pPr>
              <w:pStyle w:val="a14"/>
              <w:spacing w:line="240" w:lineRule="atLeast"/>
              <w:rPr>
                <w:rFonts w:ascii="Times New Roman" w:hAnsi="Times New Roman"/>
                <w:szCs w:val="21"/>
              </w:rPr>
            </w:pPr>
            <w:r>
              <w:rPr>
                <w:rFonts w:ascii="Times New Roman" w:hAnsi="Times New Roman"/>
                <w:szCs w:val="21"/>
              </w:rPr>
              <w:t>储运工程</w:t>
            </w: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原料库</w:t>
            </w:r>
          </w:p>
          <w:p>
            <w:pPr>
              <w:pStyle w:val="a14"/>
              <w:spacing w:line="240" w:lineRule="atLeast"/>
              <w:rPr>
                <w:rFonts w:ascii="Times New Roman" w:hAnsi="Times New Roman"/>
                <w:szCs w:val="21"/>
              </w:rPr>
            </w:pPr>
            <w:r>
              <w:rPr>
                <w:rFonts w:ascii="Times New Roman" w:hAnsi="Times New Roman"/>
                <w:szCs w:val="21"/>
              </w:rPr>
              <w:t>成品库</w:t>
            </w:r>
          </w:p>
        </w:tc>
        <w:tc>
          <w:tcPr>
            <w:tcW w:w="6985" w:type="dxa"/>
            <w:gridSpan w:val="2"/>
            <w:vAlign w:val="center"/>
          </w:tcPr>
          <w:p>
            <w:pPr>
              <w:pStyle w:val="a14"/>
              <w:spacing w:line="240" w:lineRule="atLeast"/>
              <w:jc w:val="both"/>
              <w:rPr>
                <w:rFonts w:ascii="Times New Roman" w:hAnsi="Times New Roman"/>
                <w:szCs w:val="21"/>
              </w:rPr>
            </w:pPr>
            <w:r>
              <w:rPr>
                <w:rFonts w:ascii="Times New Roman" w:hAnsi="Times New Roman"/>
                <w:szCs w:val="21"/>
              </w:rPr>
              <w:t>建筑面积720m</w:t>
            </w:r>
            <w:r>
              <w:rPr>
                <w:rFonts w:ascii="Times New Roman" w:hAnsi="Times New Roman"/>
                <w:szCs w:val="21"/>
                <w:vertAlign w:val="superscript"/>
              </w:rPr>
              <w:t>2</w:t>
            </w:r>
            <w:r>
              <w:rPr>
                <w:rFonts w:ascii="Times New Roman" w:hAnsi="Times New Roman"/>
                <w:szCs w:val="21"/>
              </w:rPr>
              <w:t>（1F）；主要用于原辅材料、</w:t>
            </w:r>
            <w:r>
              <w:rPr>
                <w:rFonts w:ascii="Times New Roman" w:hAnsi="Times New Roman" w:hint="eastAsia"/>
                <w:szCs w:val="21"/>
              </w:rPr>
              <w:t>成品</w:t>
            </w:r>
            <w:r>
              <w:rPr>
                <w:rFonts w:ascii="Times New Roman" w:hAnsi="Times New Roman"/>
                <w:szCs w:val="21"/>
              </w:rPr>
              <w:t>储存。</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运输</w:t>
            </w:r>
          </w:p>
        </w:tc>
        <w:tc>
          <w:tcPr>
            <w:tcW w:w="6985" w:type="dxa"/>
            <w:gridSpan w:val="2"/>
            <w:vAlign w:val="center"/>
          </w:tcPr>
          <w:p>
            <w:pPr>
              <w:pStyle w:val="a14"/>
              <w:spacing w:line="240" w:lineRule="atLeast"/>
              <w:rPr>
                <w:rFonts w:ascii="Times New Roman" w:hAnsi="Times New Roman"/>
                <w:szCs w:val="21"/>
              </w:rPr>
            </w:pPr>
            <w:r>
              <w:rPr>
                <w:rFonts w:ascii="Times New Roman" w:hAnsi="Times New Roman"/>
                <w:szCs w:val="21"/>
              </w:rPr>
              <w:t>原辅材料、成品由社会汽车运输。</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restart"/>
            <w:vAlign w:val="center"/>
          </w:tcPr>
          <w:p>
            <w:pPr>
              <w:pStyle w:val="a14"/>
              <w:spacing w:line="240" w:lineRule="atLeast"/>
              <w:rPr>
                <w:rFonts w:ascii="Times New Roman" w:hAnsi="Times New Roman"/>
                <w:szCs w:val="21"/>
              </w:rPr>
            </w:pPr>
            <w:r>
              <w:rPr>
                <w:rFonts w:ascii="Times New Roman" w:hAnsi="Times New Roman"/>
                <w:szCs w:val="21"/>
              </w:rPr>
              <w:t>辅助工程</w:t>
            </w:r>
          </w:p>
        </w:tc>
        <w:tc>
          <w:tcPr>
            <w:tcW w:w="1255" w:type="dxa"/>
            <w:vAlign w:val="center"/>
          </w:tcPr>
          <w:p>
            <w:pPr>
              <w:pStyle w:val="a14"/>
              <w:spacing w:line="240" w:lineRule="atLeast"/>
              <w:rPr>
                <w:rFonts w:ascii="Times New Roman" w:hAnsi="Times New Roman"/>
                <w:spacing w:val="-20"/>
                <w:szCs w:val="21"/>
              </w:rPr>
            </w:pPr>
            <w:r>
              <w:rPr>
                <w:rFonts w:ascii="Times New Roman" w:hAnsi="Times New Roman"/>
                <w:spacing w:val="-20"/>
                <w:szCs w:val="21"/>
              </w:rPr>
              <w:t>办公区</w:t>
            </w:r>
          </w:p>
        </w:tc>
        <w:tc>
          <w:tcPr>
            <w:tcW w:w="6985" w:type="dxa"/>
            <w:gridSpan w:val="2"/>
            <w:vAlign w:val="center"/>
          </w:tcPr>
          <w:p>
            <w:pPr>
              <w:pStyle w:val="a14"/>
              <w:spacing w:line="240" w:lineRule="atLeast"/>
              <w:rPr>
                <w:rFonts w:ascii="Times New Roman" w:hAnsi="Times New Roman"/>
                <w:szCs w:val="21"/>
              </w:rPr>
            </w:pPr>
            <w:r>
              <w:rPr>
                <w:rFonts w:ascii="Times New Roman" w:hAnsi="Times New Roman"/>
                <w:szCs w:val="21"/>
              </w:rPr>
              <w:t>建筑面积760m</w:t>
            </w:r>
            <w:r>
              <w:rPr>
                <w:rFonts w:ascii="Times New Roman" w:hAnsi="Times New Roman"/>
                <w:szCs w:val="21"/>
                <w:vertAlign w:val="superscript"/>
              </w:rPr>
              <w:t>2</w:t>
            </w:r>
            <w:r>
              <w:rPr>
                <w:rFonts w:ascii="Times New Roman" w:hAnsi="Times New Roman"/>
                <w:szCs w:val="21"/>
              </w:rPr>
              <w:t>，主要用于办公、休息。</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Align w:val="center"/>
          </w:tcPr>
          <w:p>
            <w:pPr>
              <w:pStyle w:val="a14"/>
              <w:spacing w:line="240" w:lineRule="atLeast"/>
              <w:rPr>
                <w:rFonts w:ascii="Times New Roman" w:hAnsi="Times New Roman"/>
                <w:spacing w:val="-20"/>
                <w:szCs w:val="21"/>
              </w:rPr>
            </w:pPr>
            <w:r>
              <w:rPr>
                <w:rFonts w:ascii="Times New Roman" w:hAnsi="Times New Roman" w:hint="eastAsia"/>
                <w:spacing w:val="-20"/>
                <w:szCs w:val="21"/>
              </w:rPr>
              <w:t>总经理办</w:t>
            </w:r>
          </w:p>
        </w:tc>
        <w:tc>
          <w:tcPr>
            <w:tcW w:w="6985" w:type="dxa"/>
            <w:gridSpan w:val="2"/>
            <w:vAlign w:val="center"/>
          </w:tcPr>
          <w:p>
            <w:pPr>
              <w:pStyle w:val="a14"/>
              <w:spacing w:line="240" w:lineRule="atLeast"/>
              <w:rPr>
                <w:rFonts w:ascii="Times New Roman" w:hAnsi="Times New Roman"/>
                <w:szCs w:val="21"/>
              </w:rPr>
            </w:pPr>
            <w:r>
              <w:rPr>
                <w:rFonts w:ascii="Times New Roman" w:hAnsi="Times New Roman"/>
                <w:szCs w:val="21"/>
              </w:rPr>
              <w:t>建筑面积120m</w:t>
            </w:r>
            <w:r>
              <w:rPr>
                <w:rFonts w:ascii="Times New Roman" w:hAnsi="Times New Roman"/>
                <w:szCs w:val="21"/>
                <w:vertAlign w:val="superscript"/>
              </w:rPr>
              <w:t>2</w:t>
            </w:r>
            <w:r>
              <w:rPr>
                <w:rFonts w:ascii="Times New Roman" w:hAnsi="Times New Roman"/>
                <w:szCs w:val="21"/>
              </w:rPr>
              <w:t>，主要用于办公、休息。</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restart"/>
            <w:vAlign w:val="center"/>
          </w:tcPr>
          <w:p>
            <w:pPr>
              <w:pStyle w:val="a14"/>
              <w:spacing w:line="240" w:lineRule="atLeast"/>
              <w:rPr>
                <w:rFonts w:ascii="Times New Roman" w:hAnsi="Times New Roman"/>
                <w:szCs w:val="21"/>
              </w:rPr>
            </w:pPr>
            <w:r>
              <w:rPr>
                <w:rFonts w:ascii="Times New Roman" w:hAnsi="Times New Roman"/>
                <w:szCs w:val="21"/>
              </w:rPr>
              <w:t>公用工程</w:t>
            </w: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供水</w:t>
            </w:r>
          </w:p>
        </w:tc>
        <w:tc>
          <w:tcPr>
            <w:tcW w:w="6985" w:type="dxa"/>
            <w:gridSpan w:val="2"/>
            <w:vAlign w:val="center"/>
          </w:tcPr>
          <w:p>
            <w:pPr>
              <w:pStyle w:val="a14"/>
              <w:spacing w:line="240" w:lineRule="atLeast"/>
              <w:rPr>
                <w:rFonts w:ascii="Times New Roman" w:hAnsi="Times New Roman"/>
                <w:szCs w:val="21"/>
              </w:rPr>
            </w:pPr>
            <w:r>
              <w:rPr>
                <w:rFonts w:ascii="Times New Roman" w:hAnsi="Times New Roman"/>
                <w:szCs w:val="21"/>
              </w:rPr>
              <w:t>本项目用水依托农村自来水供水。</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Merge w:val="restart"/>
            <w:vAlign w:val="center"/>
          </w:tcPr>
          <w:p>
            <w:pPr>
              <w:pStyle w:val="a14"/>
              <w:spacing w:line="240" w:lineRule="atLeast"/>
              <w:rPr>
                <w:rFonts w:ascii="Times New Roman" w:hAnsi="Times New Roman"/>
                <w:spacing w:val="-20"/>
                <w:szCs w:val="21"/>
              </w:rPr>
            </w:pPr>
            <w:r>
              <w:rPr>
                <w:rFonts w:ascii="Times New Roman" w:hAnsi="Times New Roman"/>
                <w:szCs w:val="21"/>
              </w:rPr>
              <w:t>排水</w:t>
            </w:r>
          </w:p>
        </w:tc>
        <w:tc>
          <w:tcPr>
            <w:tcW w:w="1245" w:type="dxa"/>
            <w:vAlign w:val="center"/>
          </w:tcPr>
          <w:p>
            <w:pPr>
              <w:pStyle w:val="a14"/>
              <w:spacing w:line="240" w:lineRule="atLeast"/>
              <w:rPr>
                <w:rFonts w:ascii="Times New Roman" w:hAnsi="Times New Roman"/>
                <w:szCs w:val="21"/>
              </w:rPr>
            </w:pPr>
            <w:r>
              <w:rPr>
                <w:rFonts w:ascii="Times New Roman" w:hAnsi="Times New Roman"/>
                <w:szCs w:val="21"/>
              </w:rPr>
              <w:t>生活</w:t>
            </w:r>
          </w:p>
        </w:tc>
        <w:tc>
          <w:tcPr>
            <w:tcW w:w="5740" w:type="dxa"/>
            <w:vAlign w:val="center"/>
          </w:tcPr>
          <w:p>
            <w:pPr>
              <w:pStyle w:val="a14"/>
              <w:spacing w:line="240" w:lineRule="atLeast"/>
              <w:rPr>
                <w:rFonts w:ascii="Times New Roman" w:hAnsi="Times New Roman"/>
                <w:bCs/>
                <w:szCs w:val="21"/>
              </w:rPr>
            </w:pPr>
            <w:r>
              <w:rPr>
                <w:rFonts w:ascii="Times New Roman" w:hAnsi="Times New Roman"/>
                <w:szCs w:val="21"/>
              </w:rPr>
              <w:t>项目区设旱厕，定期清掏，外运肥田；食堂污水经油水分离器处理后与生活洗漱废水用于厂区泼洒抑尘。</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Merge/>
            <w:vAlign w:val="center"/>
          </w:tcPr>
          <w:p>
            <w:pPr>
              <w:pStyle w:val="a14"/>
              <w:spacing w:line="240" w:lineRule="atLeast"/>
              <w:rPr>
                <w:rFonts w:ascii="Times New Roman" w:hAnsi="Times New Roman"/>
                <w:szCs w:val="21"/>
              </w:rPr>
            </w:pPr>
          </w:p>
        </w:tc>
        <w:tc>
          <w:tcPr>
            <w:tcW w:w="1245" w:type="dxa"/>
            <w:vAlign w:val="center"/>
          </w:tcPr>
          <w:p>
            <w:pPr>
              <w:pStyle w:val="a14"/>
              <w:spacing w:line="240" w:lineRule="atLeast"/>
              <w:rPr>
                <w:rFonts w:ascii="Times New Roman" w:hAnsi="Times New Roman"/>
                <w:szCs w:val="21"/>
              </w:rPr>
            </w:pPr>
            <w:r>
              <w:rPr>
                <w:rFonts w:ascii="Times New Roman" w:hAnsi="Times New Roman"/>
                <w:szCs w:val="21"/>
              </w:rPr>
              <w:t>生产</w:t>
            </w:r>
          </w:p>
        </w:tc>
        <w:tc>
          <w:tcPr>
            <w:tcW w:w="5740" w:type="dxa"/>
            <w:vAlign w:val="center"/>
          </w:tcPr>
          <w:p>
            <w:pPr>
              <w:pStyle w:val="a14"/>
              <w:spacing w:line="240" w:lineRule="atLeast"/>
              <w:rPr>
                <w:rFonts w:ascii="Times New Roman" w:hAnsi="Times New Roman"/>
                <w:szCs w:val="21"/>
              </w:rPr>
            </w:pPr>
            <w:r>
              <w:rPr>
                <w:rFonts w:ascii="Times New Roman" w:hAnsi="Times New Roman"/>
                <w:szCs w:val="21"/>
              </w:rPr>
              <w:t>项目无生产废水产生。</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供配电</w:t>
            </w:r>
          </w:p>
        </w:tc>
        <w:tc>
          <w:tcPr>
            <w:tcW w:w="6985" w:type="dxa"/>
            <w:gridSpan w:val="2"/>
            <w:vAlign w:val="center"/>
          </w:tcPr>
          <w:p>
            <w:pPr>
              <w:pStyle w:val="a14"/>
              <w:spacing w:line="240" w:lineRule="atLeast"/>
              <w:rPr>
                <w:rFonts w:ascii="Times New Roman" w:hAnsi="Times New Roman"/>
                <w:szCs w:val="21"/>
              </w:rPr>
            </w:pPr>
            <w:r>
              <w:rPr>
                <w:rFonts w:ascii="Times New Roman" w:hAnsi="Times New Roman"/>
                <w:bCs/>
                <w:szCs w:val="21"/>
              </w:rPr>
              <w:t>由当地供电局供电</w:t>
            </w:r>
            <w:r>
              <w:rPr>
                <w:rFonts w:ascii="Times New Roman" w:hAnsi="Times New Roman"/>
                <w:szCs w:val="21"/>
              </w:rPr>
              <w:t>，电力供应充足稳定，可满足项目运营期的用电需求</w:t>
            </w:r>
          </w:p>
        </w:tc>
      </w:tr>
      <w:tr>
        <w:tblPrEx>
          <w:tblW w:w="4950" w:type="pct"/>
          <w:jc w:val="center"/>
          <w:tblLayout w:type="fixed"/>
          <w:tblCellMar>
            <w:top w:w="0" w:type="dxa"/>
            <w:left w:w="57" w:type="dxa"/>
            <w:bottom w:w="0" w:type="dxa"/>
            <w:right w:w="57" w:type="dxa"/>
          </w:tblCellMar>
          <w:tblLook w:val="0000"/>
        </w:tblPrEx>
        <w:trPr>
          <w:trHeight w:val="397"/>
          <w:jc w:val="center"/>
        </w:trPr>
        <w:tc>
          <w:tcPr>
            <w:tcW w:w="797" w:type="dxa"/>
            <w:vMerge/>
            <w:vAlign w:val="center"/>
          </w:tcPr>
          <w:p>
            <w:pPr>
              <w:pStyle w:val="a14"/>
              <w:spacing w:line="240" w:lineRule="atLeast"/>
              <w:rPr>
                <w:rFonts w:ascii="Times New Roman" w:hAnsi="Times New Roman"/>
                <w:szCs w:val="21"/>
              </w:rPr>
            </w:pPr>
          </w:p>
        </w:tc>
        <w:tc>
          <w:tcPr>
            <w:tcW w:w="1255" w:type="dxa"/>
            <w:vAlign w:val="center"/>
          </w:tcPr>
          <w:p>
            <w:pPr>
              <w:pStyle w:val="a14"/>
              <w:spacing w:line="240" w:lineRule="atLeast"/>
              <w:rPr>
                <w:rFonts w:ascii="Times New Roman" w:hAnsi="Times New Roman"/>
                <w:szCs w:val="21"/>
              </w:rPr>
            </w:pPr>
            <w:r>
              <w:rPr>
                <w:rFonts w:ascii="Times New Roman" w:hAnsi="Times New Roman"/>
                <w:szCs w:val="21"/>
              </w:rPr>
              <w:t>供暖制冷</w:t>
            </w:r>
          </w:p>
        </w:tc>
        <w:tc>
          <w:tcPr>
            <w:tcW w:w="6985" w:type="dxa"/>
            <w:gridSpan w:val="2"/>
            <w:vAlign w:val="center"/>
          </w:tcPr>
          <w:p>
            <w:pPr>
              <w:pStyle w:val="a14"/>
              <w:spacing w:line="240" w:lineRule="atLeast"/>
              <w:rPr>
                <w:rFonts w:ascii="Times New Roman" w:hAnsi="Times New Roman"/>
                <w:szCs w:val="21"/>
              </w:rPr>
            </w:pPr>
            <w:r>
              <w:rPr>
                <w:rFonts w:ascii="Times New Roman" w:hAnsi="Times New Roman"/>
                <w:szCs w:val="21"/>
              </w:rPr>
              <w:t>分体空调。</w:t>
            </w:r>
          </w:p>
        </w:tc>
      </w:tr>
    </w:tbl>
    <w:p>
      <w:pPr>
        <w:pStyle w:val="Heading2"/>
        <w:adjustRightInd w:val="0"/>
        <w:snapToGrid w:val="0"/>
        <w:spacing w:before="0" w:after="0" w:line="360" w:lineRule="auto"/>
        <w:rPr>
          <w:rFonts w:ascii="Times New Roman" w:eastAsia="楷体" w:hAnsi="Times New Roman"/>
        </w:rPr>
      </w:pPr>
      <w:bookmarkStart w:id="95" w:name="_Toc14347173"/>
      <w:bookmarkStart w:id="96" w:name="_Toc465883362"/>
      <w:bookmarkStart w:id="97" w:name="_Toc393547596"/>
      <w:r>
        <w:rPr>
          <w:rFonts w:ascii="Times New Roman" w:eastAsia="楷体" w:hAnsi="Times New Roman"/>
        </w:rPr>
        <w:t>2.</w:t>
      </w:r>
      <w:r>
        <w:rPr>
          <w:rFonts w:ascii="Times New Roman" w:eastAsia="楷体" w:hAnsi="Times New Roman" w:hint="eastAsia"/>
        </w:rPr>
        <w:t>2</w:t>
      </w:r>
      <w:r>
        <w:rPr>
          <w:rFonts w:ascii="Times New Roman" w:eastAsia="楷体" w:hAnsi="Times New Roman"/>
        </w:rPr>
        <w:t>项目地理位置和周边环境</w:t>
      </w:r>
      <w:bookmarkEnd w:id="95"/>
      <w:bookmarkEnd w:id="96"/>
    </w:p>
    <w:p>
      <w:pPr>
        <w:pStyle w:val="Heading3"/>
        <w:adjustRightInd w:val="0"/>
        <w:snapToGrid w:val="0"/>
        <w:spacing w:before="0" w:beforeLines="0" w:after="0" w:afterLines="0" w:line="360" w:lineRule="auto"/>
        <w:rPr>
          <w:rFonts w:eastAsia="宋体"/>
          <w:szCs w:val="28"/>
        </w:rPr>
      </w:pPr>
      <w:bookmarkStart w:id="98" w:name="_Toc401525663"/>
      <w:bookmarkStart w:id="99" w:name="_Toc465883363"/>
      <w:bookmarkStart w:id="100" w:name="_Toc394422405"/>
      <w:bookmarkStart w:id="101" w:name="_Toc401525925"/>
      <w:bookmarkStart w:id="102" w:name="_Toc465066305"/>
      <w:bookmarkStart w:id="103" w:name="_Toc12275"/>
      <w:bookmarkStart w:id="104" w:name="_Toc391729461"/>
      <w:bookmarkStart w:id="105" w:name="_Toc402804541"/>
      <w:bookmarkStart w:id="106" w:name="_Toc8596"/>
      <w:r>
        <w:rPr>
          <w:rFonts w:eastAsia="宋体"/>
          <w:szCs w:val="28"/>
        </w:rPr>
        <w:t>2.</w:t>
      </w:r>
      <w:r>
        <w:rPr>
          <w:rFonts w:eastAsia="宋体" w:hint="eastAsia"/>
          <w:szCs w:val="28"/>
        </w:rPr>
        <w:t>2</w:t>
      </w:r>
      <w:r>
        <w:rPr>
          <w:rFonts w:eastAsia="宋体"/>
          <w:szCs w:val="28"/>
        </w:rPr>
        <w:t>.1项目地理位置</w:t>
      </w:r>
      <w:bookmarkEnd w:id="98"/>
      <w:bookmarkEnd w:id="99"/>
      <w:bookmarkEnd w:id="100"/>
      <w:bookmarkEnd w:id="101"/>
      <w:bookmarkEnd w:id="102"/>
      <w:bookmarkEnd w:id="103"/>
      <w:bookmarkEnd w:id="104"/>
      <w:bookmarkEnd w:id="105"/>
      <w:bookmarkEnd w:id="106"/>
    </w:p>
    <w:p>
      <w:pPr>
        <w:adjustRightInd w:val="0"/>
        <w:snapToGrid w:val="0"/>
        <w:spacing w:line="360" w:lineRule="auto"/>
        <w:ind w:firstLine="560" w:firstLineChars="200"/>
        <w:rPr>
          <w:rFonts w:hint="eastAsia"/>
          <w:sz w:val="28"/>
          <w:szCs w:val="28"/>
        </w:rPr>
      </w:pPr>
      <w:r>
        <w:rPr>
          <w:rFonts w:hint="eastAsia"/>
          <w:sz w:val="28"/>
          <w:szCs w:val="28"/>
          <w:lang w:eastAsia="zh-CN"/>
        </w:rPr>
        <w:t>XX家具有限公司</w:t>
      </w:r>
      <w:r>
        <w:rPr>
          <w:rFonts w:hint="eastAsia"/>
          <w:sz w:val="28"/>
          <w:szCs w:val="28"/>
        </w:rPr>
        <w:t>厂区位于</w:t>
      </w:r>
      <w:r>
        <w:rPr>
          <w:rFonts w:hint="eastAsia"/>
          <w:sz w:val="28"/>
          <w:szCs w:val="28"/>
          <w:lang w:eastAsia="zh-CN"/>
        </w:rPr>
        <w:t>XX</w:t>
      </w:r>
      <w:r>
        <w:rPr>
          <w:rFonts w:hint="eastAsia"/>
          <w:sz w:val="28"/>
          <w:szCs w:val="28"/>
        </w:rPr>
        <w:t>市</w:t>
      </w:r>
      <w:r>
        <w:rPr>
          <w:rFonts w:hint="eastAsia"/>
          <w:sz w:val="28"/>
          <w:szCs w:val="28"/>
          <w:lang w:eastAsia="zh-CN"/>
        </w:rPr>
        <w:t>XX</w:t>
      </w:r>
      <w:r>
        <w:rPr>
          <w:rFonts w:hint="eastAsia"/>
          <w:sz w:val="28"/>
          <w:szCs w:val="28"/>
        </w:rPr>
        <w:t>县</w:t>
      </w:r>
      <w:r>
        <w:rPr>
          <w:rFonts w:hint="eastAsia"/>
          <w:sz w:val="28"/>
          <w:szCs w:val="28"/>
          <w:lang w:eastAsia="zh-CN"/>
        </w:rPr>
        <w:t>XX</w:t>
      </w:r>
      <w:r>
        <w:rPr>
          <w:rFonts w:hint="eastAsia"/>
          <w:sz w:val="28"/>
          <w:szCs w:val="28"/>
        </w:rPr>
        <w:t>镇</w:t>
      </w:r>
      <w:r>
        <w:rPr>
          <w:rFonts w:hint="eastAsia"/>
          <w:sz w:val="28"/>
          <w:szCs w:val="28"/>
          <w:lang w:eastAsia="zh-CN"/>
        </w:rPr>
        <w:t>XX</w:t>
      </w:r>
      <w:r>
        <w:rPr>
          <w:rFonts w:hint="eastAsia"/>
          <w:sz w:val="28"/>
          <w:szCs w:val="28"/>
        </w:rPr>
        <w:t>，</w:t>
      </w:r>
      <w:r>
        <w:rPr>
          <w:rFonts w:hint="eastAsia"/>
          <w:sz w:val="28"/>
          <w:szCs w:val="28"/>
          <w:lang w:eastAsia="zh-CN"/>
        </w:rPr>
        <w:t>XX</w:t>
      </w:r>
      <w:r>
        <w:rPr>
          <w:rFonts w:hint="eastAsia"/>
          <w:sz w:val="28"/>
          <w:szCs w:val="28"/>
        </w:rPr>
        <w:t>镇位于</w:t>
      </w:r>
      <w:r>
        <w:rPr>
          <w:rFonts w:hint="eastAsia"/>
          <w:sz w:val="28"/>
          <w:szCs w:val="28"/>
          <w:lang w:eastAsia="zh-CN"/>
        </w:rPr>
        <w:t>XX</w:t>
      </w:r>
      <w:r>
        <w:rPr>
          <w:rFonts w:hint="eastAsia"/>
          <w:sz w:val="28"/>
          <w:szCs w:val="28"/>
        </w:rPr>
        <w:t>县城东</w:t>
      </w:r>
      <w:r>
        <w:rPr>
          <w:sz w:val="28"/>
          <w:szCs w:val="28"/>
        </w:rPr>
        <w:t>15km</w:t>
      </w:r>
      <w:r>
        <w:rPr>
          <w:rFonts w:hint="eastAsia"/>
          <w:sz w:val="28"/>
          <w:szCs w:val="28"/>
        </w:rPr>
        <w:t>处，东接西安市临潼区，南邻</w:t>
      </w:r>
      <w:r>
        <w:rPr>
          <w:rFonts w:hint="eastAsia"/>
          <w:sz w:val="28"/>
          <w:szCs w:val="28"/>
          <w:lang w:eastAsia="zh-CN"/>
        </w:rPr>
        <w:t>XX</w:t>
      </w:r>
      <w:r>
        <w:rPr>
          <w:rFonts w:hint="eastAsia"/>
          <w:sz w:val="28"/>
          <w:szCs w:val="28"/>
        </w:rPr>
        <w:t>县，周陂路、安陂路连接西</w:t>
      </w:r>
      <w:r>
        <w:rPr>
          <w:sz w:val="28"/>
          <w:szCs w:val="28"/>
        </w:rPr>
        <w:t>（</w:t>
      </w:r>
      <w:r>
        <w:rPr>
          <w:rFonts w:hint="eastAsia"/>
          <w:sz w:val="28"/>
          <w:szCs w:val="28"/>
        </w:rPr>
        <w:t>安</w:t>
      </w:r>
      <w:r>
        <w:rPr>
          <w:sz w:val="28"/>
          <w:szCs w:val="28"/>
        </w:rPr>
        <w:t>）</w:t>
      </w:r>
      <w:r>
        <w:rPr>
          <w:rFonts w:hint="eastAsia"/>
          <w:sz w:val="28"/>
          <w:szCs w:val="28"/>
        </w:rPr>
        <w:t>三</w:t>
      </w:r>
      <w:r>
        <w:rPr>
          <w:sz w:val="28"/>
          <w:szCs w:val="28"/>
        </w:rPr>
        <w:t>（</w:t>
      </w:r>
      <w:r>
        <w:rPr>
          <w:rFonts w:hint="eastAsia"/>
          <w:sz w:val="28"/>
          <w:szCs w:val="28"/>
        </w:rPr>
        <w:t>原</w:t>
      </w:r>
      <w:r>
        <w:rPr>
          <w:sz w:val="28"/>
          <w:szCs w:val="28"/>
        </w:rPr>
        <w:t>）</w:t>
      </w:r>
      <w:r>
        <w:rPr>
          <w:rFonts w:hint="eastAsia"/>
          <w:sz w:val="28"/>
          <w:szCs w:val="28"/>
        </w:rPr>
        <w:t>一级路直达镇中，西韩线过境</w:t>
      </w:r>
      <w:r>
        <w:rPr>
          <w:sz w:val="28"/>
          <w:szCs w:val="28"/>
        </w:rPr>
        <w:t>4.7km</w:t>
      </w:r>
      <w:r>
        <w:rPr>
          <w:rFonts w:hint="eastAsia"/>
          <w:sz w:val="28"/>
          <w:szCs w:val="28"/>
        </w:rPr>
        <w:t>，横贯南北，西闫高速公路穿境而过。基本形成了以国省干道为纽带、县乡公路为骨架、村级公路为支脉，纵横交错、四通八达的公路网络。</w:t>
      </w:r>
    </w:p>
    <w:p>
      <w:pPr>
        <w:adjustRightInd w:val="0"/>
        <w:snapToGrid w:val="0"/>
        <w:spacing w:line="360" w:lineRule="auto"/>
        <w:rPr>
          <w:rFonts w:hint="eastAsia"/>
          <w:spacing w:val="2"/>
          <w:sz w:val="28"/>
          <w:szCs w:val="28"/>
        </w:rPr>
      </w:pPr>
      <w:r>
        <w:rPr>
          <w:sz w:val="28"/>
          <w:szCs w:val="28"/>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自选图形 259" o:spid="_x0000_s1025" type="#_x0000_t62" style="width:73.5pt;height:23.4pt;margin-top:70.25pt;margin-left:284.3pt;mso-wrap-style:square;position:absolute;z-index:251658240" adj="24142,58431" filled="t" fillcolor="white" stroked="t" strokecolor="#739cc3" strokeweight="1.25pt">
            <v:fill angle="90" type="gradient"/>
            <v:stroke linestyle="single"/>
            <v:textbox>
              <w:txbxContent>
                <w:p>
                  <w:pPr>
                    <w:rPr>
                      <w:rFonts w:hint="eastAsia"/>
                    </w:rPr>
                  </w:pPr>
                  <w:r>
                    <w:rPr>
                      <w:rFonts w:hint="eastAsia"/>
                    </w:rPr>
                    <w:t>项目所在地</w:t>
                  </w:r>
                </w:p>
              </w:txbxContent>
            </v:textbox>
          </v:shape>
        </w:pict>
      </w:r>
    </w:p>
    <w:p>
      <w:pPr>
        <w:adjustRightInd w:val="0"/>
        <w:snapToGrid w:val="0"/>
        <w:spacing w:line="360" w:lineRule="auto"/>
        <w:jc w:val="center"/>
        <w:rPr>
          <w:rFonts w:eastAsia="黑体"/>
          <w:b/>
          <w:snapToGrid w:val="0"/>
          <w:sz w:val="24"/>
        </w:rPr>
      </w:pPr>
      <w:r>
        <w:rPr>
          <w:rFonts w:eastAsia="黑体"/>
          <w:b/>
          <w:snapToGrid w:val="0"/>
          <w:sz w:val="24"/>
        </w:rPr>
        <w:t>图2-1项目地理位置</w:t>
      </w:r>
    </w:p>
    <w:p>
      <w:pPr>
        <w:pStyle w:val="Heading3"/>
        <w:adjustRightInd w:val="0"/>
        <w:snapToGrid w:val="0"/>
        <w:spacing w:before="0" w:beforeLines="0" w:after="0" w:afterLines="0" w:line="360" w:lineRule="auto"/>
        <w:rPr>
          <w:rFonts w:eastAsia="宋体"/>
          <w:szCs w:val="28"/>
        </w:rPr>
      </w:pPr>
      <w:bookmarkStart w:id="107" w:name="_Toc391729462"/>
      <w:bookmarkStart w:id="108" w:name="_Toc401525664"/>
      <w:bookmarkStart w:id="109" w:name="_Toc2969"/>
      <w:bookmarkStart w:id="110" w:name="_Toc401525926"/>
      <w:bookmarkStart w:id="111" w:name="_Toc465066306"/>
      <w:bookmarkStart w:id="112" w:name="_Toc30297"/>
      <w:bookmarkStart w:id="113" w:name="_Toc402804542"/>
      <w:bookmarkStart w:id="114" w:name="_Toc394422406"/>
      <w:bookmarkStart w:id="115" w:name="_Toc465883364"/>
      <w:r>
        <w:rPr>
          <w:rFonts w:eastAsia="宋体"/>
          <w:szCs w:val="28"/>
        </w:rPr>
        <w:t>2.</w:t>
      </w:r>
      <w:r>
        <w:rPr>
          <w:rFonts w:eastAsia="宋体" w:hint="eastAsia"/>
          <w:szCs w:val="28"/>
        </w:rPr>
        <w:t>2</w:t>
      </w:r>
      <w:r>
        <w:rPr>
          <w:rFonts w:eastAsia="宋体"/>
          <w:szCs w:val="28"/>
        </w:rPr>
        <w:t>.2周边环境</w:t>
      </w:r>
      <w:bookmarkEnd w:id="107"/>
      <w:bookmarkEnd w:id="108"/>
      <w:bookmarkEnd w:id="109"/>
      <w:bookmarkEnd w:id="110"/>
      <w:bookmarkEnd w:id="111"/>
      <w:bookmarkEnd w:id="112"/>
      <w:bookmarkEnd w:id="113"/>
      <w:bookmarkEnd w:id="114"/>
      <w:bookmarkEnd w:id="115"/>
    </w:p>
    <w:p>
      <w:pPr>
        <w:adjustRightInd w:val="0"/>
        <w:snapToGrid w:val="0"/>
        <w:spacing w:line="360" w:lineRule="auto"/>
        <w:ind w:firstLine="560" w:firstLineChars="200"/>
        <w:rPr>
          <w:rFonts w:hint="eastAsia"/>
        </w:rPr>
        <w:sectPr>
          <w:headerReference w:type="default" r:id="rId28"/>
          <w:footerReference w:type="default" r:id="rId29"/>
          <w:type w:val="nextPage"/>
          <w:pgSz w:w="11906" w:h="16838"/>
          <w:pgMar w:top="1418" w:right="1418" w:bottom="1361" w:left="1474" w:header="993" w:footer="980" w:gutter="0"/>
          <w:pgNumType w:start="8"/>
          <w:cols w:space="708"/>
          <w:titlePg w:val="0"/>
          <w:docGrid w:type="lines" w:linePitch="312"/>
        </w:sectPr>
      </w:pPr>
      <w:r>
        <w:rPr>
          <w:rFonts w:hint="eastAsia"/>
          <w:sz w:val="28"/>
          <w:szCs w:val="28"/>
        </w:rPr>
        <w:t>该项目厂址位于</w:t>
      </w:r>
      <w:r>
        <w:rPr>
          <w:rFonts w:hint="eastAsia"/>
          <w:sz w:val="28"/>
          <w:szCs w:val="28"/>
          <w:lang w:eastAsia="zh-CN"/>
        </w:rPr>
        <w:t>XX</w:t>
      </w:r>
      <w:r>
        <w:rPr>
          <w:rFonts w:hint="eastAsia"/>
          <w:sz w:val="28"/>
          <w:szCs w:val="28"/>
        </w:rPr>
        <w:t>市</w:t>
      </w:r>
      <w:r>
        <w:rPr>
          <w:rFonts w:hint="eastAsia"/>
          <w:sz w:val="28"/>
          <w:szCs w:val="28"/>
          <w:lang w:eastAsia="zh-CN"/>
        </w:rPr>
        <w:t>XX</w:t>
      </w:r>
      <w:r>
        <w:rPr>
          <w:rFonts w:hint="eastAsia"/>
          <w:sz w:val="28"/>
          <w:szCs w:val="28"/>
        </w:rPr>
        <w:t>县</w:t>
      </w:r>
      <w:r>
        <w:rPr>
          <w:rFonts w:hint="eastAsia"/>
          <w:sz w:val="28"/>
          <w:szCs w:val="28"/>
          <w:lang w:eastAsia="zh-CN"/>
        </w:rPr>
        <w:t>XX</w:t>
      </w:r>
      <w:r>
        <w:rPr>
          <w:rFonts w:hint="eastAsia"/>
          <w:sz w:val="28"/>
          <w:szCs w:val="28"/>
        </w:rPr>
        <w:t>镇</w:t>
      </w:r>
      <w:r>
        <w:rPr>
          <w:rFonts w:hint="eastAsia"/>
          <w:sz w:val="28"/>
          <w:szCs w:val="28"/>
          <w:lang w:eastAsia="zh-CN"/>
        </w:rPr>
        <w:t>XXXX</w:t>
      </w:r>
      <w:r>
        <w:rPr>
          <w:sz w:val="28"/>
          <w:szCs w:val="28"/>
        </w:rPr>
        <w:t>66</w:t>
      </w:r>
      <w:r>
        <w:rPr>
          <w:rFonts w:hint="eastAsia"/>
          <w:sz w:val="28"/>
          <w:szCs w:val="28"/>
        </w:rPr>
        <w:t>号，厂区</w:t>
      </w:r>
      <w:r>
        <w:rPr>
          <w:rFonts w:ascii="宋体" w:hAnsi="宋体" w:cs="宋体" w:hint="eastAsia"/>
          <w:sz w:val="28"/>
          <w:szCs w:val="28"/>
        </w:rPr>
        <w:t>东侧为农田；北侧为</w:t>
      </w:r>
      <w:r>
        <w:rPr>
          <w:rFonts w:hAnsi="宋体" w:hint="eastAsia"/>
          <w:sz w:val="28"/>
          <w:szCs w:val="28"/>
        </w:rPr>
        <w:t>生物制造公司厂区</w:t>
      </w:r>
      <w:r>
        <w:rPr>
          <w:rFonts w:ascii="宋体" w:hAnsi="宋体" w:cs="宋体" w:hint="eastAsia"/>
          <w:sz w:val="28"/>
          <w:szCs w:val="28"/>
        </w:rPr>
        <w:t>；西侧为桐林木业公司厂房，生产厂房1西侧为</w:t>
      </w:r>
      <w:r>
        <w:rPr>
          <w:rFonts w:ascii="宋体" w:hAnsi="宋体" w:cs="宋体" w:hint="eastAsia"/>
          <w:sz w:val="28"/>
          <w:szCs w:val="28"/>
          <w:lang w:eastAsia="zh-CN"/>
        </w:rPr>
        <w:t>XX</w:t>
      </w:r>
      <w:r>
        <w:rPr>
          <w:rFonts w:ascii="宋体" w:hAnsi="宋体" w:cs="宋体" w:hint="eastAsia"/>
          <w:sz w:val="28"/>
          <w:szCs w:val="28"/>
        </w:rPr>
        <w:t>鑫峰池机电设备有限公司厂房；南侧为</w:t>
      </w:r>
      <w:r>
        <w:rPr>
          <w:rFonts w:ascii="宋体" w:hAnsi="宋体" w:cs="宋体" w:hint="eastAsia"/>
          <w:sz w:val="28"/>
          <w:szCs w:val="28"/>
          <w:lang w:eastAsia="zh-CN"/>
        </w:rPr>
        <w:t>XX</w:t>
      </w:r>
      <w:r>
        <w:rPr>
          <w:rFonts w:ascii="宋体" w:hAnsi="宋体" w:cs="宋体" w:hint="eastAsia"/>
          <w:sz w:val="28"/>
          <w:szCs w:val="28"/>
        </w:rPr>
        <w:t>村间道路，道路南侧为民房，南侧围墙距离210国道约200m。</w:t>
      </w:r>
    </w:p>
    <w:p>
      <w:pPr>
        <w:adjustRightInd w:val="0"/>
        <w:snapToGrid w:val="0"/>
        <w:spacing w:line="360" w:lineRule="auto"/>
        <w:jc w:val="center"/>
        <w:rPr>
          <w:rFonts w:eastAsia="黑体" w:hint="eastAsia"/>
          <w:b/>
          <w:sz w:val="24"/>
        </w:rPr>
      </w:pPr>
      <w:r>
        <w:rPr>
          <w:rFonts w:eastAsia="黑体" w:hint="eastAsia"/>
          <w:b/>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0.61pt;height:506.39pt;mso-position-horizontal-relative:page;mso-position-vertical-relative:page;mso-wrap-style:square" filled="f" stroked="f">
            <v:stroke linestyle="single"/>
            <v:imagedata r:id="rId30" o:title="234"/>
            <v:path o:extrusionok="f"/>
            <o:lock v:ext="edit" aspectratio="t"/>
          </v:shape>
        </w:pict>
      </w:r>
    </w:p>
    <w:p>
      <w:pPr>
        <w:adjustRightInd w:val="0"/>
        <w:snapToGrid w:val="0"/>
        <w:spacing w:line="360" w:lineRule="auto"/>
        <w:jc w:val="center"/>
        <w:rPr>
          <w:rFonts w:eastAsia="黑体"/>
          <w:b/>
          <w:sz w:val="24"/>
        </w:rPr>
      </w:pPr>
      <w:r>
        <w:rPr>
          <w:rFonts w:eastAsia="黑体"/>
          <w:b/>
          <w:sz w:val="24"/>
        </w:rPr>
        <w:t>图2-2周边关系示意图</w:t>
      </w:r>
    </w:p>
    <w:p>
      <w:pPr>
        <w:pStyle w:val="Heading2"/>
        <w:adjustRightInd w:val="0"/>
        <w:snapToGrid w:val="0"/>
        <w:spacing w:before="0" w:after="0" w:line="360" w:lineRule="auto"/>
        <w:rPr>
          <w:rFonts w:ascii="Times New Roman" w:eastAsia="楷体" w:hAnsi="Times New Roman"/>
        </w:rPr>
      </w:pPr>
      <w:bookmarkStart w:id="116" w:name="_Toc465883366"/>
      <w:bookmarkStart w:id="117" w:name="_Toc14347174"/>
      <w:r>
        <w:rPr>
          <w:rFonts w:ascii="Times New Roman" w:eastAsia="楷体" w:hAnsi="Times New Roman"/>
        </w:rPr>
        <w:t>2.</w:t>
      </w:r>
      <w:bookmarkEnd w:id="116"/>
      <w:r>
        <w:rPr>
          <w:rFonts w:ascii="Times New Roman" w:eastAsia="楷体" w:hAnsi="Times New Roman" w:hint="eastAsia"/>
        </w:rPr>
        <w:t>3</w:t>
      </w:r>
      <w:r>
        <w:rPr>
          <w:rFonts w:ascii="Times New Roman" w:eastAsia="楷体" w:hAnsi="Times New Roman"/>
        </w:rPr>
        <w:t>项目所在地自然条件</w:t>
      </w:r>
      <w:bookmarkEnd w:id="117"/>
    </w:p>
    <w:p>
      <w:pPr>
        <w:pStyle w:val="Heading3"/>
        <w:adjustRightInd w:val="0"/>
        <w:snapToGrid w:val="0"/>
        <w:spacing w:before="0" w:beforeLines="0" w:after="0" w:afterLines="0" w:line="360" w:lineRule="auto"/>
        <w:rPr>
          <w:rFonts w:eastAsia="宋体" w:hint="eastAsia"/>
          <w:szCs w:val="28"/>
        </w:rPr>
      </w:pPr>
      <w:r>
        <w:rPr>
          <w:rFonts w:eastAsia="宋体"/>
          <w:szCs w:val="28"/>
        </w:rPr>
        <w:t>2.</w:t>
      </w:r>
      <w:r>
        <w:rPr>
          <w:rFonts w:eastAsia="宋体" w:hint="eastAsia"/>
          <w:szCs w:val="28"/>
        </w:rPr>
        <w:t>3</w:t>
      </w:r>
      <w:r>
        <w:rPr>
          <w:rFonts w:eastAsia="宋体"/>
          <w:szCs w:val="28"/>
        </w:rPr>
        <w:t>.1</w:t>
      </w:r>
      <w:r>
        <w:rPr>
          <w:rFonts w:eastAsia="宋体" w:hint="eastAsia"/>
          <w:szCs w:val="28"/>
        </w:rPr>
        <w:t>地理位置</w:t>
      </w:r>
    </w:p>
    <w:p>
      <w:pPr>
        <w:adjustRightInd w:val="0"/>
        <w:snapToGrid w:val="0"/>
        <w:spacing w:line="360" w:lineRule="auto"/>
        <w:ind w:firstLine="560" w:firstLineChars="200"/>
        <w:rPr>
          <w:rFonts w:hint="eastAsia"/>
          <w:sz w:val="28"/>
          <w:szCs w:val="28"/>
        </w:rPr>
      </w:pPr>
      <w:r>
        <w:rPr>
          <w:sz w:val="28"/>
          <w:szCs w:val="28"/>
        </w:rPr>
        <w:t>本项目位于</w:t>
      </w:r>
      <w:r>
        <w:rPr>
          <w:rFonts w:hint="eastAsia"/>
          <w:sz w:val="28"/>
          <w:szCs w:val="28"/>
          <w:lang w:eastAsia="zh-CN"/>
        </w:rPr>
        <w:t>XX</w:t>
      </w:r>
      <w:r>
        <w:rPr>
          <w:sz w:val="28"/>
          <w:szCs w:val="28"/>
        </w:rPr>
        <w:t>省</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XXXX</w:t>
      </w:r>
      <w:r>
        <w:rPr>
          <w:sz w:val="28"/>
          <w:szCs w:val="28"/>
        </w:rPr>
        <w:t>66号，项目地理位置优越，交通便利。地理坐标为：东经109°04'44.49"，北纬34°40'08.26"，高程406m。</w:t>
      </w:r>
    </w:p>
    <w:p>
      <w:pPr>
        <w:adjustRightInd w:val="0"/>
        <w:snapToGrid w:val="0"/>
        <w:spacing w:line="360" w:lineRule="auto"/>
        <w:ind w:firstLine="560" w:firstLineChars="200"/>
        <w:rPr>
          <w:sz w:val="28"/>
          <w:szCs w:val="28"/>
        </w:rPr>
        <w:sectPr>
          <w:headerReference w:type="default" r:id="rId31"/>
          <w:footerReference w:type="default" r:id="rId32"/>
          <w:type w:val="nextPage"/>
          <w:pgSz w:w="11906" w:h="16838"/>
          <w:pgMar w:top="1418" w:right="1418" w:bottom="1361" w:left="1474" w:header="993" w:footer="980" w:gutter="0"/>
          <w:pgNumType w:start="9"/>
          <w:cols w:space="708"/>
          <w:titlePg w:val="0"/>
          <w:docGrid w:type="lines" w:linePitch="312"/>
        </w:sectPr>
      </w:pPr>
      <w:r>
        <w:rPr>
          <w:rFonts w:hint="eastAsia"/>
          <w:sz w:val="28"/>
          <w:szCs w:val="28"/>
          <w:lang w:eastAsia="zh-CN"/>
        </w:rPr>
        <w:t>XX</w:t>
      </w:r>
      <w:r>
        <w:rPr>
          <w:sz w:val="28"/>
          <w:szCs w:val="28"/>
        </w:rPr>
        <w:t>县位于</w:t>
      </w:r>
      <w:r>
        <w:rPr>
          <w:rFonts w:hint="eastAsia"/>
          <w:sz w:val="28"/>
          <w:szCs w:val="28"/>
          <w:lang w:eastAsia="zh-CN"/>
        </w:rPr>
        <w:t>XX</w:t>
      </w:r>
    </w:p>
    <w:p>
      <w:pPr>
        <w:adjustRightInd w:val="0"/>
        <w:snapToGrid w:val="0"/>
        <w:spacing w:line="360" w:lineRule="auto"/>
        <w:ind w:firstLine="560" w:firstLineChars="200"/>
        <w:rPr>
          <w:sz w:val="28"/>
          <w:szCs w:val="28"/>
        </w:rPr>
      </w:pPr>
      <w:r>
        <w:rPr>
          <w:sz w:val="28"/>
          <w:szCs w:val="28"/>
        </w:rPr>
        <w:t>平原腹地，素有八百里秦川“白菜心”之美誉。地理条件优越，区位优势突出，南距西安、西距</w:t>
      </w:r>
      <w:r>
        <w:rPr>
          <w:rFonts w:hint="eastAsia"/>
          <w:sz w:val="28"/>
          <w:szCs w:val="28"/>
          <w:lang w:eastAsia="zh-CN"/>
        </w:rPr>
        <w:t>XX</w:t>
      </w:r>
      <w:r>
        <w:rPr>
          <w:sz w:val="28"/>
          <w:szCs w:val="28"/>
        </w:rPr>
        <w:t>、北距铜川、东距闫良等省内大中城市均约30公里左右，处于得天独厚的“弧心”位置。西（安）铜（川）一级公路、陇海铁路穿境而过，距西安</w:t>
      </w:r>
      <w:r>
        <w:rPr>
          <w:rFonts w:hint="eastAsia"/>
          <w:sz w:val="28"/>
          <w:szCs w:val="28"/>
          <w:lang w:eastAsia="zh-CN"/>
        </w:rPr>
        <w:t>XX</w:t>
      </w:r>
      <w:r>
        <w:rPr>
          <w:sz w:val="28"/>
          <w:szCs w:val="28"/>
        </w:rPr>
        <w:t>国际机场22公里，西安至平凉铁路、107省道</w:t>
      </w:r>
      <w:r>
        <w:rPr>
          <w:rFonts w:hint="eastAsia"/>
          <w:sz w:val="28"/>
          <w:szCs w:val="28"/>
          <w:lang w:eastAsia="zh-CN"/>
        </w:rPr>
        <w:t>XX</w:t>
      </w:r>
      <w:r>
        <w:rPr>
          <w:sz w:val="28"/>
          <w:szCs w:val="28"/>
        </w:rPr>
        <w:t>城镇快速干道环线横贯东西，形成了纵横交错、四通八达的航空、铁路、公路立体道路交通网络。</w:t>
      </w:r>
    </w:p>
    <w:p>
      <w:pPr>
        <w:pStyle w:val="Heading3"/>
        <w:adjustRightInd w:val="0"/>
        <w:snapToGrid w:val="0"/>
        <w:spacing w:before="0" w:beforeLines="0" w:after="0" w:afterLines="0" w:line="360" w:lineRule="auto"/>
        <w:rPr>
          <w:rFonts w:eastAsia="宋体" w:hint="eastAsia"/>
          <w:szCs w:val="28"/>
        </w:rPr>
      </w:pPr>
      <w:r>
        <w:rPr>
          <w:rFonts w:eastAsia="宋体"/>
          <w:szCs w:val="28"/>
        </w:rPr>
        <w:t>2.</w:t>
      </w:r>
      <w:r>
        <w:rPr>
          <w:rFonts w:eastAsia="宋体" w:hint="eastAsia"/>
          <w:szCs w:val="28"/>
        </w:rPr>
        <w:t>3</w:t>
      </w:r>
      <w:r>
        <w:rPr>
          <w:rFonts w:eastAsia="宋体"/>
          <w:szCs w:val="28"/>
        </w:rPr>
        <w:t>.2</w:t>
      </w:r>
      <w:r>
        <w:rPr>
          <w:rFonts w:eastAsia="宋体" w:hint="eastAsia"/>
          <w:szCs w:val="28"/>
        </w:rPr>
        <w:t>地形、地貌</w:t>
      </w:r>
    </w:p>
    <w:p>
      <w:pPr>
        <w:adjustRightInd w:val="0"/>
        <w:snapToGrid w:val="0"/>
        <w:spacing w:line="360" w:lineRule="auto"/>
        <w:ind w:firstLine="560" w:firstLineChars="200"/>
        <w:rPr>
          <w:sz w:val="28"/>
          <w:szCs w:val="28"/>
        </w:rPr>
      </w:pPr>
      <w:r>
        <w:rPr>
          <w:rFonts w:hint="eastAsia"/>
          <w:sz w:val="28"/>
          <w:szCs w:val="28"/>
          <w:lang w:eastAsia="zh-CN"/>
        </w:rPr>
        <w:t>XX</w:t>
      </w:r>
      <w:r>
        <w:rPr>
          <w:sz w:val="28"/>
          <w:szCs w:val="28"/>
        </w:rPr>
        <w:t>县位于</w:t>
      </w:r>
      <w:r>
        <w:rPr>
          <w:rFonts w:hint="eastAsia"/>
          <w:sz w:val="28"/>
          <w:szCs w:val="28"/>
          <w:lang w:eastAsia="zh-CN"/>
        </w:rPr>
        <w:t>XX</w:t>
      </w:r>
      <w:r>
        <w:rPr>
          <w:sz w:val="28"/>
          <w:szCs w:val="28"/>
        </w:rPr>
        <w:t>平原中部，渭河以北。地处北纬34°34'至34°50'，东经108°47'至109°10'。整体地貌以平原、台原为主，占总面积的72%。境内西北有嵯峨山及山前台地，够成山原区。北部是黄土台原，南部是泾渭冲积平原，平原面积占全县总面积的50%以上。境内海拔最高度为361米至1409米，最低点为境内独李镇南仵村清峪河谷底，高点为西北嵯峨山巅，总趋势为西北高，东南低。</w:t>
      </w:r>
    </w:p>
    <w:p>
      <w:pPr>
        <w:adjustRightInd w:val="0"/>
        <w:snapToGrid w:val="0"/>
        <w:spacing w:line="360" w:lineRule="auto"/>
        <w:ind w:firstLine="560" w:firstLineChars="200"/>
        <w:rPr>
          <w:sz w:val="28"/>
          <w:szCs w:val="28"/>
        </w:rPr>
      </w:pPr>
      <w:r>
        <w:rPr>
          <w:sz w:val="28"/>
          <w:szCs w:val="28"/>
        </w:rPr>
        <w:t>本项目位于</w:t>
      </w:r>
      <w:r>
        <w:rPr>
          <w:rFonts w:hint="eastAsia"/>
          <w:sz w:val="28"/>
          <w:szCs w:val="28"/>
          <w:lang w:eastAsia="zh-CN"/>
        </w:rPr>
        <w:t>XX</w:t>
      </w:r>
      <w:r>
        <w:rPr>
          <w:sz w:val="28"/>
          <w:szCs w:val="28"/>
        </w:rPr>
        <w:t>省</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XXXX</w:t>
      </w:r>
      <w:r>
        <w:rPr>
          <w:sz w:val="28"/>
          <w:szCs w:val="28"/>
        </w:rPr>
        <w:t>66号，项目区地势平坦。</w:t>
      </w:r>
    </w:p>
    <w:p>
      <w:pPr>
        <w:pStyle w:val="Heading3"/>
        <w:adjustRightInd w:val="0"/>
        <w:snapToGrid w:val="0"/>
        <w:spacing w:before="0" w:beforeLines="0" w:after="0" w:afterLines="0" w:line="360" w:lineRule="auto"/>
        <w:rPr>
          <w:rFonts w:eastAsia="宋体"/>
          <w:szCs w:val="28"/>
        </w:rPr>
      </w:pPr>
      <w:r>
        <w:rPr>
          <w:rFonts w:eastAsia="宋体"/>
          <w:szCs w:val="28"/>
        </w:rPr>
        <w:t>2.</w:t>
      </w:r>
      <w:r>
        <w:rPr>
          <w:rFonts w:eastAsia="宋体" w:hint="eastAsia"/>
          <w:szCs w:val="28"/>
        </w:rPr>
        <w:t>3</w:t>
      </w:r>
      <w:r>
        <w:rPr>
          <w:rFonts w:eastAsia="宋体"/>
          <w:szCs w:val="28"/>
        </w:rPr>
        <w:t>.3气候、气象</w:t>
      </w:r>
    </w:p>
    <w:p>
      <w:pPr>
        <w:adjustRightInd w:val="0"/>
        <w:snapToGrid w:val="0"/>
        <w:spacing w:line="360" w:lineRule="auto"/>
        <w:ind w:firstLine="560" w:firstLineChars="200"/>
        <w:rPr>
          <w:rFonts w:ascii="宋体" w:hAnsi="宋体" w:hint="eastAsia"/>
          <w:bCs/>
          <w:sz w:val="28"/>
          <w:szCs w:val="28"/>
        </w:rPr>
      </w:pPr>
      <w:bookmarkStart w:id="118" w:name="_Toc522091576"/>
      <w:bookmarkStart w:id="119" w:name="_Toc521869686"/>
      <w:r>
        <w:rPr>
          <w:rFonts w:ascii="宋体" w:hAnsi="宋体" w:hint="eastAsia"/>
          <w:bCs/>
          <w:sz w:val="28"/>
          <w:szCs w:val="28"/>
          <w:lang w:eastAsia="zh-CN"/>
        </w:rPr>
        <w:t>XX</w:t>
      </w:r>
      <w:r>
        <w:rPr>
          <w:rFonts w:ascii="宋体" w:hAnsi="宋体" w:hint="eastAsia"/>
          <w:bCs/>
          <w:sz w:val="28"/>
          <w:szCs w:val="28"/>
        </w:rPr>
        <w:t>县属北温带大陆性季风气候。冬季受西伯利亚冷气团和极地变性大陆气团的影响，寒冷干燥，气温低，降水少。春季，热带暖湿气团逐渐增强北进，气温回升快，降水增多。年平均气温13.4</w:t>
      </w:r>
      <w:r>
        <w:rPr>
          <w:rFonts w:ascii="宋体" w:hAnsi="宋体" w:hint="eastAsia"/>
          <w:bCs/>
          <w:sz w:val="28"/>
          <w:szCs w:val="28"/>
        </w:rPr>
        <w:t>℃</w:t>
      </w:r>
      <w:r>
        <w:rPr>
          <w:rFonts w:ascii="宋体" w:hAnsi="宋体" w:hint="eastAsia"/>
          <w:bCs/>
          <w:sz w:val="28"/>
          <w:szCs w:val="28"/>
        </w:rPr>
        <w:t>，降水517.7mm，平均无霜期215d，太阳总辐射113.18kcal/cm</w:t>
      </w:r>
      <w:r>
        <w:rPr>
          <w:rFonts w:ascii="宋体" w:hAnsi="宋体" w:hint="eastAsia"/>
          <w:bCs/>
          <w:sz w:val="28"/>
          <w:szCs w:val="28"/>
          <w:vertAlign w:val="superscript"/>
        </w:rPr>
        <w:t>2</w:t>
      </w:r>
      <w:r>
        <w:rPr>
          <w:rFonts w:ascii="宋体" w:hAnsi="宋体" w:hint="eastAsia"/>
          <w:bCs/>
          <w:sz w:val="28"/>
          <w:szCs w:val="28"/>
        </w:rPr>
        <w:t>，历史上最大积雪厚度18cm。灾害性天气主要有干旱、连阴雨、大风、干热风、霜冻、冰雹、暴雨等。本项目所在地气象特征见表2.2.3-1，风频玫瑰图见图2.2.3-1。</w:t>
      </w:r>
    </w:p>
    <w:p>
      <w:pPr>
        <w:spacing w:line="520" w:lineRule="exact"/>
        <w:ind w:firstLine="480" w:firstLineChars="200"/>
        <w:jc w:val="center"/>
        <w:rPr>
          <w:rFonts w:ascii="宋体" w:hAnsi="宋体"/>
          <w:b/>
          <w:sz w:val="24"/>
        </w:rPr>
      </w:pPr>
      <w:r>
        <w:rPr>
          <w:rFonts w:ascii="宋体" w:hAnsi="宋体" w:hint="eastAsia"/>
          <w:b/>
          <w:sz w:val="24"/>
        </w:rPr>
        <w:t>表2.2.3-1气象资料一览表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
      <w:tblGrid>
        <w:gridCol w:w="1126"/>
        <w:gridCol w:w="4096"/>
        <w:gridCol w:w="1910"/>
        <w:gridCol w:w="1816"/>
      </w:tblGrid>
      <w:tr>
        <w:tblPrEx>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Ex>
        <w:trPr>
          <w:cantSplit/>
          <w:trHeight w:val="153"/>
          <w:tblHeader/>
          <w:jc w:val="center"/>
        </w:trPr>
        <w:tc>
          <w:tcPr>
            <w:tcW w:w="1126" w:type="dxa"/>
            <w:tcBorders>
              <w:top w:val="single" w:sz="4" w:space="0" w:color="auto"/>
              <w:left w:val="single" w:sz="4" w:space="0" w:color="auto"/>
              <w:bottom w:val="single" w:sz="6" w:space="0" w:color="000000"/>
              <w:right w:val="single" w:sz="6" w:space="0" w:color="000000"/>
            </w:tcBorders>
            <w:tcMar>
              <w:top w:w="28" w:type="dxa"/>
              <w:left w:w="108" w:type="dxa"/>
              <w:bottom w:w="28" w:type="dxa"/>
              <w:right w:w="108" w:type="dxa"/>
            </w:tcMar>
          </w:tcPr>
          <w:p>
            <w:pPr>
              <w:jc w:val="center"/>
              <w:rPr>
                <w:rFonts w:ascii="宋体" w:hAnsi="宋体"/>
                <w:szCs w:val="21"/>
              </w:rPr>
            </w:pPr>
            <w:r>
              <w:rPr>
                <w:rFonts w:ascii="宋体" w:hAnsi="宋体" w:hint="eastAsia"/>
                <w:szCs w:val="21"/>
              </w:rPr>
              <w:t>序号</w:t>
            </w:r>
          </w:p>
        </w:tc>
        <w:tc>
          <w:tcPr>
            <w:tcW w:w="4096" w:type="dxa"/>
            <w:tcBorders>
              <w:top w:val="single" w:sz="4" w:space="0" w:color="auto"/>
              <w:left w:val="single" w:sz="6" w:space="0" w:color="000000"/>
              <w:bottom w:val="single" w:sz="6" w:space="0" w:color="000000"/>
              <w:right w:val="single" w:sz="6" w:space="0" w:color="000000"/>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项目</w:t>
            </w:r>
          </w:p>
        </w:tc>
        <w:tc>
          <w:tcPr>
            <w:tcW w:w="1910" w:type="dxa"/>
            <w:tcBorders>
              <w:top w:val="single" w:sz="4" w:space="0" w:color="auto"/>
              <w:left w:val="single" w:sz="6" w:space="0" w:color="000000"/>
              <w:bottom w:val="single" w:sz="6" w:space="0" w:color="000000"/>
              <w:right w:val="single" w:sz="6" w:space="0" w:color="000000"/>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单位</w:t>
            </w:r>
          </w:p>
        </w:tc>
        <w:tc>
          <w:tcPr>
            <w:tcW w:w="1816" w:type="dxa"/>
            <w:tcBorders>
              <w:top w:val="single" w:sz="4" w:space="0" w:color="auto"/>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数值</w:t>
            </w:r>
          </w:p>
        </w:tc>
      </w:tr>
      <w:tr>
        <w:tblPrEx>
          <w:tblW w:w="0" w:type="auto"/>
          <w:jc w:val="center"/>
          <w:tblLayout w:type="fixed"/>
          <w:tblCellMar>
            <w:top w:w="113" w:type="dxa"/>
            <w:left w:w="108" w:type="dxa"/>
            <w:bottom w:w="113" w:type="dxa"/>
            <w:right w:w="108" w:type="dxa"/>
          </w:tblCellMar>
          <w:tblLook w:val="0000"/>
        </w:tblPrEx>
        <w:trPr>
          <w:cantSplit/>
          <w:trHeight w:val="153"/>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年平均温度</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13.4</w:t>
            </w:r>
          </w:p>
        </w:tc>
      </w:tr>
      <w:tr>
        <w:tblPrEx>
          <w:tblW w:w="0" w:type="auto"/>
          <w:jc w:val="center"/>
          <w:tblLayout w:type="fixed"/>
          <w:tblCellMar>
            <w:top w:w="113" w:type="dxa"/>
            <w:left w:w="108" w:type="dxa"/>
            <w:bottom w:w="113" w:type="dxa"/>
            <w:right w:w="108" w:type="dxa"/>
          </w:tblCellMar>
          <w:tblLook w:val="0000"/>
        </w:tblPrEx>
        <w:trPr>
          <w:cantSplit/>
          <w:trHeight w:val="153"/>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全年平均地面温度</w:t>
            </w:r>
            <w:r>
              <w:rPr>
                <w:rFonts w:ascii="宋体" w:hAnsi="宋体" w:hint="eastAsia"/>
                <w:kern w:val="0"/>
                <w:szCs w:val="21"/>
              </w:rPr>
              <w:t>℃</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kern w:val="0"/>
                <w:szCs w:val="21"/>
              </w:rPr>
              <w:t>15.8</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最热月平均温度(7)</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26.7</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最冷月平均温度(1)</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-1.4</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极端最高气温</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41.6</w:t>
            </w:r>
          </w:p>
        </w:tc>
      </w:tr>
    </w:tbl>
    <w:p>
      <w:pPr>
        <w:sectPr>
          <w:headerReference w:type="default" r:id="rId33"/>
          <w:footerReference w:type="default" r:id="rId34"/>
          <w:type w:val="nextPage"/>
          <w:pgSz w:w="11906" w:h="16838"/>
          <w:pgMar w:top="1418" w:right="1418" w:bottom="1361" w:left="1474" w:header="993" w:footer="980" w:gutter="0"/>
          <w:pgNumType w:start="10"/>
          <w:cols w:space="708"/>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
      <w:tblGrid>
        <w:gridCol w:w="1126"/>
        <w:gridCol w:w="4096"/>
        <w:gridCol w:w="1910"/>
        <w:gridCol w:w="1816"/>
      </w:tblGrid>
      <w:tr>
        <w:tblPrEx>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Ex>
        <w:trPr>
          <w:cantSplit/>
          <w:trHeight w:val="244"/>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极端最低气温</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-20.8</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平均降水量</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mm</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517.7</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年最大降水量(1958年)</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mm</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kern w:val="0"/>
                <w:szCs w:val="21"/>
              </w:rPr>
              <w:t>829.7</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年最小降水量(1977年)</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mm</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kern w:val="0"/>
                <w:szCs w:val="21"/>
              </w:rPr>
            </w:pPr>
            <w:r>
              <w:rPr>
                <w:rFonts w:ascii="宋体" w:hAnsi="宋体" w:hint="eastAsia"/>
                <w:kern w:val="0"/>
                <w:szCs w:val="21"/>
              </w:rPr>
              <w:t>383.4</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全年平均降水日数</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d</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89.4</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平均降雪日数</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d</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12</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年平均风速</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m/s</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1.9</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年主导风向(频率11%)</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NE</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次主导风向(频率9%)</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ENE</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年静风频率</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32</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无霜期</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d</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215</w:t>
            </w:r>
          </w:p>
        </w:tc>
      </w:tr>
      <w:tr>
        <w:tblPrEx>
          <w:tblW w:w="0" w:type="auto"/>
          <w:jc w:val="center"/>
          <w:tblLayout w:type="fixed"/>
          <w:tblCellMar>
            <w:top w:w="113" w:type="dxa"/>
            <w:left w:w="108" w:type="dxa"/>
            <w:bottom w:w="113" w:type="dxa"/>
            <w:right w:w="108" w:type="dxa"/>
          </w:tblCellMar>
          <w:tblLook w:val="0000"/>
        </w:tblPrEx>
        <w:trPr>
          <w:cantSplit/>
          <w:trHeight w:val="18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年日照时数</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h</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2271.3</w:t>
            </w:r>
          </w:p>
        </w:tc>
      </w:tr>
      <w:tr>
        <w:tblPrEx>
          <w:tblW w:w="0" w:type="auto"/>
          <w:jc w:val="center"/>
          <w:tblLayout w:type="fixed"/>
          <w:tblCellMar>
            <w:top w:w="113" w:type="dxa"/>
            <w:left w:w="108" w:type="dxa"/>
            <w:bottom w:w="113" w:type="dxa"/>
            <w:right w:w="108" w:type="dxa"/>
          </w:tblCellMar>
          <w:tblLook w:val="0000"/>
        </w:tblPrEx>
        <w:trPr>
          <w:cantSplit/>
          <w:trHeight w:val="186"/>
          <w:jc w:val="center"/>
        </w:trPr>
        <w:tc>
          <w:tcPr>
            <w:tcW w:w="1126" w:type="dxa"/>
            <w:tcBorders>
              <w:top w:val="single" w:sz="6" w:space="0" w:color="000000"/>
              <w:left w:val="single" w:sz="4" w:space="0" w:color="auto"/>
              <w:bottom w:val="single" w:sz="6" w:space="0" w:color="000000"/>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年平均太阳总辐射量</w:t>
            </w:r>
          </w:p>
        </w:tc>
        <w:tc>
          <w:tcPr>
            <w:tcW w:w="1910" w:type="dxa"/>
            <w:tcBorders>
              <w:top w:val="single" w:sz="6" w:space="0" w:color="000000"/>
              <w:left w:val="single" w:sz="6" w:space="0" w:color="000000"/>
              <w:bottom w:val="single" w:sz="6" w:space="0" w:color="000000"/>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kCal/cm</w:t>
            </w:r>
            <w:r>
              <w:rPr>
                <w:rFonts w:ascii="宋体" w:hAnsi="宋体" w:hint="eastAsia"/>
                <w:kern w:val="0"/>
                <w:szCs w:val="21"/>
                <w:vertAlign w:val="superscript"/>
              </w:rPr>
              <w:t>2</w:t>
            </w:r>
          </w:p>
        </w:tc>
        <w:tc>
          <w:tcPr>
            <w:tcW w:w="1816" w:type="dxa"/>
            <w:tcBorders>
              <w:top w:val="single" w:sz="6" w:space="0" w:color="000000"/>
              <w:left w:val="single" w:sz="6" w:space="0" w:color="000000"/>
              <w:bottom w:val="single" w:sz="6" w:space="0" w:color="000000"/>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113.18</w:t>
            </w:r>
          </w:p>
        </w:tc>
      </w:tr>
      <w:tr>
        <w:tblPrEx>
          <w:tblW w:w="0" w:type="auto"/>
          <w:jc w:val="center"/>
          <w:tblLayout w:type="fixed"/>
          <w:tblCellMar>
            <w:top w:w="113" w:type="dxa"/>
            <w:left w:w="108" w:type="dxa"/>
            <w:bottom w:w="113" w:type="dxa"/>
            <w:right w:w="108" w:type="dxa"/>
          </w:tblCellMar>
          <w:tblLook w:val="0000"/>
        </w:tblPrEx>
        <w:trPr>
          <w:cantSplit/>
          <w:trHeight w:val="186"/>
          <w:jc w:val="center"/>
        </w:trPr>
        <w:tc>
          <w:tcPr>
            <w:tcW w:w="1126" w:type="dxa"/>
            <w:tcBorders>
              <w:top w:val="single" w:sz="6" w:space="0" w:color="000000"/>
              <w:left w:val="single" w:sz="4" w:space="0" w:color="auto"/>
              <w:bottom w:val="single" w:sz="4" w:space="0" w:color="auto"/>
              <w:right w:val="single" w:sz="6" w:space="0" w:color="000000"/>
            </w:tcBorders>
            <w:tcMar>
              <w:top w:w="28" w:type="dxa"/>
              <w:left w:w="108" w:type="dxa"/>
              <w:bottom w:w="28" w:type="dxa"/>
              <w:right w:w="108" w:type="dxa"/>
            </w:tcMar>
          </w:tcPr>
          <w:p>
            <w:pPr>
              <w:numPr>
                <w:ilvl w:val="0"/>
                <w:numId w:val="1"/>
              </w:numPr>
              <w:jc w:val="center"/>
              <w:rPr>
                <w:rFonts w:ascii="宋体" w:hAnsi="宋体"/>
                <w:szCs w:val="21"/>
              </w:rPr>
            </w:pPr>
          </w:p>
        </w:tc>
        <w:tc>
          <w:tcPr>
            <w:tcW w:w="4096" w:type="dxa"/>
            <w:tcBorders>
              <w:top w:val="single" w:sz="6" w:space="0" w:color="000000"/>
              <w:left w:val="single" w:sz="6" w:space="0" w:color="000000"/>
              <w:bottom w:val="single" w:sz="4" w:space="0" w:color="auto"/>
              <w:right w:val="single" w:sz="6" w:space="0" w:color="000000"/>
            </w:tcBorders>
            <w:tcMar>
              <w:top w:w="28" w:type="dxa"/>
              <w:left w:w="108" w:type="dxa"/>
              <w:bottom w:w="28" w:type="dxa"/>
              <w:right w:w="108" w:type="dxa"/>
            </w:tcMar>
          </w:tcPr>
          <w:p>
            <w:pPr>
              <w:jc w:val="left"/>
              <w:rPr>
                <w:rFonts w:ascii="宋体" w:hAnsi="宋体"/>
                <w:kern w:val="0"/>
                <w:szCs w:val="21"/>
              </w:rPr>
            </w:pPr>
            <w:r>
              <w:rPr>
                <w:rFonts w:ascii="宋体" w:hAnsi="宋体" w:hint="eastAsia"/>
                <w:kern w:val="0"/>
                <w:szCs w:val="21"/>
              </w:rPr>
              <w:t>历史最大积雪厚度</w:t>
            </w:r>
          </w:p>
        </w:tc>
        <w:tc>
          <w:tcPr>
            <w:tcW w:w="1910" w:type="dxa"/>
            <w:tcBorders>
              <w:top w:val="single" w:sz="6" w:space="0" w:color="000000"/>
              <w:left w:val="single" w:sz="6" w:space="0" w:color="000000"/>
              <w:bottom w:val="single" w:sz="4" w:space="0" w:color="auto"/>
              <w:right w:val="single" w:sz="6" w:space="0" w:color="000000"/>
            </w:tcBorders>
            <w:tcMar>
              <w:top w:w="28" w:type="dxa"/>
              <w:left w:w="108" w:type="dxa"/>
              <w:bottom w:w="28" w:type="dxa"/>
              <w:right w:w="108" w:type="dxa"/>
            </w:tcMar>
          </w:tcPr>
          <w:p>
            <w:pPr>
              <w:jc w:val="center"/>
              <w:rPr>
                <w:rFonts w:ascii="宋体" w:hAnsi="宋体"/>
                <w:kern w:val="0"/>
                <w:szCs w:val="21"/>
              </w:rPr>
            </w:pPr>
            <w:r>
              <w:rPr>
                <w:rFonts w:ascii="宋体" w:hAnsi="宋体" w:hint="eastAsia"/>
                <w:kern w:val="0"/>
                <w:szCs w:val="21"/>
              </w:rPr>
              <w:t>cm</w:t>
            </w:r>
          </w:p>
        </w:tc>
        <w:tc>
          <w:tcPr>
            <w:tcW w:w="1816" w:type="dxa"/>
            <w:tcBorders>
              <w:top w:val="single" w:sz="6" w:space="0" w:color="000000"/>
              <w:left w:val="single" w:sz="6" w:space="0" w:color="000000"/>
              <w:bottom w:val="single" w:sz="4" w:space="0" w:color="auto"/>
              <w:right w:val="single" w:sz="4" w:space="0" w:color="auto"/>
            </w:tcBorders>
            <w:tcMar>
              <w:top w:w="28" w:type="dxa"/>
              <w:left w:w="108" w:type="dxa"/>
              <w:bottom w:w="28" w:type="dxa"/>
              <w:right w:w="108" w:type="dxa"/>
            </w:tcMar>
            <w:vAlign w:val="center"/>
          </w:tcPr>
          <w:p>
            <w:pPr>
              <w:jc w:val="center"/>
              <w:rPr>
                <w:rFonts w:ascii="宋体" w:hAnsi="宋体"/>
                <w:szCs w:val="21"/>
              </w:rPr>
            </w:pPr>
            <w:r>
              <w:rPr>
                <w:rFonts w:ascii="宋体" w:hAnsi="宋体" w:hint="eastAsia"/>
                <w:szCs w:val="21"/>
              </w:rPr>
              <w:t>18</w:t>
            </w:r>
          </w:p>
        </w:tc>
      </w:tr>
    </w:tbl>
    <w:p>
      <w:pPr>
        <w:widowControl/>
        <w:shd w:val="clear" w:color="auto" w:fill="FFFFFF"/>
        <w:spacing w:line="520" w:lineRule="exact"/>
        <w:ind w:firstLine="420" w:firstLineChars="200"/>
        <w:rPr>
          <w:rFonts w:ascii="宋体" w:hAnsi="宋体" w:cs="宋体" w:hint="eastAsia"/>
          <w:kern w:val="0"/>
          <w:sz w:val="28"/>
          <w:szCs w:val="28"/>
        </w:rPr>
      </w:pPr>
      <w:r>
        <w:rPr>
          <w:rFonts w:hint="eastAsia"/>
          <w:szCs w:val="20"/>
        </w:rPr>
        <w:pict>
          <v:shape id="图片 466" o:spid="_x0000_s1027" type="#_x0000_t75" alt="W020100224860181839086" style="width:171.65pt;height:166.35pt;margin-top:20.45pt;margin-left:126.95pt;mso-wrap-style:square;position:absolute;z-index:251659264" o:allowoverlap="f" o:preferrelative="t" filled="f" stroked="f">
            <v:stroke linestyle="single"/>
            <v:imagedata r:id="rId35" o:title="W020100224860181839086"/>
            <v:path o:extrusionok="f"/>
            <o:lock v:ext="edit" aspectratio="t"/>
            <w10:wrap type="square"/>
          </v:shape>
        </w:pict>
      </w: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spacing w:line="520" w:lineRule="exact"/>
        <w:ind w:firstLine="480" w:firstLineChars="200"/>
        <w:jc w:val="center"/>
        <w:rPr>
          <w:rFonts w:ascii="宋体" w:hAnsi="宋体" w:hint="eastAsia"/>
          <w:b/>
          <w:sz w:val="24"/>
          <w:szCs w:val="20"/>
        </w:rPr>
      </w:pPr>
    </w:p>
    <w:p>
      <w:pPr>
        <w:adjustRightInd w:val="0"/>
        <w:snapToGrid w:val="0"/>
        <w:spacing w:line="360" w:lineRule="auto"/>
        <w:jc w:val="center"/>
        <w:rPr>
          <w:rFonts w:hint="eastAsia"/>
          <w:sz w:val="28"/>
          <w:szCs w:val="28"/>
        </w:rPr>
      </w:pPr>
      <w:r>
        <w:rPr>
          <w:rFonts w:ascii="宋体" w:hAnsi="宋体" w:hint="eastAsia"/>
          <w:b/>
          <w:sz w:val="24"/>
        </w:rPr>
        <w:t>图2.2.3-1项目所在地风频玫瑰图</w:t>
      </w:r>
    </w:p>
    <w:p>
      <w:pPr>
        <w:pStyle w:val="Heading3"/>
        <w:adjustRightInd w:val="0"/>
        <w:snapToGrid w:val="0"/>
        <w:spacing w:before="0" w:beforeLines="0" w:after="0" w:afterLines="0" w:line="360" w:lineRule="auto"/>
        <w:rPr>
          <w:rFonts w:eastAsia="宋体" w:hint="eastAsia"/>
          <w:szCs w:val="28"/>
        </w:rPr>
      </w:pPr>
      <w:r>
        <w:rPr>
          <w:rFonts w:eastAsia="宋体" w:hint="eastAsia"/>
          <w:szCs w:val="28"/>
        </w:rPr>
        <w:t>2.3.4抗震设防烈度</w:t>
      </w:r>
    </w:p>
    <w:p>
      <w:pPr>
        <w:adjustRightInd w:val="0"/>
        <w:snapToGrid w:val="0"/>
        <w:spacing w:line="348" w:lineRule="auto"/>
        <w:ind w:firstLine="560" w:firstLineChars="200"/>
        <w:jc w:val="left"/>
        <w:rPr>
          <w:rFonts w:hint="eastAsia"/>
          <w:snapToGrid w:val="0"/>
          <w:sz w:val="28"/>
          <w:szCs w:val="28"/>
        </w:rPr>
      </w:pPr>
      <w:bookmarkStart w:id="120" w:name="_Toc393547597"/>
      <w:bookmarkStart w:id="121" w:name="_Toc14347176"/>
      <w:bookmarkEnd w:id="97"/>
      <w:bookmarkEnd w:id="118"/>
      <w:bookmarkEnd w:id="119"/>
      <w:r>
        <w:rPr>
          <w:snapToGrid w:val="0"/>
          <w:sz w:val="28"/>
          <w:szCs w:val="28"/>
        </w:rPr>
        <w:t>根据《建筑抗震设计规范》</w:t>
      </w:r>
      <w:r>
        <w:rPr>
          <w:rFonts w:hint="eastAsia"/>
          <w:snapToGrid w:val="0"/>
          <w:sz w:val="28"/>
          <w:szCs w:val="28"/>
        </w:rPr>
        <w:t>(</w:t>
      </w:r>
      <w:r>
        <w:rPr>
          <w:snapToGrid w:val="0"/>
          <w:sz w:val="28"/>
          <w:szCs w:val="28"/>
        </w:rPr>
        <w:t>GB50011）</w:t>
      </w:r>
      <w:r>
        <w:rPr>
          <w:rFonts w:hint="eastAsia"/>
          <w:snapToGrid w:val="0"/>
          <w:sz w:val="28"/>
          <w:szCs w:val="28"/>
        </w:rPr>
        <w:t>2016年局部修订内容及</w:t>
      </w:r>
      <w:r>
        <w:rPr>
          <w:snapToGrid w:val="0"/>
          <w:sz w:val="28"/>
          <w:szCs w:val="28"/>
        </w:rPr>
        <w:t>附录A，</w:t>
      </w:r>
      <w:r>
        <w:rPr>
          <w:rFonts w:hint="eastAsia"/>
          <w:snapToGrid w:val="0"/>
          <w:sz w:val="28"/>
          <w:szCs w:val="28"/>
        </w:rPr>
        <w:t>该</w:t>
      </w:r>
      <w:r>
        <w:rPr>
          <w:rFonts w:hint="eastAsia"/>
          <w:snapToGrid w:val="0"/>
          <w:sz w:val="28"/>
          <w:szCs w:val="28"/>
          <w:lang w:eastAsia="zh-CN"/>
        </w:rPr>
        <w:t>XX</w:t>
      </w:r>
      <w:r>
        <w:rPr>
          <w:rFonts w:hint="eastAsia"/>
          <w:snapToGrid w:val="0"/>
          <w:sz w:val="28"/>
          <w:szCs w:val="28"/>
        </w:rPr>
        <w:t>地区抗震设防烈度为7度，设计基本地震加速度值为0.15g。</w:t>
      </w:r>
    </w:p>
    <w:p>
      <w:pPr>
        <w:pStyle w:val="Heading2"/>
        <w:adjustRightInd w:val="0"/>
        <w:snapToGrid w:val="0"/>
        <w:spacing w:before="0" w:after="0" w:line="360" w:lineRule="auto"/>
        <w:rPr>
          <w:rFonts w:ascii="Times New Roman" w:eastAsia="楷体" w:hAnsi="Times New Roman"/>
        </w:rPr>
      </w:pPr>
      <w:r>
        <w:rPr>
          <w:rFonts w:ascii="Times New Roman" w:eastAsia="楷体" w:hAnsi="Times New Roman"/>
        </w:rPr>
        <w:t>2.4项目基本概况</w:t>
      </w:r>
      <w:bookmarkEnd w:id="120"/>
      <w:bookmarkEnd w:id="121"/>
    </w:p>
    <w:p>
      <w:pPr>
        <w:pStyle w:val="Heading3"/>
        <w:adjustRightInd w:val="0"/>
        <w:snapToGrid w:val="0"/>
        <w:spacing w:before="0" w:beforeLines="0" w:after="0" w:afterLines="0" w:line="360" w:lineRule="auto"/>
        <w:rPr>
          <w:rFonts w:eastAsia="宋体"/>
          <w:szCs w:val="28"/>
        </w:rPr>
      </w:pPr>
      <w:r>
        <w:rPr>
          <w:rFonts w:eastAsia="宋体"/>
          <w:szCs w:val="28"/>
        </w:rPr>
        <w:t>2.4.1</w:t>
      </w:r>
      <w:r>
        <w:rPr>
          <w:rFonts w:eastAsia="宋体" w:hint="eastAsia"/>
          <w:szCs w:val="28"/>
        </w:rPr>
        <w:t>总</w:t>
      </w:r>
      <w:r>
        <w:rPr>
          <w:rFonts w:eastAsia="宋体"/>
          <w:szCs w:val="28"/>
        </w:rPr>
        <w:t>平面布置</w:t>
      </w:r>
    </w:p>
    <w:p>
      <w:pPr>
        <w:adjustRightInd w:val="0"/>
        <w:snapToGrid w:val="0"/>
        <w:spacing w:line="348" w:lineRule="auto"/>
        <w:ind w:firstLine="560" w:firstLineChars="200"/>
        <w:jc w:val="left"/>
        <w:rPr>
          <w:rFonts w:hint="eastAsia"/>
          <w:snapToGrid w:val="0"/>
          <w:sz w:val="28"/>
          <w:szCs w:val="28"/>
        </w:rPr>
      </w:pPr>
      <w:r>
        <w:rPr>
          <w:rFonts w:hint="eastAsia"/>
          <w:snapToGrid w:val="0"/>
          <w:sz w:val="28"/>
          <w:szCs w:val="28"/>
        </w:rPr>
        <w:t>1、平面布置</w:t>
      </w:r>
    </w:p>
    <w:p>
      <w:pPr>
        <w:adjustRightInd w:val="0"/>
        <w:snapToGrid w:val="0"/>
        <w:spacing w:line="348" w:lineRule="auto"/>
        <w:ind w:firstLine="560" w:firstLineChars="200"/>
        <w:jc w:val="left"/>
        <w:rPr>
          <w:rFonts w:hint="eastAsia"/>
          <w:snapToGrid w:val="0"/>
          <w:sz w:val="28"/>
          <w:szCs w:val="28"/>
        </w:rPr>
        <w:sectPr>
          <w:headerReference w:type="default" r:id="rId36"/>
          <w:footerReference w:type="default" r:id="rId37"/>
          <w:type w:val="nextPage"/>
          <w:pgSz w:w="11906" w:h="16838"/>
          <w:pgMar w:top="1418" w:right="1418" w:bottom="1361" w:left="1474" w:header="993" w:footer="980" w:gutter="0"/>
          <w:pgNumType w:start="11"/>
          <w:cols w:space="708"/>
          <w:titlePg w:val="0"/>
          <w:docGrid w:type="lines" w:linePitch="312"/>
        </w:sectPr>
      </w:pPr>
    </w:p>
    <w:p>
      <w:pPr>
        <w:adjustRightInd w:val="0"/>
        <w:snapToGrid w:val="0"/>
        <w:spacing w:line="348" w:lineRule="auto"/>
        <w:ind w:firstLine="560" w:firstLineChars="200"/>
        <w:jc w:val="left"/>
        <w:rPr>
          <w:rFonts w:hint="eastAsia"/>
          <w:snapToGrid w:val="0"/>
          <w:sz w:val="28"/>
          <w:szCs w:val="28"/>
        </w:rPr>
      </w:pPr>
      <w:r>
        <w:rPr>
          <w:snapToGrid w:val="0"/>
          <w:sz w:val="28"/>
          <w:szCs w:val="28"/>
        </w:rPr>
        <w:t>根据本项目产品方案及生产规模、场地现状，本着合理利用土地资源的原则，场地平面大致呈矩形，</w:t>
      </w:r>
      <w:r>
        <w:rPr>
          <w:rFonts w:ascii="宋体" w:hAnsi="宋体" w:cs="宋体" w:hint="eastAsia"/>
          <w:bCs/>
          <w:sz w:val="28"/>
          <w:szCs w:val="28"/>
          <w:lang w:val="zh-CN"/>
        </w:rPr>
        <w:t>厂区东侧布置从北向</w:t>
      </w:r>
      <w:r>
        <w:rPr>
          <w:rFonts w:ascii="宋体" w:hAnsi="宋体" w:cs="宋体" w:hint="eastAsia"/>
          <w:bCs/>
          <w:sz w:val="28"/>
          <w:szCs w:val="28"/>
        </w:rPr>
        <w:t>南</w:t>
      </w:r>
      <w:r>
        <w:rPr>
          <w:rFonts w:ascii="宋体" w:hAnsi="宋体" w:cs="宋体" w:hint="eastAsia"/>
          <w:bCs/>
          <w:sz w:val="28"/>
          <w:szCs w:val="28"/>
          <w:lang w:val="zh-CN"/>
        </w:rPr>
        <w:t>依次为改建办公楼、1#生产车间、2#生产车间、成品库、原料库、2#生产车间、总经理办公室、车棚、门房，厂区辅助设施从西向东布置有门卫、车棚，从北向南一次为配件库房、洗澡间和职工餐厅</w:t>
      </w:r>
      <w:r>
        <w:rPr>
          <w:snapToGrid w:val="0"/>
          <w:sz w:val="28"/>
          <w:szCs w:val="28"/>
        </w:rPr>
        <w:t>。</w:t>
      </w:r>
    </w:p>
    <w:p>
      <w:pPr>
        <w:adjustRightInd w:val="0"/>
        <w:snapToGrid w:val="0"/>
        <w:spacing w:line="348" w:lineRule="auto"/>
        <w:ind w:firstLine="560" w:firstLineChars="200"/>
        <w:jc w:val="left"/>
        <w:rPr>
          <w:rFonts w:hint="eastAsia"/>
          <w:sz w:val="28"/>
          <w:szCs w:val="28"/>
        </w:rPr>
      </w:pPr>
      <w:r>
        <w:rPr>
          <w:rFonts w:hint="eastAsia"/>
          <w:sz w:val="28"/>
          <w:szCs w:val="28"/>
        </w:rPr>
        <w:t>其中</w:t>
      </w:r>
      <w:r>
        <w:rPr>
          <w:sz w:val="28"/>
          <w:szCs w:val="28"/>
        </w:rPr>
        <w:t>1#</w:t>
      </w:r>
      <w:r>
        <w:rPr>
          <w:rFonts w:hint="eastAsia"/>
          <w:sz w:val="28"/>
          <w:szCs w:val="28"/>
        </w:rPr>
        <w:t>生产车间建筑面积</w:t>
      </w:r>
      <w:r>
        <w:rPr>
          <w:sz w:val="28"/>
          <w:szCs w:val="28"/>
        </w:rPr>
        <w:t>700</w:t>
      </w:r>
      <w:r>
        <w:rPr>
          <w:rFonts w:hint="eastAsia"/>
          <w:sz w:val="28"/>
          <w:szCs w:val="28"/>
        </w:rPr>
        <w:t>m</w:t>
      </w:r>
      <w:r>
        <w:rPr>
          <w:rFonts w:hint="eastAsia"/>
          <w:sz w:val="28"/>
          <w:szCs w:val="28"/>
          <w:vertAlign w:val="superscript"/>
        </w:rPr>
        <w:t>2</w:t>
      </w:r>
      <w:r>
        <w:rPr>
          <w:rFonts w:hint="eastAsia"/>
          <w:sz w:val="28"/>
          <w:szCs w:val="28"/>
        </w:rPr>
        <w:t>，主要工艺为下料</w:t>
      </w:r>
      <w:r>
        <w:rPr>
          <w:sz w:val="28"/>
          <w:szCs w:val="28"/>
        </w:rPr>
        <w:t>-</w:t>
      </w:r>
      <w:r>
        <w:rPr>
          <w:rFonts w:hint="eastAsia"/>
          <w:sz w:val="28"/>
          <w:szCs w:val="28"/>
        </w:rPr>
        <w:t>封边</w:t>
      </w:r>
      <w:r>
        <w:rPr>
          <w:sz w:val="28"/>
          <w:szCs w:val="28"/>
        </w:rPr>
        <w:t>-</w:t>
      </w:r>
      <w:r>
        <w:rPr>
          <w:rFonts w:hint="eastAsia"/>
          <w:sz w:val="28"/>
          <w:szCs w:val="28"/>
        </w:rPr>
        <w:t>开孔</w:t>
      </w:r>
      <w:r>
        <w:rPr>
          <w:sz w:val="28"/>
          <w:szCs w:val="28"/>
        </w:rPr>
        <w:t>-</w:t>
      </w:r>
      <w:r>
        <w:rPr>
          <w:rFonts w:hint="eastAsia"/>
          <w:sz w:val="28"/>
          <w:szCs w:val="28"/>
        </w:rPr>
        <w:t>试拼装</w:t>
      </w:r>
      <w:r>
        <w:rPr>
          <w:sz w:val="28"/>
          <w:szCs w:val="28"/>
        </w:rPr>
        <w:t>-</w:t>
      </w:r>
      <w:r>
        <w:rPr>
          <w:rFonts w:hint="eastAsia"/>
          <w:sz w:val="28"/>
          <w:szCs w:val="28"/>
        </w:rPr>
        <w:t>包装，车间高度为</w:t>
      </w:r>
      <w:r>
        <w:rPr>
          <w:sz w:val="28"/>
          <w:szCs w:val="28"/>
        </w:rPr>
        <w:t>8m</w:t>
      </w:r>
      <w:r>
        <w:rPr>
          <w:rFonts w:hint="eastAsia"/>
          <w:sz w:val="28"/>
          <w:szCs w:val="28"/>
        </w:rPr>
        <w:t>；</w:t>
      </w:r>
      <w:r>
        <w:rPr>
          <w:snapToGrid w:val="0"/>
          <w:sz w:val="28"/>
          <w:szCs w:val="28"/>
        </w:rPr>
        <w:t>2#</w:t>
      </w:r>
      <w:r>
        <w:rPr>
          <w:rFonts w:hint="eastAsia"/>
          <w:snapToGrid w:val="0"/>
          <w:sz w:val="28"/>
          <w:szCs w:val="28"/>
        </w:rPr>
        <w:t>生产车间建筑面积</w:t>
      </w:r>
      <w:r>
        <w:rPr>
          <w:snapToGrid w:val="0"/>
          <w:sz w:val="28"/>
          <w:szCs w:val="28"/>
        </w:rPr>
        <w:t>5520</w:t>
      </w:r>
      <w:r>
        <w:rPr>
          <w:rFonts w:hint="eastAsia"/>
          <w:sz w:val="28"/>
          <w:szCs w:val="28"/>
        </w:rPr>
        <w:t>m</w:t>
      </w:r>
      <w:r>
        <w:rPr>
          <w:rFonts w:hint="eastAsia"/>
          <w:sz w:val="28"/>
          <w:szCs w:val="28"/>
          <w:vertAlign w:val="superscript"/>
        </w:rPr>
        <w:t>2</w:t>
      </w:r>
      <w:r>
        <w:rPr>
          <w:rFonts w:hint="eastAsia"/>
          <w:snapToGrid w:val="0"/>
          <w:sz w:val="28"/>
          <w:szCs w:val="28"/>
        </w:rPr>
        <w:t>（</w:t>
      </w:r>
      <w:r>
        <w:rPr>
          <w:snapToGrid w:val="0"/>
          <w:sz w:val="28"/>
          <w:szCs w:val="28"/>
        </w:rPr>
        <w:t>1F</w:t>
      </w:r>
      <w:r>
        <w:rPr>
          <w:rFonts w:hint="eastAsia"/>
          <w:snapToGrid w:val="0"/>
          <w:sz w:val="28"/>
          <w:szCs w:val="28"/>
        </w:rPr>
        <w:t>）；主要生产工艺为下料雕刻、铣边</w:t>
      </w:r>
      <w:r>
        <w:rPr>
          <w:snapToGrid w:val="0"/>
          <w:sz w:val="28"/>
          <w:szCs w:val="28"/>
        </w:rPr>
        <w:t>-</w:t>
      </w:r>
      <w:r>
        <w:rPr>
          <w:rFonts w:hint="eastAsia"/>
          <w:snapToGrid w:val="0"/>
          <w:sz w:val="28"/>
          <w:szCs w:val="28"/>
        </w:rPr>
        <w:t>开孔</w:t>
      </w:r>
      <w:r>
        <w:rPr>
          <w:snapToGrid w:val="0"/>
          <w:sz w:val="28"/>
          <w:szCs w:val="28"/>
        </w:rPr>
        <w:t>-</w:t>
      </w:r>
      <w:r>
        <w:rPr>
          <w:rFonts w:hint="eastAsia"/>
          <w:snapToGrid w:val="0"/>
          <w:sz w:val="28"/>
          <w:szCs w:val="28"/>
        </w:rPr>
        <w:t>砂光</w:t>
      </w:r>
      <w:r>
        <w:rPr>
          <w:snapToGrid w:val="0"/>
          <w:sz w:val="28"/>
          <w:szCs w:val="28"/>
        </w:rPr>
        <w:t>-</w:t>
      </w:r>
      <w:r>
        <w:rPr>
          <w:rFonts w:hint="eastAsia"/>
          <w:snapToGrid w:val="0"/>
          <w:sz w:val="28"/>
          <w:szCs w:val="28"/>
        </w:rPr>
        <w:t>喷胶</w:t>
      </w:r>
      <w:r>
        <w:rPr>
          <w:snapToGrid w:val="0"/>
          <w:sz w:val="28"/>
          <w:szCs w:val="28"/>
        </w:rPr>
        <w:t>-</w:t>
      </w:r>
      <w:r>
        <w:rPr>
          <w:rFonts w:hint="eastAsia"/>
          <w:snapToGrid w:val="0"/>
          <w:sz w:val="28"/>
          <w:szCs w:val="28"/>
        </w:rPr>
        <w:t>吸塑</w:t>
      </w:r>
      <w:r>
        <w:rPr>
          <w:snapToGrid w:val="0"/>
          <w:sz w:val="28"/>
          <w:szCs w:val="28"/>
        </w:rPr>
        <w:t>-</w:t>
      </w:r>
      <w:r>
        <w:rPr>
          <w:rFonts w:hint="eastAsia"/>
          <w:snapToGrid w:val="0"/>
          <w:sz w:val="28"/>
          <w:szCs w:val="28"/>
        </w:rPr>
        <w:t>修剪</w:t>
      </w:r>
      <w:r>
        <w:rPr>
          <w:snapToGrid w:val="0"/>
          <w:sz w:val="28"/>
          <w:szCs w:val="28"/>
        </w:rPr>
        <w:t>-</w:t>
      </w:r>
      <w:r>
        <w:rPr>
          <w:rFonts w:hint="eastAsia"/>
          <w:snapToGrid w:val="0"/>
          <w:sz w:val="28"/>
          <w:szCs w:val="28"/>
        </w:rPr>
        <w:t>包装；车间高度为</w:t>
      </w:r>
      <w:r>
        <w:rPr>
          <w:snapToGrid w:val="0"/>
          <w:sz w:val="28"/>
          <w:szCs w:val="28"/>
        </w:rPr>
        <w:t>8m</w:t>
      </w:r>
      <w:r>
        <w:rPr>
          <w:rFonts w:hint="eastAsia"/>
          <w:snapToGrid w:val="0"/>
          <w:sz w:val="28"/>
          <w:szCs w:val="28"/>
        </w:rPr>
        <w:t>。</w:t>
      </w:r>
      <w:r>
        <w:rPr>
          <w:snapToGrid w:val="0"/>
          <w:sz w:val="28"/>
          <w:szCs w:val="28"/>
        </w:rPr>
        <w:t>2#</w:t>
      </w:r>
      <w:r>
        <w:rPr>
          <w:rFonts w:hint="eastAsia"/>
          <w:snapToGrid w:val="0"/>
          <w:sz w:val="28"/>
          <w:szCs w:val="28"/>
        </w:rPr>
        <w:t>生产车间根据使用功能不同，共设置</w:t>
      </w:r>
      <w:r>
        <w:rPr>
          <w:snapToGrid w:val="0"/>
          <w:sz w:val="28"/>
          <w:szCs w:val="28"/>
        </w:rPr>
        <w:t>3</w:t>
      </w:r>
      <w:r>
        <w:rPr>
          <w:rFonts w:hint="eastAsia"/>
          <w:snapToGrid w:val="0"/>
          <w:sz w:val="28"/>
          <w:szCs w:val="28"/>
        </w:rPr>
        <w:t>个生产区，其中南侧生产区的面积为1920</w:t>
      </w:r>
      <w:r>
        <w:rPr>
          <w:rFonts w:hint="eastAsia"/>
          <w:sz w:val="28"/>
          <w:szCs w:val="28"/>
        </w:rPr>
        <w:t>m</w:t>
      </w:r>
      <w:r>
        <w:rPr>
          <w:rFonts w:hint="eastAsia"/>
          <w:sz w:val="28"/>
          <w:szCs w:val="28"/>
          <w:vertAlign w:val="superscript"/>
        </w:rPr>
        <w:t>2</w:t>
      </w:r>
      <w:r>
        <w:rPr>
          <w:rFonts w:hint="eastAsia"/>
          <w:snapToGrid w:val="0"/>
          <w:sz w:val="28"/>
          <w:szCs w:val="28"/>
        </w:rPr>
        <w:t>，北侧生产区的面积为2880</w:t>
      </w:r>
      <w:r>
        <w:rPr>
          <w:rFonts w:hint="eastAsia"/>
          <w:sz w:val="28"/>
          <w:szCs w:val="28"/>
        </w:rPr>
        <w:t>m</w:t>
      </w:r>
      <w:r>
        <w:rPr>
          <w:rFonts w:hint="eastAsia"/>
          <w:sz w:val="28"/>
          <w:szCs w:val="28"/>
          <w:vertAlign w:val="superscript"/>
        </w:rPr>
        <w:t>2</w:t>
      </w:r>
      <w:r>
        <w:rPr>
          <w:rFonts w:hint="eastAsia"/>
          <w:snapToGrid w:val="0"/>
          <w:sz w:val="28"/>
          <w:szCs w:val="28"/>
        </w:rPr>
        <w:t>，中间仓库的面积为720</w:t>
      </w:r>
      <w:r>
        <w:rPr>
          <w:rFonts w:hint="eastAsia"/>
          <w:sz w:val="28"/>
          <w:szCs w:val="28"/>
        </w:rPr>
        <w:t>m</w:t>
      </w:r>
      <w:r>
        <w:rPr>
          <w:rFonts w:hint="eastAsia"/>
          <w:sz w:val="28"/>
          <w:szCs w:val="28"/>
          <w:vertAlign w:val="superscript"/>
        </w:rPr>
        <w:t>2</w:t>
      </w:r>
      <w:r>
        <w:rPr>
          <w:rFonts w:hint="eastAsia"/>
          <w:sz w:val="28"/>
          <w:szCs w:val="28"/>
        </w:rPr>
        <w:t>；</w:t>
      </w:r>
      <w:r>
        <w:rPr>
          <w:rFonts w:hint="eastAsia"/>
          <w:snapToGrid w:val="0"/>
          <w:sz w:val="28"/>
          <w:szCs w:val="28"/>
        </w:rPr>
        <w:t>3#车间、4#车间主要生产设备为雕刻机、封边机、钻孔机、推拉锯等设备，车间高度为</w:t>
      </w:r>
      <w:r>
        <w:rPr>
          <w:snapToGrid w:val="0"/>
          <w:sz w:val="28"/>
          <w:szCs w:val="28"/>
        </w:rPr>
        <w:t>8m，3#</w:t>
      </w:r>
      <w:r>
        <w:rPr>
          <w:rFonts w:hint="eastAsia"/>
          <w:snapToGrid w:val="0"/>
          <w:sz w:val="28"/>
          <w:szCs w:val="28"/>
        </w:rPr>
        <w:t>生产车间建筑面积1150</w:t>
      </w:r>
      <w:r>
        <w:rPr>
          <w:rFonts w:hint="eastAsia"/>
          <w:sz w:val="28"/>
          <w:szCs w:val="28"/>
        </w:rPr>
        <w:t>m</w:t>
      </w:r>
      <w:r>
        <w:rPr>
          <w:rFonts w:hint="eastAsia"/>
          <w:sz w:val="28"/>
          <w:szCs w:val="28"/>
          <w:vertAlign w:val="superscript"/>
        </w:rPr>
        <w:t>2</w:t>
      </w:r>
      <w:r>
        <w:rPr>
          <w:rFonts w:hint="eastAsia"/>
          <w:snapToGrid w:val="0"/>
          <w:sz w:val="28"/>
          <w:szCs w:val="28"/>
        </w:rPr>
        <w:t>，4#车间建筑面积1140</w:t>
      </w:r>
      <w:r>
        <w:rPr>
          <w:rFonts w:hint="eastAsia"/>
          <w:sz w:val="28"/>
          <w:szCs w:val="28"/>
        </w:rPr>
        <w:t>m</w:t>
      </w:r>
      <w:r>
        <w:rPr>
          <w:rFonts w:hint="eastAsia"/>
          <w:sz w:val="28"/>
          <w:szCs w:val="28"/>
          <w:vertAlign w:val="superscript"/>
        </w:rPr>
        <w:t>2</w:t>
      </w:r>
      <w:r>
        <w:rPr>
          <w:rFonts w:hint="eastAsia"/>
          <w:snapToGrid w:val="0"/>
          <w:sz w:val="28"/>
          <w:szCs w:val="28"/>
        </w:rPr>
        <w:t>。办公楼由原厂区实体建筑改建为</w:t>
      </w:r>
      <w:r>
        <w:rPr>
          <w:rFonts w:hint="eastAsia"/>
          <w:sz w:val="28"/>
          <w:szCs w:val="28"/>
        </w:rPr>
        <w:t>一栋二层办公用房，位于</w:t>
      </w:r>
      <w:r>
        <w:rPr>
          <w:sz w:val="28"/>
          <w:szCs w:val="28"/>
        </w:rPr>
        <w:t>1</w:t>
      </w:r>
      <w:r>
        <w:rPr>
          <w:rFonts w:hint="eastAsia"/>
          <w:sz w:val="28"/>
          <w:szCs w:val="28"/>
        </w:rPr>
        <w:t>号生产车间西北侧</w:t>
      </w:r>
      <w:r>
        <w:rPr>
          <w:rFonts w:hint="eastAsia"/>
          <w:snapToGrid w:val="0"/>
          <w:sz w:val="28"/>
          <w:szCs w:val="28"/>
        </w:rPr>
        <w:t>；总经理办公室为一栋二层钢筋混泥土结构独立建筑；变压器及总配电室设置厂区外围</w:t>
      </w:r>
      <w:r>
        <w:rPr>
          <w:snapToGrid w:val="0"/>
          <w:sz w:val="28"/>
          <w:szCs w:val="28"/>
        </w:rPr>
        <w:t>1km</w:t>
      </w:r>
      <w:r>
        <w:rPr>
          <w:rFonts w:hint="eastAsia"/>
          <w:snapToGrid w:val="0"/>
          <w:sz w:val="28"/>
          <w:szCs w:val="28"/>
        </w:rPr>
        <w:t>处，两间辅房面积约</w:t>
      </w:r>
      <w:r>
        <w:rPr>
          <w:snapToGrid w:val="0"/>
          <w:sz w:val="28"/>
          <w:szCs w:val="28"/>
        </w:rPr>
        <w:t>40</w:t>
      </w:r>
      <w:r>
        <w:rPr>
          <w:rFonts w:hint="eastAsia"/>
          <w:sz w:val="28"/>
          <w:szCs w:val="28"/>
        </w:rPr>
        <w:t>m</w:t>
      </w:r>
      <w:r>
        <w:rPr>
          <w:rFonts w:hint="eastAsia"/>
          <w:sz w:val="28"/>
          <w:szCs w:val="28"/>
          <w:vertAlign w:val="superscript"/>
        </w:rPr>
        <w:t>2</w:t>
      </w:r>
      <w:r>
        <w:rPr>
          <w:rFonts w:hint="eastAsia"/>
          <w:sz w:val="28"/>
          <w:szCs w:val="28"/>
        </w:rPr>
        <w:t>。</w:t>
      </w:r>
    </w:p>
    <w:p>
      <w:pPr>
        <w:adjustRightInd w:val="0"/>
        <w:snapToGrid w:val="0"/>
        <w:spacing w:line="348" w:lineRule="auto"/>
        <w:ind w:firstLine="560" w:firstLineChars="200"/>
        <w:jc w:val="left"/>
        <w:rPr>
          <w:rFonts w:hint="eastAsia"/>
          <w:snapToGrid w:val="0"/>
          <w:sz w:val="28"/>
          <w:szCs w:val="28"/>
        </w:rPr>
      </w:pPr>
      <w:r>
        <w:rPr>
          <w:snapToGrid w:val="0"/>
          <w:sz w:val="28"/>
          <w:szCs w:val="28"/>
        </w:rPr>
        <w:t>项目在满足生产加工、产品和原材料存储、环境影响要求的基础上，根据生产加工流程，全面的、因地制宜的对车间内各设备的布局进行总平面布置，顺延了工艺走向，便于输送、生产，厂区的平面布置合理。</w:t>
      </w:r>
    </w:p>
    <w:p>
      <w:pPr>
        <w:adjustRightInd w:val="0"/>
        <w:snapToGrid w:val="0"/>
        <w:spacing w:line="360" w:lineRule="auto"/>
        <w:ind w:firstLine="560" w:firstLineChars="200"/>
        <w:rPr>
          <w:snapToGrid w:val="0"/>
          <w:sz w:val="28"/>
          <w:szCs w:val="28"/>
        </w:rPr>
      </w:pPr>
      <w:r>
        <w:rPr>
          <w:snapToGrid w:val="0"/>
          <w:sz w:val="28"/>
          <w:szCs w:val="28"/>
        </w:rPr>
        <w:t>2、竖向布置</w:t>
      </w:r>
    </w:p>
    <w:p>
      <w:pPr>
        <w:adjustRightInd w:val="0"/>
        <w:snapToGrid w:val="0"/>
        <w:spacing w:line="360" w:lineRule="auto"/>
        <w:ind w:firstLine="560" w:firstLineChars="200"/>
        <w:jc w:val="left"/>
        <w:rPr>
          <w:snapToGrid w:val="0"/>
          <w:sz w:val="28"/>
          <w:szCs w:val="28"/>
        </w:rPr>
      </w:pPr>
      <w:r>
        <w:rPr>
          <w:snapToGrid w:val="0"/>
          <w:sz w:val="28"/>
          <w:szCs w:val="28"/>
        </w:rPr>
        <w:t>根据厂区地形及厂内外交通运输、厂区排水等各方面的要求，厂区竖向布置采取平坡式布置方式。</w:t>
      </w:r>
    </w:p>
    <w:p>
      <w:pPr>
        <w:adjustRightInd w:val="0"/>
        <w:snapToGrid w:val="0"/>
        <w:spacing w:line="360" w:lineRule="auto"/>
        <w:ind w:firstLine="560" w:firstLineChars="200"/>
        <w:jc w:val="left"/>
        <w:rPr>
          <w:snapToGrid w:val="0"/>
          <w:sz w:val="28"/>
          <w:szCs w:val="28"/>
        </w:rPr>
      </w:pPr>
      <w:r>
        <w:rPr>
          <w:snapToGrid w:val="0"/>
          <w:sz w:val="28"/>
          <w:szCs w:val="28"/>
        </w:rPr>
        <w:t>3、道路及运输</w:t>
      </w:r>
    </w:p>
    <w:p>
      <w:pPr>
        <w:adjustRightInd w:val="0"/>
        <w:snapToGrid w:val="0"/>
        <w:spacing w:line="360" w:lineRule="auto"/>
        <w:ind w:firstLine="560" w:firstLineChars="200"/>
        <w:jc w:val="left"/>
        <w:rPr>
          <w:rFonts w:hint="eastAsia"/>
          <w:snapToGrid w:val="0"/>
          <w:sz w:val="28"/>
          <w:szCs w:val="28"/>
        </w:rPr>
      </w:pPr>
      <w:r>
        <w:rPr>
          <w:snapToGrid w:val="0"/>
          <w:sz w:val="28"/>
          <w:szCs w:val="28"/>
        </w:rPr>
        <w:t>该公司厂区道路布置主干道宽度6m，</w:t>
      </w:r>
      <w:r>
        <w:rPr>
          <w:rFonts w:hint="eastAsia"/>
          <w:sz w:val="28"/>
          <w:szCs w:val="28"/>
        </w:rPr>
        <w:t>转弯半径为</w:t>
      </w:r>
      <w:r>
        <w:rPr>
          <w:sz w:val="28"/>
          <w:szCs w:val="28"/>
        </w:rPr>
        <w:t>9-12m</w:t>
      </w:r>
      <w:r>
        <w:rPr>
          <w:rFonts w:hint="eastAsia"/>
          <w:sz w:val="28"/>
          <w:szCs w:val="28"/>
        </w:rPr>
        <w:t>，可满足运输以及消防的要求</w:t>
      </w:r>
      <w:r>
        <w:rPr>
          <w:snapToGrid w:val="0"/>
          <w:sz w:val="28"/>
          <w:szCs w:val="28"/>
        </w:rPr>
        <w:t>。</w:t>
      </w:r>
    </w:p>
    <w:p>
      <w:pPr>
        <w:adjustRightInd w:val="0"/>
        <w:snapToGrid w:val="0"/>
        <w:spacing w:line="360" w:lineRule="auto"/>
        <w:ind w:firstLine="560" w:firstLineChars="200"/>
        <w:jc w:val="left"/>
        <w:rPr>
          <w:rFonts w:hint="eastAsia"/>
          <w:snapToGrid w:val="0"/>
          <w:sz w:val="28"/>
          <w:szCs w:val="28"/>
        </w:rPr>
      </w:pPr>
      <w:r>
        <w:rPr>
          <w:rFonts w:hint="eastAsia"/>
          <w:snapToGrid w:val="0"/>
          <w:sz w:val="28"/>
          <w:szCs w:val="28"/>
        </w:rPr>
        <w:t>4、安全出口</w:t>
      </w:r>
    </w:p>
    <w:p>
      <w:pPr>
        <w:adjustRightInd w:val="0"/>
        <w:snapToGrid w:val="0"/>
        <w:spacing w:line="360" w:lineRule="auto"/>
        <w:ind w:firstLine="560" w:firstLineChars="200"/>
        <w:jc w:val="left"/>
        <w:rPr>
          <w:snapToGrid w:val="0"/>
          <w:sz w:val="28"/>
          <w:szCs w:val="28"/>
        </w:rPr>
        <w:sectPr>
          <w:headerReference w:type="default" r:id="rId38"/>
          <w:footerReference w:type="default" r:id="rId39"/>
          <w:type w:val="nextPage"/>
          <w:pgSz w:w="11906" w:h="16838"/>
          <w:pgMar w:top="1418" w:right="1418" w:bottom="1361" w:left="1474" w:header="993" w:footer="980" w:gutter="0"/>
          <w:pgNumType w:start="12"/>
          <w:cols w:space="708"/>
          <w:titlePg w:val="0"/>
          <w:docGrid w:type="lines" w:linePitch="312"/>
        </w:sectPr>
      </w:pPr>
      <w:r>
        <w:rPr>
          <w:rFonts w:ascii="宋体" w:hAnsi="宋体" w:cs="宋体" w:hint="eastAsia"/>
          <w:bCs/>
          <w:sz w:val="28"/>
          <w:szCs w:val="28"/>
          <w:lang w:val="zh-CN"/>
        </w:rPr>
        <w:t>生产车间1、生产车间2、生产车间3、生产车间4、成品库、原料库</w:t>
      </w:r>
      <w:r>
        <w:rPr>
          <w:rFonts w:hint="eastAsia"/>
          <w:sz w:val="28"/>
          <w:szCs w:val="28"/>
        </w:rPr>
        <w:t>每个厂房拟设</w:t>
      </w:r>
      <w:r>
        <w:rPr>
          <w:sz w:val="28"/>
          <w:szCs w:val="28"/>
        </w:rPr>
        <w:t>2</w:t>
      </w:r>
      <w:r>
        <w:rPr>
          <w:rFonts w:hint="eastAsia"/>
          <w:sz w:val="28"/>
          <w:szCs w:val="28"/>
        </w:rPr>
        <w:t>个出入口，车间内设置人车分流线路，车道宽</w:t>
      </w:r>
      <w:r>
        <w:rPr>
          <w:sz w:val="28"/>
          <w:szCs w:val="28"/>
        </w:rPr>
        <w:t>2.5m</w:t>
      </w:r>
    </w:p>
    <w:p>
      <w:pPr>
        <w:adjustRightInd w:val="0"/>
        <w:snapToGrid w:val="0"/>
        <w:spacing w:line="360" w:lineRule="auto"/>
        <w:ind w:firstLine="560" w:firstLineChars="200"/>
        <w:jc w:val="left"/>
        <w:rPr>
          <w:snapToGrid w:val="0"/>
          <w:sz w:val="28"/>
          <w:szCs w:val="28"/>
        </w:rPr>
      </w:pPr>
      <w:r>
        <w:rPr>
          <w:rFonts w:hint="eastAsia"/>
          <w:sz w:val="28"/>
          <w:szCs w:val="28"/>
        </w:rPr>
        <w:t>，人行道</w:t>
      </w:r>
      <w:r>
        <w:rPr>
          <w:sz w:val="28"/>
          <w:szCs w:val="28"/>
        </w:rPr>
        <w:t>1.2m</w:t>
      </w:r>
      <w:r>
        <w:rPr>
          <w:rFonts w:hint="eastAsia"/>
          <w:sz w:val="28"/>
          <w:szCs w:val="28"/>
        </w:rPr>
        <w:t>。车间内有足够面积的回车场地。</w:t>
      </w:r>
    </w:p>
    <w:p>
      <w:pPr>
        <w:pStyle w:val="Heading3"/>
        <w:adjustRightInd w:val="0"/>
        <w:snapToGrid w:val="0"/>
        <w:spacing w:before="0" w:beforeLines="0" w:after="0" w:afterLines="0" w:line="360" w:lineRule="auto"/>
        <w:rPr>
          <w:rFonts w:eastAsia="宋体"/>
          <w:szCs w:val="28"/>
        </w:rPr>
      </w:pPr>
      <w:r>
        <w:rPr>
          <w:rFonts w:eastAsia="宋体"/>
          <w:szCs w:val="28"/>
        </w:rPr>
        <w:t>2.4.2原辅材料及产品方案</w:t>
      </w:r>
    </w:p>
    <w:p>
      <w:pPr>
        <w:adjustRightInd w:val="0"/>
        <w:snapToGrid w:val="0"/>
        <w:spacing w:line="360" w:lineRule="auto"/>
        <w:ind w:firstLine="560" w:firstLineChars="200"/>
        <w:jc w:val="left"/>
        <w:rPr>
          <w:rFonts w:hint="eastAsia"/>
          <w:snapToGrid w:val="0"/>
          <w:sz w:val="28"/>
          <w:szCs w:val="28"/>
        </w:rPr>
      </w:pPr>
      <w:r>
        <w:rPr>
          <w:snapToGrid w:val="0"/>
          <w:sz w:val="28"/>
          <w:szCs w:val="28"/>
        </w:rPr>
        <w:t>1、本项目的原辅材料一览表如下。</w:t>
      </w:r>
    </w:p>
    <w:p>
      <w:pPr>
        <w:adjustRightInd w:val="0"/>
        <w:snapToGrid w:val="0"/>
        <w:spacing w:line="360" w:lineRule="auto"/>
        <w:ind w:firstLine="560" w:firstLineChars="200"/>
        <w:jc w:val="center"/>
        <w:rPr>
          <w:rFonts w:hint="eastAsia"/>
          <w:b/>
          <w:snapToGrid w:val="0"/>
          <w:sz w:val="28"/>
          <w:szCs w:val="28"/>
        </w:rPr>
      </w:pPr>
      <w:r>
        <w:rPr>
          <w:b/>
          <w:snapToGrid w:val="0"/>
          <w:sz w:val="28"/>
          <w:szCs w:val="28"/>
        </w:rPr>
        <w:t>表2</w:t>
      </w:r>
      <w:r>
        <w:rPr>
          <w:rFonts w:hint="eastAsia"/>
          <w:b/>
          <w:snapToGrid w:val="0"/>
          <w:sz w:val="28"/>
          <w:szCs w:val="28"/>
        </w:rPr>
        <w:t>.4-1</w:t>
      </w:r>
      <w:r>
        <w:rPr>
          <w:b/>
          <w:snapToGrid w:val="0"/>
          <w:sz w:val="28"/>
          <w:szCs w:val="28"/>
        </w:rPr>
        <w:t>原辅材料一览表</w:t>
      </w:r>
    </w:p>
    <w:tbl>
      <w:tblPr>
        <w:tblStyle w:val="TableNormal"/>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08" w:type="dxa"/>
          <w:bottom w:w="57" w:type="dxa"/>
          <w:right w:w="108" w:type="dxa"/>
        </w:tblCellMar>
        <w:tblLook w:val="0000"/>
      </w:tblPr>
      <w:tblGrid>
        <w:gridCol w:w="719"/>
        <w:gridCol w:w="609"/>
        <w:gridCol w:w="1715"/>
        <w:gridCol w:w="1576"/>
        <w:gridCol w:w="1576"/>
        <w:gridCol w:w="1283"/>
        <w:gridCol w:w="1355"/>
      </w:tblGrid>
      <w:tr>
        <w:tblPrEx>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序号</w:t>
            </w:r>
          </w:p>
        </w:tc>
        <w:tc>
          <w:tcPr>
            <w:tcW w:w="2324" w:type="dxa"/>
            <w:gridSpan w:val="2"/>
            <w:vAlign w:val="center"/>
          </w:tcPr>
          <w:p>
            <w:pPr>
              <w:snapToGrid w:val="0"/>
              <w:spacing w:line="240" w:lineRule="atLeast"/>
              <w:jc w:val="center"/>
              <w:rPr>
                <w:bCs/>
                <w:szCs w:val="21"/>
              </w:rPr>
            </w:pPr>
            <w:r>
              <w:rPr>
                <w:bCs/>
                <w:szCs w:val="21"/>
              </w:rPr>
              <w:t>原辅料</w:t>
            </w:r>
          </w:p>
        </w:tc>
        <w:tc>
          <w:tcPr>
            <w:tcW w:w="1576" w:type="dxa"/>
          </w:tcPr>
          <w:p>
            <w:pPr>
              <w:snapToGrid w:val="0"/>
              <w:spacing w:line="240" w:lineRule="atLeast"/>
              <w:jc w:val="center"/>
              <w:rPr>
                <w:bCs/>
                <w:szCs w:val="21"/>
              </w:rPr>
            </w:pPr>
            <w:r>
              <w:rPr>
                <w:bCs/>
                <w:szCs w:val="21"/>
              </w:rPr>
              <w:t>规格</w:t>
            </w:r>
          </w:p>
        </w:tc>
        <w:tc>
          <w:tcPr>
            <w:tcW w:w="1576" w:type="dxa"/>
            <w:vAlign w:val="center"/>
          </w:tcPr>
          <w:p>
            <w:pPr>
              <w:snapToGrid w:val="0"/>
              <w:spacing w:line="240" w:lineRule="atLeast"/>
              <w:jc w:val="center"/>
              <w:rPr>
                <w:bCs/>
                <w:szCs w:val="21"/>
              </w:rPr>
            </w:pPr>
            <w:r>
              <w:rPr>
                <w:bCs/>
                <w:szCs w:val="21"/>
              </w:rPr>
              <w:t>年消耗量</w:t>
            </w:r>
          </w:p>
        </w:tc>
        <w:tc>
          <w:tcPr>
            <w:tcW w:w="1283" w:type="dxa"/>
            <w:vAlign w:val="center"/>
          </w:tcPr>
          <w:p>
            <w:pPr>
              <w:snapToGrid w:val="0"/>
              <w:spacing w:line="240" w:lineRule="atLeast"/>
              <w:jc w:val="center"/>
              <w:rPr>
                <w:bCs/>
                <w:szCs w:val="21"/>
              </w:rPr>
            </w:pPr>
            <w:r>
              <w:rPr>
                <w:bCs/>
                <w:szCs w:val="21"/>
              </w:rPr>
              <w:t>最大存储量</w:t>
            </w:r>
          </w:p>
        </w:tc>
        <w:tc>
          <w:tcPr>
            <w:tcW w:w="1355" w:type="dxa"/>
            <w:vAlign w:val="center"/>
          </w:tcPr>
          <w:p>
            <w:pPr>
              <w:snapToGrid w:val="0"/>
              <w:spacing w:line="240" w:lineRule="atLeast"/>
              <w:jc w:val="center"/>
              <w:rPr>
                <w:bCs/>
                <w:szCs w:val="21"/>
              </w:rPr>
            </w:pPr>
            <w:r>
              <w:rPr>
                <w:bCs/>
                <w:szCs w:val="21"/>
              </w:rPr>
              <w:t>备注</w:t>
            </w: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1</w:t>
            </w:r>
          </w:p>
        </w:tc>
        <w:tc>
          <w:tcPr>
            <w:tcW w:w="609" w:type="dxa"/>
            <w:vMerge w:val="restart"/>
            <w:vAlign w:val="center"/>
          </w:tcPr>
          <w:p>
            <w:pPr>
              <w:snapToGrid w:val="0"/>
              <w:spacing w:line="240" w:lineRule="atLeast"/>
              <w:jc w:val="center"/>
              <w:rPr>
                <w:bCs/>
                <w:szCs w:val="21"/>
              </w:rPr>
            </w:pPr>
            <w:r>
              <w:rPr>
                <w:bCs/>
                <w:szCs w:val="21"/>
              </w:rPr>
              <w:t>原辅料</w:t>
            </w:r>
          </w:p>
        </w:tc>
        <w:tc>
          <w:tcPr>
            <w:tcW w:w="1715" w:type="dxa"/>
            <w:vAlign w:val="center"/>
          </w:tcPr>
          <w:p>
            <w:pPr>
              <w:adjustRightInd w:val="0"/>
              <w:snapToGrid w:val="0"/>
              <w:spacing w:line="240" w:lineRule="atLeast"/>
              <w:jc w:val="center"/>
              <w:rPr>
                <w:bCs/>
                <w:szCs w:val="21"/>
              </w:rPr>
            </w:pPr>
            <w:r>
              <w:rPr>
                <w:bCs/>
                <w:szCs w:val="21"/>
              </w:rPr>
              <w:t>非洲硬杂木</w:t>
            </w:r>
          </w:p>
        </w:tc>
        <w:tc>
          <w:tcPr>
            <w:tcW w:w="1576" w:type="dxa"/>
          </w:tcPr>
          <w:p>
            <w:pPr>
              <w:snapToGrid w:val="0"/>
              <w:spacing w:line="240" w:lineRule="atLeast"/>
              <w:jc w:val="center"/>
              <w:rPr>
                <w:bCs/>
                <w:szCs w:val="21"/>
              </w:rPr>
            </w:pPr>
            <w:r>
              <w:rPr>
                <w:bCs/>
                <w:szCs w:val="21"/>
              </w:rPr>
              <w:t>不等</w:t>
            </w:r>
          </w:p>
        </w:tc>
        <w:tc>
          <w:tcPr>
            <w:tcW w:w="1576" w:type="dxa"/>
            <w:vAlign w:val="center"/>
          </w:tcPr>
          <w:p>
            <w:pPr>
              <w:snapToGrid w:val="0"/>
              <w:spacing w:line="240" w:lineRule="atLeast"/>
              <w:jc w:val="center"/>
              <w:rPr>
                <w:bCs/>
                <w:szCs w:val="21"/>
              </w:rPr>
            </w:pPr>
            <w:r>
              <w:rPr>
                <w:bCs/>
                <w:szCs w:val="21"/>
              </w:rPr>
              <w:t>400m</w:t>
            </w:r>
            <w:r>
              <w:rPr>
                <w:bCs/>
                <w:szCs w:val="21"/>
                <w:vertAlign w:val="superscript"/>
              </w:rPr>
              <w:t>3</w:t>
            </w:r>
          </w:p>
        </w:tc>
        <w:tc>
          <w:tcPr>
            <w:tcW w:w="1283" w:type="dxa"/>
            <w:vAlign w:val="center"/>
          </w:tcPr>
          <w:p>
            <w:pPr>
              <w:snapToGrid w:val="0"/>
              <w:spacing w:line="240" w:lineRule="atLeast"/>
              <w:jc w:val="center"/>
              <w:rPr>
                <w:bCs/>
                <w:szCs w:val="21"/>
              </w:rPr>
            </w:pPr>
            <w:r>
              <w:rPr>
                <w:bCs/>
                <w:szCs w:val="21"/>
              </w:rPr>
              <w:t>40m</w:t>
            </w:r>
            <w:r>
              <w:rPr>
                <w:bCs/>
                <w:szCs w:val="21"/>
                <w:vertAlign w:val="superscript"/>
              </w:rPr>
              <w:t>3</w:t>
            </w:r>
          </w:p>
        </w:tc>
        <w:tc>
          <w:tcPr>
            <w:tcW w:w="1355" w:type="dxa"/>
            <w:vMerge w:val="restart"/>
            <w:vAlign w:val="center"/>
          </w:tcPr>
          <w:p>
            <w:pPr>
              <w:spacing w:line="240" w:lineRule="atLeast"/>
              <w:jc w:val="center"/>
            </w:pPr>
            <w:r>
              <w:t>外购，主要用于实木家具</w:t>
            </w: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2</w:t>
            </w:r>
          </w:p>
        </w:tc>
        <w:tc>
          <w:tcPr>
            <w:tcW w:w="609" w:type="dxa"/>
            <w:vMerge/>
            <w:vAlign w:val="center"/>
          </w:tcPr>
          <w:p>
            <w:pPr>
              <w:snapToGrid w:val="0"/>
              <w:spacing w:line="240" w:lineRule="atLeast"/>
              <w:jc w:val="center"/>
              <w:rPr>
                <w:bCs/>
                <w:szCs w:val="21"/>
              </w:rPr>
            </w:pPr>
          </w:p>
        </w:tc>
        <w:tc>
          <w:tcPr>
            <w:tcW w:w="1715" w:type="dxa"/>
            <w:vMerge w:val="restart"/>
            <w:vAlign w:val="center"/>
          </w:tcPr>
          <w:p>
            <w:pPr>
              <w:adjustRightInd w:val="0"/>
              <w:snapToGrid w:val="0"/>
              <w:spacing w:line="240" w:lineRule="atLeast"/>
              <w:jc w:val="center"/>
              <w:rPr>
                <w:bCs/>
                <w:szCs w:val="21"/>
              </w:rPr>
            </w:pPr>
            <w:r>
              <w:rPr>
                <w:bCs/>
                <w:szCs w:val="21"/>
              </w:rPr>
              <w:t>刺槐原木</w:t>
            </w:r>
          </w:p>
        </w:tc>
        <w:tc>
          <w:tcPr>
            <w:tcW w:w="1576" w:type="dxa"/>
            <w:vAlign w:val="center"/>
          </w:tcPr>
          <w:p>
            <w:pPr>
              <w:snapToGrid w:val="0"/>
              <w:spacing w:line="240" w:lineRule="atLeast"/>
              <w:jc w:val="center"/>
              <w:rPr>
                <w:bCs/>
                <w:szCs w:val="21"/>
              </w:rPr>
            </w:pPr>
            <w:r>
              <w:rPr>
                <w:bCs/>
                <w:szCs w:val="21"/>
              </w:rPr>
              <w:t>1220×2440×14mm</w:t>
            </w:r>
          </w:p>
        </w:tc>
        <w:tc>
          <w:tcPr>
            <w:tcW w:w="1576" w:type="dxa"/>
            <w:vAlign w:val="center"/>
          </w:tcPr>
          <w:p>
            <w:pPr>
              <w:snapToGrid w:val="0"/>
              <w:spacing w:line="240" w:lineRule="atLeast"/>
              <w:jc w:val="center"/>
              <w:rPr>
                <w:bCs/>
                <w:szCs w:val="21"/>
              </w:rPr>
            </w:pPr>
            <w:r>
              <w:rPr>
                <w:bCs/>
                <w:szCs w:val="21"/>
              </w:rPr>
              <w:t>500m</w:t>
            </w:r>
            <w:r>
              <w:rPr>
                <w:bCs/>
                <w:szCs w:val="21"/>
                <w:vertAlign w:val="superscript"/>
              </w:rPr>
              <w:t>3</w:t>
            </w:r>
          </w:p>
        </w:tc>
        <w:tc>
          <w:tcPr>
            <w:tcW w:w="1283" w:type="dxa"/>
            <w:vAlign w:val="center"/>
          </w:tcPr>
          <w:p>
            <w:pPr>
              <w:snapToGrid w:val="0"/>
              <w:spacing w:line="240" w:lineRule="atLeast"/>
              <w:jc w:val="center"/>
              <w:rPr>
                <w:bCs/>
                <w:szCs w:val="21"/>
              </w:rPr>
            </w:pPr>
            <w:r>
              <w:rPr>
                <w:bCs/>
                <w:szCs w:val="21"/>
              </w:rPr>
              <w:t>30m</w:t>
            </w:r>
            <w:r>
              <w:rPr>
                <w:bCs/>
                <w:szCs w:val="21"/>
                <w:vertAlign w:val="superscript"/>
              </w:rPr>
              <w:t>3</w:t>
            </w:r>
          </w:p>
        </w:tc>
        <w:tc>
          <w:tcPr>
            <w:tcW w:w="1355" w:type="dxa"/>
            <w:vMerge/>
            <w:vAlign w:val="center"/>
          </w:tcPr>
          <w:p>
            <w:pPr>
              <w:spacing w:line="240" w:lineRule="atLeast"/>
              <w:jc w:val="center"/>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3</w:t>
            </w:r>
          </w:p>
        </w:tc>
        <w:tc>
          <w:tcPr>
            <w:tcW w:w="609" w:type="dxa"/>
            <w:vMerge/>
            <w:vAlign w:val="center"/>
          </w:tcPr>
          <w:p>
            <w:pPr>
              <w:snapToGrid w:val="0"/>
              <w:spacing w:line="240" w:lineRule="atLeast"/>
              <w:jc w:val="center"/>
              <w:rPr>
                <w:bCs/>
                <w:szCs w:val="21"/>
              </w:rPr>
            </w:pPr>
          </w:p>
        </w:tc>
        <w:tc>
          <w:tcPr>
            <w:tcW w:w="1715" w:type="dxa"/>
            <w:vMerge/>
            <w:vAlign w:val="center"/>
          </w:tcPr>
          <w:p>
            <w:pPr>
              <w:adjustRightInd w:val="0"/>
              <w:snapToGrid w:val="0"/>
              <w:spacing w:line="240" w:lineRule="atLeast"/>
              <w:jc w:val="center"/>
              <w:rPr>
                <w:bCs/>
                <w:szCs w:val="21"/>
              </w:rPr>
            </w:pPr>
          </w:p>
        </w:tc>
        <w:tc>
          <w:tcPr>
            <w:tcW w:w="1576" w:type="dxa"/>
            <w:vAlign w:val="center"/>
          </w:tcPr>
          <w:p>
            <w:pPr>
              <w:snapToGrid w:val="0"/>
              <w:spacing w:line="240" w:lineRule="atLeast"/>
              <w:jc w:val="center"/>
              <w:rPr>
                <w:bCs/>
                <w:szCs w:val="21"/>
              </w:rPr>
            </w:pPr>
            <w:r>
              <w:rPr>
                <w:bCs/>
                <w:szCs w:val="21"/>
              </w:rPr>
              <w:t>2150×（36×36、40×40、30×40）mm</w:t>
            </w:r>
          </w:p>
        </w:tc>
        <w:tc>
          <w:tcPr>
            <w:tcW w:w="1576" w:type="dxa"/>
            <w:vAlign w:val="center"/>
          </w:tcPr>
          <w:p>
            <w:pPr>
              <w:snapToGrid w:val="0"/>
              <w:spacing w:line="240" w:lineRule="atLeast"/>
              <w:jc w:val="center"/>
              <w:rPr>
                <w:bCs/>
                <w:szCs w:val="21"/>
              </w:rPr>
            </w:pPr>
            <w:r>
              <w:rPr>
                <w:bCs/>
                <w:szCs w:val="21"/>
              </w:rPr>
              <w:t>300m</w:t>
            </w:r>
            <w:r>
              <w:rPr>
                <w:bCs/>
                <w:szCs w:val="21"/>
                <w:vertAlign w:val="superscript"/>
              </w:rPr>
              <w:t>3</w:t>
            </w:r>
          </w:p>
        </w:tc>
        <w:tc>
          <w:tcPr>
            <w:tcW w:w="1283" w:type="dxa"/>
            <w:vAlign w:val="center"/>
          </w:tcPr>
          <w:p>
            <w:pPr>
              <w:snapToGrid w:val="0"/>
              <w:spacing w:line="240" w:lineRule="atLeast"/>
              <w:jc w:val="center"/>
              <w:rPr>
                <w:bCs/>
                <w:szCs w:val="21"/>
              </w:rPr>
            </w:pPr>
            <w:r>
              <w:rPr>
                <w:bCs/>
                <w:szCs w:val="21"/>
              </w:rPr>
              <w:t>30m</w:t>
            </w:r>
            <w:r>
              <w:rPr>
                <w:bCs/>
                <w:szCs w:val="21"/>
                <w:vertAlign w:val="superscript"/>
              </w:rPr>
              <w:t>3</w:t>
            </w:r>
          </w:p>
        </w:tc>
        <w:tc>
          <w:tcPr>
            <w:tcW w:w="1355" w:type="dxa"/>
            <w:vMerge/>
            <w:vAlign w:val="center"/>
          </w:tcPr>
          <w:p>
            <w:pPr>
              <w:spacing w:line="240" w:lineRule="atLeast"/>
              <w:jc w:val="center"/>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4</w:t>
            </w:r>
          </w:p>
        </w:tc>
        <w:tc>
          <w:tcPr>
            <w:tcW w:w="609" w:type="dxa"/>
            <w:vMerge/>
            <w:vAlign w:val="center"/>
          </w:tcPr>
          <w:p>
            <w:pPr>
              <w:snapToGrid w:val="0"/>
              <w:spacing w:line="240" w:lineRule="atLeast"/>
              <w:jc w:val="center"/>
              <w:rPr>
                <w:bCs/>
                <w:szCs w:val="21"/>
              </w:rPr>
            </w:pPr>
          </w:p>
        </w:tc>
        <w:tc>
          <w:tcPr>
            <w:tcW w:w="1715" w:type="dxa"/>
            <w:vAlign w:val="center"/>
          </w:tcPr>
          <w:p>
            <w:pPr>
              <w:widowControl/>
              <w:jc w:val="center"/>
            </w:pPr>
            <w:r>
              <w:t>银口木</w:t>
            </w:r>
          </w:p>
          <w:p>
            <w:pPr>
              <w:widowControl/>
              <w:jc w:val="center"/>
              <w:rPr>
                <w:kern w:val="0"/>
                <w:sz w:val="24"/>
              </w:rPr>
            </w:pPr>
            <w:r>
              <w:t>（白蜡）</w:t>
            </w:r>
          </w:p>
        </w:tc>
        <w:tc>
          <w:tcPr>
            <w:tcW w:w="1576" w:type="dxa"/>
          </w:tcPr>
          <w:p>
            <w:pPr>
              <w:jc w:val="center"/>
            </w:pPr>
          </w:p>
        </w:tc>
        <w:tc>
          <w:tcPr>
            <w:tcW w:w="1576" w:type="dxa"/>
            <w:vAlign w:val="center"/>
          </w:tcPr>
          <w:p>
            <w:pPr>
              <w:jc w:val="center"/>
            </w:pPr>
            <w:r>
              <w:t>800m</w:t>
            </w:r>
            <w:r>
              <w:rPr>
                <w:vertAlign w:val="superscript"/>
              </w:rPr>
              <w:t>3</w:t>
            </w:r>
          </w:p>
        </w:tc>
        <w:tc>
          <w:tcPr>
            <w:tcW w:w="1283" w:type="dxa"/>
            <w:vAlign w:val="center"/>
          </w:tcPr>
          <w:p>
            <w:pPr>
              <w:snapToGrid w:val="0"/>
              <w:spacing w:line="240" w:lineRule="atLeast"/>
              <w:jc w:val="center"/>
              <w:rPr>
                <w:bCs/>
                <w:szCs w:val="21"/>
              </w:rPr>
            </w:pPr>
            <w:r>
              <w:rPr>
                <w:bCs/>
                <w:szCs w:val="21"/>
              </w:rPr>
              <w:t>80m</w:t>
            </w:r>
            <w:r>
              <w:rPr>
                <w:bCs/>
                <w:szCs w:val="21"/>
                <w:vertAlign w:val="superscript"/>
              </w:rPr>
              <w:t>3</w:t>
            </w:r>
          </w:p>
        </w:tc>
        <w:tc>
          <w:tcPr>
            <w:tcW w:w="1355" w:type="dxa"/>
            <w:vMerge/>
            <w:vAlign w:val="center"/>
          </w:tcPr>
          <w:p>
            <w:pPr>
              <w:spacing w:line="240" w:lineRule="atLeast"/>
              <w:jc w:val="center"/>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5</w:t>
            </w:r>
          </w:p>
        </w:tc>
        <w:tc>
          <w:tcPr>
            <w:tcW w:w="609" w:type="dxa"/>
            <w:vMerge/>
            <w:vAlign w:val="center"/>
          </w:tcPr>
          <w:p>
            <w:pPr>
              <w:snapToGrid w:val="0"/>
              <w:spacing w:line="240" w:lineRule="atLeast"/>
              <w:jc w:val="center"/>
              <w:rPr>
                <w:bCs/>
                <w:szCs w:val="21"/>
              </w:rPr>
            </w:pPr>
          </w:p>
        </w:tc>
        <w:tc>
          <w:tcPr>
            <w:tcW w:w="1715" w:type="dxa"/>
            <w:vAlign w:val="center"/>
          </w:tcPr>
          <w:p>
            <w:pPr>
              <w:widowControl/>
              <w:jc w:val="center"/>
            </w:pPr>
            <w:r>
              <w:t>木松油</w:t>
            </w:r>
          </w:p>
        </w:tc>
        <w:tc>
          <w:tcPr>
            <w:tcW w:w="1576" w:type="dxa"/>
          </w:tcPr>
          <w:p>
            <w:pPr>
              <w:spacing w:line="360" w:lineRule="auto"/>
              <w:jc w:val="center"/>
            </w:pPr>
            <w:r>
              <w:t>0.5t</w:t>
            </w:r>
          </w:p>
        </w:tc>
        <w:tc>
          <w:tcPr>
            <w:tcW w:w="1576" w:type="dxa"/>
            <w:vAlign w:val="center"/>
          </w:tcPr>
          <w:p>
            <w:pPr>
              <w:jc w:val="center"/>
            </w:pPr>
            <w:r>
              <w:t>25kg/桶</w:t>
            </w:r>
          </w:p>
        </w:tc>
        <w:tc>
          <w:tcPr>
            <w:tcW w:w="1283" w:type="dxa"/>
            <w:vAlign w:val="center"/>
          </w:tcPr>
          <w:p>
            <w:pPr>
              <w:snapToGrid w:val="0"/>
              <w:spacing w:line="240" w:lineRule="atLeast"/>
              <w:jc w:val="center"/>
              <w:rPr>
                <w:bCs/>
                <w:szCs w:val="21"/>
              </w:rPr>
            </w:pPr>
            <w:r>
              <w:rPr>
                <w:bCs/>
                <w:szCs w:val="21"/>
              </w:rPr>
              <w:t>10桶</w:t>
            </w:r>
          </w:p>
        </w:tc>
        <w:tc>
          <w:tcPr>
            <w:tcW w:w="1355" w:type="dxa"/>
            <w:vMerge/>
            <w:vAlign w:val="center"/>
          </w:tcPr>
          <w:p>
            <w:pPr>
              <w:spacing w:line="240" w:lineRule="atLeast"/>
              <w:jc w:val="center"/>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6</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中纤板、集成材等</w:t>
            </w:r>
          </w:p>
        </w:tc>
        <w:tc>
          <w:tcPr>
            <w:tcW w:w="1576" w:type="dxa"/>
            <w:vAlign w:val="center"/>
          </w:tcPr>
          <w:p>
            <w:pPr>
              <w:widowControl/>
              <w:jc w:val="center"/>
            </w:pPr>
            <w:r>
              <w:t>1200×2400mm</w:t>
            </w:r>
          </w:p>
        </w:tc>
        <w:tc>
          <w:tcPr>
            <w:tcW w:w="1576" w:type="dxa"/>
            <w:vAlign w:val="center"/>
          </w:tcPr>
          <w:p>
            <w:pPr>
              <w:widowControl/>
              <w:jc w:val="center"/>
              <w:rPr>
                <w:kern w:val="0"/>
                <w:sz w:val="24"/>
              </w:rPr>
            </w:pPr>
            <w:r>
              <w:t>602000张</w:t>
            </w:r>
          </w:p>
        </w:tc>
        <w:tc>
          <w:tcPr>
            <w:tcW w:w="1283" w:type="dxa"/>
            <w:vAlign w:val="center"/>
          </w:tcPr>
          <w:p>
            <w:pPr>
              <w:snapToGrid w:val="0"/>
              <w:spacing w:line="240" w:lineRule="atLeast"/>
              <w:jc w:val="center"/>
              <w:rPr>
                <w:bCs/>
                <w:szCs w:val="21"/>
              </w:rPr>
            </w:pPr>
            <w:r>
              <w:rPr>
                <w:bCs/>
                <w:szCs w:val="21"/>
              </w:rPr>
              <w:t>60000</w:t>
            </w:r>
            <w:r>
              <w:t>张</w:t>
            </w:r>
          </w:p>
        </w:tc>
        <w:tc>
          <w:tcPr>
            <w:tcW w:w="1355" w:type="dxa"/>
            <w:vMerge w:val="restart"/>
            <w:vAlign w:val="center"/>
          </w:tcPr>
          <w:p>
            <w:pPr>
              <w:spacing w:line="240" w:lineRule="atLeast"/>
              <w:jc w:val="center"/>
            </w:pPr>
            <w:r>
              <w:t>外购，用于板式家具</w:t>
            </w: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7</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热熔胶</w:t>
            </w:r>
          </w:p>
        </w:tc>
        <w:tc>
          <w:tcPr>
            <w:tcW w:w="1576" w:type="dxa"/>
            <w:vAlign w:val="center"/>
          </w:tcPr>
          <w:p>
            <w:pPr>
              <w:snapToGrid w:val="0"/>
              <w:spacing w:line="240" w:lineRule="atLeast"/>
              <w:jc w:val="center"/>
              <w:rPr>
                <w:bCs/>
                <w:szCs w:val="21"/>
              </w:rPr>
            </w:pPr>
            <w:r>
              <w:rPr>
                <w:bCs/>
                <w:szCs w:val="21"/>
              </w:rPr>
              <w:t>25kg/袋</w:t>
            </w:r>
          </w:p>
        </w:tc>
        <w:tc>
          <w:tcPr>
            <w:tcW w:w="1576" w:type="dxa"/>
            <w:vAlign w:val="center"/>
          </w:tcPr>
          <w:p>
            <w:pPr>
              <w:snapToGrid w:val="0"/>
              <w:spacing w:line="240" w:lineRule="atLeast"/>
              <w:jc w:val="center"/>
              <w:rPr>
                <w:bCs/>
                <w:szCs w:val="21"/>
              </w:rPr>
            </w:pPr>
            <w:r>
              <w:rPr>
                <w:bCs/>
                <w:szCs w:val="21"/>
              </w:rPr>
              <w:t>15t/a</w:t>
            </w:r>
          </w:p>
        </w:tc>
        <w:tc>
          <w:tcPr>
            <w:tcW w:w="1283" w:type="dxa"/>
            <w:vAlign w:val="center"/>
          </w:tcPr>
          <w:p>
            <w:pPr>
              <w:snapToGrid w:val="0"/>
              <w:spacing w:line="240" w:lineRule="atLeast"/>
              <w:jc w:val="center"/>
              <w:rPr>
                <w:bCs/>
                <w:szCs w:val="21"/>
              </w:rPr>
            </w:pPr>
            <w:r>
              <w:rPr>
                <w:bCs/>
                <w:szCs w:val="21"/>
              </w:rPr>
              <w:t>10袋</w:t>
            </w:r>
          </w:p>
        </w:tc>
        <w:tc>
          <w:tcPr>
            <w:tcW w:w="1355" w:type="dxa"/>
            <w:vMerge/>
          </w:tcPr>
          <w:p>
            <w:pPr>
              <w:spacing w:line="240" w:lineRule="atLeast"/>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8</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吸塑膜</w:t>
            </w:r>
          </w:p>
        </w:tc>
        <w:tc>
          <w:tcPr>
            <w:tcW w:w="1576" w:type="dxa"/>
            <w:vAlign w:val="center"/>
          </w:tcPr>
          <w:p>
            <w:pPr>
              <w:spacing w:line="240" w:lineRule="atLeast"/>
              <w:jc w:val="center"/>
              <w:rPr>
                <w:bCs/>
                <w:kern w:val="0"/>
                <w:szCs w:val="21"/>
              </w:rPr>
            </w:pPr>
            <w:r>
              <w:rPr>
                <w:bCs/>
                <w:kern w:val="0"/>
                <w:szCs w:val="21"/>
              </w:rPr>
              <w:t>1.4×80m</w:t>
            </w:r>
          </w:p>
        </w:tc>
        <w:tc>
          <w:tcPr>
            <w:tcW w:w="1576" w:type="dxa"/>
            <w:vAlign w:val="center"/>
          </w:tcPr>
          <w:p>
            <w:pPr>
              <w:spacing w:line="240" w:lineRule="atLeast"/>
              <w:jc w:val="center"/>
            </w:pPr>
            <w:r>
              <w:t>4500卷</w:t>
            </w:r>
          </w:p>
        </w:tc>
        <w:tc>
          <w:tcPr>
            <w:tcW w:w="1283" w:type="dxa"/>
            <w:vAlign w:val="center"/>
          </w:tcPr>
          <w:p>
            <w:pPr>
              <w:spacing w:line="240" w:lineRule="atLeast"/>
              <w:jc w:val="center"/>
              <w:rPr>
                <w:szCs w:val="21"/>
              </w:rPr>
            </w:pPr>
            <w:r>
              <w:rPr>
                <w:szCs w:val="21"/>
              </w:rPr>
              <w:t>100卷</w:t>
            </w:r>
          </w:p>
        </w:tc>
        <w:tc>
          <w:tcPr>
            <w:tcW w:w="1355" w:type="dxa"/>
            <w:vMerge/>
          </w:tcPr>
          <w:p>
            <w:pPr>
              <w:spacing w:line="240" w:lineRule="atLeast"/>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9</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吸塑胶</w:t>
            </w:r>
          </w:p>
        </w:tc>
        <w:tc>
          <w:tcPr>
            <w:tcW w:w="1576" w:type="dxa"/>
            <w:vAlign w:val="center"/>
          </w:tcPr>
          <w:p>
            <w:pPr>
              <w:spacing w:line="240" w:lineRule="atLeast"/>
              <w:jc w:val="center"/>
            </w:pPr>
            <w:r>
              <w:t>20kg/桶</w:t>
            </w:r>
          </w:p>
        </w:tc>
        <w:tc>
          <w:tcPr>
            <w:tcW w:w="1576" w:type="dxa"/>
            <w:vAlign w:val="center"/>
          </w:tcPr>
          <w:p>
            <w:pPr>
              <w:spacing w:line="240" w:lineRule="atLeast"/>
              <w:jc w:val="center"/>
            </w:pPr>
            <w:r>
              <w:t>36t/a</w:t>
            </w:r>
          </w:p>
        </w:tc>
        <w:tc>
          <w:tcPr>
            <w:tcW w:w="1283" w:type="dxa"/>
            <w:vAlign w:val="center"/>
          </w:tcPr>
          <w:p>
            <w:pPr>
              <w:snapToGrid w:val="0"/>
              <w:spacing w:line="240" w:lineRule="atLeast"/>
              <w:jc w:val="center"/>
              <w:rPr>
                <w:bCs/>
                <w:szCs w:val="21"/>
              </w:rPr>
            </w:pPr>
            <w:r>
              <w:rPr>
                <w:bCs/>
                <w:szCs w:val="21"/>
              </w:rPr>
              <w:t>50桶</w:t>
            </w:r>
          </w:p>
        </w:tc>
        <w:tc>
          <w:tcPr>
            <w:tcW w:w="1355" w:type="dxa"/>
            <w:vMerge/>
          </w:tcPr>
          <w:p>
            <w:pPr>
              <w:spacing w:line="240" w:lineRule="atLeast"/>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10</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铝型材</w:t>
            </w:r>
          </w:p>
        </w:tc>
        <w:tc>
          <w:tcPr>
            <w:tcW w:w="1576" w:type="dxa"/>
            <w:vAlign w:val="center"/>
          </w:tcPr>
          <w:p>
            <w:pPr>
              <w:spacing w:line="240" w:lineRule="atLeast"/>
              <w:jc w:val="center"/>
            </w:pPr>
            <w:r>
              <w:t>10t</w:t>
            </w:r>
          </w:p>
        </w:tc>
        <w:tc>
          <w:tcPr>
            <w:tcW w:w="1576" w:type="dxa"/>
            <w:vAlign w:val="center"/>
          </w:tcPr>
          <w:p>
            <w:pPr>
              <w:spacing w:line="240" w:lineRule="atLeast"/>
              <w:jc w:val="center"/>
            </w:pPr>
            <w:r>
              <w:t>/</w:t>
            </w:r>
          </w:p>
        </w:tc>
        <w:tc>
          <w:tcPr>
            <w:tcW w:w="1283" w:type="dxa"/>
            <w:vAlign w:val="center"/>
          </w:tcPr>
          <w:p>
            <w:pPr>
              <w:snapToGrid w:val="0"/>
              <w:spacing w:line="240" w:lineRule="atLeast"/>
              <w:jc w:val="center"/>
              <w:rPr>
                <w:bCs/>
                <w:szCs w:val="21"/>
              </w:rPr>
            </w:pPr>
            <w:r>
              <w:rPr>
                <w:bCs/>
                <w:szCs w:val="21"/>
              </w:rPr>
              <w:t>1t</w:t>
            </w:r>
          </w:p>
        </w:tc>
        <w:tc>
          <w:tcPr>
            <w:tcW w:w="1355" w:type="dxa"/>
            <w:vMerge/>
          </w:tcPr>
          <w:p>
            <w:pPr>
              <w:spacing w:line="240" w:lineRule="atLeast"/>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11</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包装</w:t>
            </w:r>
          </w:p>
        </w:tc>
        <w:tc>
          <w:tcPr>
            <w:tcW w:w="1576" w:type="dxa"/>
            <w:vAlign w:val="center"/>
          </w:tcPr>
          <w:p>
            <w:pPr>
              <w:spacing w:line="240" w:lineRule="atLeast"/>
              <w:jc w:val="center"/>
            </w:pPr>
            <w:r>
              <w:t>1200×800mm</w:t>
            </w:r>
          </w:p>
        </w:tc>
        <w:tc>
          <w:tcPr>
            <w:tcW w:w="1576" w:type="dxa"/>
            <w:vAlign w:val="center"/>
          </w:tcPr>
          <w:p>
            <w:pPr>
              <w:spacing w:line="240" w:lineRule="atLeast"/>
              <w:jc w:val="center"/>
            </w:pPr>
            <w:r>
              <w:t>200000张</w:t>
            </w:r>
          </w:p>
        </w:tc>
        <w:tc>
          <w:tcPr>
            <w:tcW w:w="1283" w:type="dxa"/>
            <w:vAlign w:val="center"/>
          </w:tcPr>
          <w:p>
            <w:pPr>
              <w:snapToGrid w:val="0"/>
              <w:spacing w:line="240" w:lineRule="atLeast"/>
              <w:jc w:val="center"/>
              <w:rPr>
                <w:bCs/>
                <w:szCs w:val="21"/>
              </w:rPr>
            </w:pPr>
            <w:r>
              <w:rPr>
                <w:bCs/>
                <w:szCs w:val="21"/>
              </w:rPr>
              <w:t>20000张</w:t>
            </w:r>
          </w:p>
        </w:tc>
        <w:tc>
          <w:tcPr>
            <w:tcW w:w="1355" w:type="dxa"/>
            <w:vMerge/>
          </w:tcPr>
          <w:p>
            <w:pPr>
              <w:spacing w:line="240" w:lineRule="atLeast"/>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12</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五金件</w:t>
            </w:r>
          </w:p>
        </w:tc>
        <w:tc>
          <w:tcPr>
            <w:tcW w:w="1576" w:type="dxa"/>
            <w:vAlign w:val="center"/>
          </w:tcPr>
          <w:p>
            <w:pPr>
              <w:spacing w:line="240" w:lineRule="atLeast"/>
              <w:jc w:val="center"/>
            </w:pPr>
            <w:r>
              <w:t>铰链、滑轨、气撑、拉手</w:t>
            </w:r>
          </w:p>
        </w:tc>
        <w:tc>
          <w:tcPr>
            <w:tcW w:w="1576" w:type="dxa"/>
            <w:vAlign w:val="center"/>
          </w:tcPr>
          <w:p>
            <w:pPr>
              <w:spacing w:line="240" w:lineRule="atLeast"/>
              <w:jc w:val="center"/>
            </w:pPr>
            <w:r>
              <w:t>根据家具配套</w:t>
            </w:r>
          </w:p>
        </w:tc>
        <w:tc>
          <w:tcPr>
            <w:tcW w:w="1283" w:type="dxa"/>
            <w:vAlign w:val="center"/>
          </w:tcPr>
          <w:p>
            <w:pPr>
              <w:snapToGrid w:val="0"/>
              <w:spacing w:line="240" w:lineRule="atLeast"/>
              <w:jc w:val="center"/>
              <w:rPr>
                <w:bCs/>
                <w:szCs w:val="21"/>
              </w:rPr>
            </w:pPr>
            <w:r>
              <w:rPr>
                <w:bCs/>
                <w:szCs w:val="21"/>
              </w:rPr>
              <w:t>按需采买</w:t>
            </w:r>
          </w:p>
        </w:tc>
        <w:tc>
          <w:tcPr>
            <w:tcW w:w="1355" w:type="dxa"/>
            <w:vMerge/>
          </w:tcPr>
          <w:p>
            <w:pPr>
              <w:spacing w:line="240" w:lineRule="atLeast"/>
            </w:pP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13</w:t>
            </w: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液压油</w:t>
            </w:r>
          </w:p>
        </w:tc>
        <w:tc>
          <w:tcPr>
            <w:tcW w:w="1576" w:type="dxa"/>
            <w:vAlign w:val="center"/>
          </w:tcPr>
          <w:p>
            <w:pPr>
              <w:spacing w:line="240" w:lineRule="atLeast"/>
              <w:jc w:val="center"/>
            </w:pPr>
            <w:r>
              <w:t>0.2t</w:t>
            </w:r>
          </w:p>
        </w:tc>
        <w:tc>
          <w:tcPr>
            <w:tcW w:w="1576" w:type="dxa"/>
            <w:vAlign w:val="center"/>
          </w:tcPr>
          <w:p>
            <w:pPr>
              <w:spacing w:line="240" w:lineRule="atLeast"/>
              <w:jc w:val="center"/>
            </w:pPr>
            <w:r>
              <w:t>0.2t</w:t>
            </w:r>
          </w:p>
        </w:tc>
        <w:tc>
          <w:tcPr>
            <w:tcW w:w="1283" w:type="dxa"/>
            <w:vAlign w:val="center"/>
          </w:tcPr>
          <w:p>
            <w:pPr>
              <w:snapToGrid w:val="0"/>
              <w:spacing w:line="240" w:lineRule="atLeast"/>
              <w:jc w:val="center"/>
              <w:rPr>
                <w:bCs/>
                <w:szCs w:val="21"/>
              </w:rPr>
            </w:pPr>
            <w:r>
              <w:rPr>
                <w:bCs/>
                <w:szCs w:val="21"/>
              </w:rPr>
              <w:t>/</w:t>
            </w:r>
          </w:p>
        </w:tc>
        <w:tc>
          <w:tcPr>
            <w:tcW w:w="1355" w:type="dxa"/>
            <w:vAlign w:val="center"/>
          </w:tcPr>
          <w:p>
            <w:pPr>
              <w:spacing w:line="240" w:lineRule="atLeast"/>
              <w:jc w:val="center"/>
            </w:pPr>
            <w:r>
              <w:t>设备保养</w:t>
            </w: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r>
              <w:rPr>
                <w:bCs/>
                <w:szCs w:val="21"/>
              </w:rPr>
              <w:t>14</w:t>
            </w:r>
          </w:p>
        </w:tc>
        <w:tc>
          <w:tcPr>
            <w:tcW w:w="609" w:type="dxa"/>
            <w:vMerge w:val="restart"/>
            <w:vAlign w:val="center"/>
          </w:tcPr>
          <w:p>
            <w:pPr>
              <w:snapToGrid w:val="0"/>
              <w:spacing w:line="240" w:lineRule="atLeast"/>
              <w:jc w:val="center"/>
              <w:rPr>
                <w:bCs/>
                <w:szCs w:val="21"/>
              </w:rPr>
            </w:pPr>
            <w:r>
              <w:rPr>
                <w:bCs/>
                <w:szCs w:val="21"/>
              </w:rPr>
              <w:t>能源</w:t>
            </w:r>
          </w:p>
        </w:tc>
        <w:tc>
          <w:tcPr>
            <w:tcW w:w="1715" w:type="dxa"/>
            <w:vAlign w:val="center"/>
          </w:tcPr>
          <w:p>
            <w:pPr>
              <w:adjustRightInd w:val="0"/>
              <w:snapToGrid w:val="0"/>
              <w:spacing w:line="240" w:lineRule="atLeast"/>
              <w:jc w:val="center"/>
              <w:rPr>
                <w:bCs/>
                <w:szCs w:val="21"/>
              </w:rPr>
            </w:pPr>
            <w:r>
              <w:rPr>
                <w:bCs/>
                <w:szCs w:val="21"/>
              </w:rPr>
              <w:t>水</w:t>
            </w:r>
          </w:p>
        </w:tc>
        <w:tc>
          <w:tcPr>
            <w:tcW w:w="1576" w:type="dxa"/>
          </w:tcPr>
          <w:p>
            <w:pPr>
              <w:snapToGrid w:val="0"/>
              <w:spacing w:line="240" w:lineRule="atLeast"/>
              <w:jc w:val="center"/>
              <w:rPr>
                <w:bCs/>
                <w:szCs w:val="21"/>
              </w:rPr>
            </w:pPr>
          </w:p>
        </w:tc>
        <w:tc>
          <w:tcPr>
            <w:tcW w:w="1576" w:type="dxa"/>
            <w:vAlign w:val="center"/>
          </w:tcPr>
          <w:p>
            <w:pPr>
              <w:snapToGrid w:val="0"/>
              <w:spacing w:line="240" w:lineRule="atLeast"/>
              <w:jc w:val="center"/>
              <w:rPr>
                <w:bCs/>
                <w:szCs w:val="21"/>
              </w:rPr>
            </w:pPr>
            <w:r>
              <w:rPr>
                <w:bCs/>
                <w:szCs w:val="21"/>
              </w:rPr>
              <w:t>630m</w:t>
            </w:r>
            <w:r>
              <w:rPr>
                <w:bCs/>
                <w:szCs w:val="21"/>
                <w:vertAlign w:val="superscript"/>
              </w:rPr>
              <w:t>3</w:t>
            </w:r>
            <w:r>
              <w:rPr>
                <w:bCs/>
                <w:szCs w:val="21"/>
              </w:rPr>
              <w:t>/a</w:t>
            </w:r>
          </w:p>
        </w:tc>
        <w:tc>
          <w:tcPr>
            <w:tcW w:w="1283" w:type="dxa"/>
            <w:vAlign w:val="center"/>
          </w:tcPr>
          <w:p>
            <w:pPr>
              <w:snapToGrid w:val="0"/>
              <w:spacing w:line="240" w:lineRule="atLeast"/>
              <w:jc w:val="center"/>
              <w:rPr>
                <w:bCs/>
                <w:szCs w:val="21"/>
              </w:rPr>
            </w:pPr>
            <w:r>
              <w:rPr>
                <w:bCs/>
                <w:szCs w:val="21"/>
              </w:rPr>
              <w:t>/</w:t>
            </w:r>
          </w:p>
        </w:tc>
        <w:tc>
          <w:tcPr>
            <w:tcW w:w="1355" w:type="dxa"/>
          </w:tcPr>
          <w:p>
            <w:pPr>
              <w:spacing w:line="240" w:lineRule="atLeast"/>
            </w:pPr>
            <w:r>
              <w:t>自来水供水</w:t>
            </w:r>
          </w:p>
        </w:tc>
      </w:tr>
      <w:tr>
        <w:tblPrEx>
          <w:tblW w:w="4785" w:type="pct"/>
          <w:jc w:val="center"/>
          <w:tblLayout w:type="fixed"/>
          <w:tblCellMar>
            <w:top w:w="57" w:type="dxa"/>
            <w:left w:w="108" w:type="dxa"/>
            <w:bottom w:w="57" w:type="dxa"/>
            <w:right w:w="108" w:type="dxa"/>
          </w:tblCellMar>
          <w:tblLook w:val="0000"/>
        </w:tblPrEx>
        <w:trPr>
          <w:trHeight w:val="284"/>
          <w:jc w:val="center"/>
        </w:trPr>
        <w:tc>
          <w:tcPr>
            <w:tcW w:w="719" w:type="dxa"/>
            <w:vAlign w:val="center"/>
          </w:tcPr>
          <w:p>
            <w:pPr>
              <w:snapToGrid w:val="0"/>
              <w:spacing w:line="240" w:lineRule="atLeast"/>
              <w:jc w:val="center"/>
              <w:rPr>
                <w:bCs/>
                <w:szCs w:val="21"/>
              </w:rPr>
            </w:pPr>
          </w:p>
        </w:tc>
        <w:tc>
          <w:tcPr>
            <w:tcW w:w="609" w:type="dxa"/>
            <w:vMerge/>
            <w:vAlign w:val="center"/>
          </w:tcPr>
          <w:p>
            <w:pPr>
              <w:snapToGrid w:val="0"/>
              <w:spacing w:line="240" w:lineRule="atLeast"/>
              <w:jc w:val="center"/>
              <w:rPr>
                <w:bCs/>
                <w:szCs w:val="21"/>
              </w:rPr>
            </w:pPr>
          </w:p>
        </w:tc>
        <w:tc>
          <w:tcPr>
            <w:tcW w:w="1715" w:type="dxa"/>
            <w:vAlign w:val="center"/>
          </w:tcPr>
          <w:p>
            <w:pPr>
              <w:adjustRightInd w:val="0"/>
              <w:snapToGrid w:val="0"/>
              <w:spacing w:line="240" w:lineRule="atLeast"/>
              <w:jc w:val="center"/>
              <w:rPr>
                <w:bCs/>
                <w:szCs w:val="21"/>
              </w:rPr>
            </w:pPr>
            <w:r>
              <w:rPr>
                <w:bCs/>
                <w:szCs w:val="21"/>
              </w:rPr>
              <w:t>电</w:t>
            </w:r>
          </w:p>
        </w:tc>
        <w:tc>
          <w:tcPr>
            <w:tcW w:w="1576" w:type="dxa"/>
          </w:tcPr>
          <w:p>
            <w:pPr>
              <w:snapToGrid w:val="0"/>
              <w:spacing w:line="240" w:lineRule="atLeast"/>
              <w:jc w:val="center"/>
              <w:rPr>
                <w:bCs/>
                <w:szCs w:val="21"/>
              </w:rPr>
            </w:pPr>
          </w:p>
        </w:tc>
        <w:tc>
          <w:tcPr>
            <w:tcW w:w="1576" w:type="dxa"/>
            <w:vAlign w:val="center"/>
          </w:tcPr>
          <w:p>
            <w:pPr>
              <w:snapToGrid w:val="0"/>
              <w:spacing w:line="240" w:lineRule="atLeast"/>
              <w:jc w:val="center"/>
              <w:rPr>
                <w:bCs/>
                <w:szCs w:val="21"/>
              </w:rPr>
            </w:pPr>
            <w:r>
              <w:rPr>
                <w:bCs/>
                <w:szCs w:val="21"/>
              </w:rPr>
              <w:t>50万度</w:t>
            </w:r>
          </w:p>
        </w:tc>
        <w:tc>
          <w:tcPr>
            <w:tcW w:w="1283" w:type="dxa"/>
            <w:vAlign w:val="center"/>
          </w:tcPr>
          <w:p>
            <w:pPr>
              <w:snapToGrid w:val="0"/>
              <w:spacing w:line="240" w:lineRule="atLeast"/>
              <w:jc w:val="center"/>
              <w:rPr>
                <w:bCs/>
                <w:szCs w:val="21"/>
              </w:rPr>
            </w:pPr>
            <w:r>
              <w:rPr>
                <w:bCs/>
                <w:szCs w:val="21"/>
              </w:rPr>
              <w:t>/</w:t>
            </w:r>
          </w:p>
        </w:tc>
        <w:tc>
          <w:tcPr>
            <w:tcW w:w="1355" w:type="dxa"/>
          </w:tcPr>
          <w:p>
            <w:pPr>
              <w:spacing w:line="240" w:lineRule="atLeast"/>
            </w:pPr>
            <w:r>
              <w:t>当地供电局供电</w:t>
            </w:r>
          </w:p>
        </w:tc>
      </w:tr>
    </w:tbl>
    <w:p>
      <w:pPr>
        <w:adjustRightInd w:val="0"/>
        <w:snapToGrid w:val="0"/>
        <w:spacing w:line="360" w:lineRule="auto"/>
        <w:ind w:firstLine="560" w:firstLineChars="200"/>
        <w:jc w:val="left"/>
        <w:rPr>
          <w:snapToGrid w:val="0"/>
          <w:sz w:val="28"/>
          <w:szCs w:val="28"/>
        </w:rPr>
      </w:pPr>
      <w:r>
        <w:rPr>
          <w:snapToGrid w:val="0"/>
          <w:sz w:val="28"/>
          <w:szCs w:val="28"/>
        </w:rPr>
        <w:t>2、本项目的</w:t>
      </w:r>
      <w:r>
        <w:rPr>
          <w:sz w:val="28"/>
          <w:szCs w:val="28"/>
        </w:rPr>
        <w:t>产品方案</w:t>
      </w:r>
      <w:r>
        <w:rPr>
          <w:snapToGrid w:val="0"/>
          <w:sz w:val="28"/>
          <w:szCs w:val="28"/>
        </w:rPr>
        <w:t>一览表如下。</w:t>
      </w:r>
    </w:p>
    <w:p>
      <w:pPr>
        <w:adjustRightInd w:val="0"/>
        <w:snapToGrid w:val="0"/>
        <w:spacing w:line="360" w:lineRule="auto"/>
        <w:ind w:firstLine="560" w:firstLineChars="200"/>
        <w:jc w:val="center"/>
        <w:rPr>
          <w:rFonts w:hint="eastAsia"/>
          <w:b/>
          <w:snapToGrid w:val="0"/>
          <w:sz w:val="28"/>
          <w:szCs w:val="28"/>
        </w:rPr>
      </w:pPr>
      <w:r>
        <w:rPr>
          <w:b/>
          <w:snapToGrid w:val="0"/>
          <w:sz w:val="28"/>
          <w:szCs w:val="28"/>
        </w:rPr>
        <w:t>表2</w:t>
      </w:r>
      <w:r>
        <w:rPr>
          <w:rFonts w:hint="eastAsia"/>
          <w:b/>
          <w:snapToGrid w:val="0"/>
          <w:sz w:val="28"/>
          <w:szCs w:val="28"/>
        </w:rPr>
        <w:t>.4-2</w:t>
      </w:r>
      <w:r>
        <w:rPr>
          <w:b/>
          <w:snapToGrid w:val="0"/>
          <w:sz w:val="28"/>
          <w:szCs w:val="28"/>
        </w:rPr>
        <w:t>产品方案一览表</w:t>
      </w:r>
    </w:p>
    <w:tbl>
      <w:tblPr>
        <w:tblStyle w:val="TableNormal"/>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08" w:type="dxa"/>
          <w:bottom w:w="57" w:type="dxa"/>
          <w:right w:w="108" w:type="dxa"/>
        </w:tblCellMar>
        <w:tblLook w:val="0000"/>
      </w:tblPr>
      <w:tblGrid>
        <w:gridCol w:w="1520"/>
        <w:gridCol w:w="2437"/>
        <w:gridCol w:w="3441"/>
        <w:gridCol w:w="1740"/>
      </w:tblGrid>
      <w:tr>
        <w:tblPrEx>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08" w:type="dxa"/>
            <w:bottom w:w="57" w:type="dxa"/>
            <w:right w:w="108" w:type="dxa"/>
          </w:tblCellMar>
          <w:tblLook w:val="0000"/>
        </w:tblPrEx>
        <w:trPr>
          <w:trHeight w:val="397"/>
        </w:trPr>
        <w:tc>
          <w:tcPr>
            <w:tcW w:w="1503" w:type="dxa"/>
            <w:vAlign w:val="center"/>
          </w:tcPr>
          <w:p>
            <w:pPr>
              <w:spacing w:line="240" w:lineRule="atLeast"/>
              <w:jc w:val="center"/>
              <w:rPr>
                <w:kern w:val="44"/>
                <w:szCs w:val="21"/>
              </w:rPr>
            </w:pPr>
            <w:r>
              <w:rPr>
                <w:kern w:val="44"/>
                <w:szCs w:val="21"/>
              </w:rPr>
              <w:t>产品名称</w:t>
            </w:r>
          </w:p>
        </w:tc>
        <w:tc>
          <w:tcPr>
            <w:tcW w:w="2410" w:type="dxa"/>
            <w:vAlign w:val="center"/>
          </w:tcPr>
          <w:p>
            <w:pPr>
              <w:spacing w:line="240" w:lineRule="atLeast"/>
              <w:jc w:val="center"/>
              <w:rPr>
                <w:kern w:val="44"/>
                <w:szCs w:val="21"/>
              </w:rPr>
            </w:pPr>
            <w:r>
              <w:rPr>
                <w:kern w:val="44"/>
                <w:szCs w:val="21"/>
              </w:rPr>
              <w:t>年产量</w:t>
            </w:r>
            <w:r>
              <w:rPr>
                <w:bCs/>
                <w:kern w:val="44"/>
                <w:szCs w:val="21"/>
              </w:rPr>
              <w:t>（套/年）</w:t>
            </w:r>
          </w:p>
        </w:tc>
        <w:tc>
          <w:tcPr>
            <w:tcW w:w="3402" w:type="dxa"/>
            <w:vAlign w:val="center"/>
          </w:tcPr>
          <w:p>
            <w:pPr>
              <w:spacing w:line="240" w:lineRule="atLeast"/>
              <w:jc w:val="center"/>
              <w:rPr>
                <w:kern w:val="44"/>
                <w:szCs w:val="21"/>
              </w:rPr>
            </w:pPr>
            <w:r>
              <w:rPr>
                <w:kern w:val="44"/>
                <w:szCs w:val="21"/>
              </w:rPr>
              <w:t>用途</w:t>
            </w:r>
          </w:p>
        </w:tc>
        <w:tc>
          <w:tcPr>
            <w:tcW w:w="1720" w:type="dxa"/>
            <w:vAlign w:val="center"/>
          </w:tcPr>
          <w:p>
            <w:pPr>
              <w:spacing w:line="240" w:lineRule="atLeast"/>
              <w:jc w:val="center"/>
              <w:rPr>
                <w:kern w:val="44"/>
                <w:szCs w:val="21"/>
              </w:rPr>
            </w:pPr>
            <w:r>
              <w:rPr>
                <w:kern w:val="44"/>
                <w:szCs w:val="21"/>
              </w:rPr>
              <w:t>备注</w:t>
            </w:r>
          </w:p>
        </w:tc>
      </w:tr>
      <w:tr>
        <w:tblPrEx>
          <w:tblW w:w="4950" w:type="pct"/>
          <w:tblLayout w:type="fixed"/>
          <w:tblCellMar>
            <w:top w:w="57" w:type="dxa"/>
            <w:left w:w="108" w:type="dxa"/>
            <w:bottom w:w="57" w:type="dxa"/>
            <w:right w:w="108" w:type="dxa"/>
          </w:tblCellMar>
          <w:tblLook w:val="0000"/>
        </w:tblPrEx>
        <w:trPr>
          <w:trHeight w:val="301"/>
        </w:trPr>
        <w:tc>
          <w:tcPr>
            <w:tcW w:w="1503" w:type="dxa"/>
            <w:vMerge w:val="restart"/>
            <w:vAlign w:val="center"/>
          </w:tcPr>
          <w:p>
            <w:pPr>
              <w:spacing w:line="240" w:lineRule="atLeast"/>
              <w:jc w:val="center"/>
              <w:rPr>
                <w:kern w:val="44"/>
                <w:szCs w:val="21"/>
              </w:rPr>
            </w:pPr>
            <w:r>
              <w:rPr>
                <w:bCs/>
                <w:iCs/>
                <w:kern w:val="44"/>
                <w:szCs w:val="21"/>
              </w:rPr>
              <w:t>定制板式家具</w:t>
            </w:r>
          </w:p>
        </w:tc>
        <w:tc>
          <w:tcPr>
            <w:tcW w:w="2410" w:type="dxa"/>
            <w:vMerge w:val="restart"/>
            <w:vAlign w:val="center"/>
          </w:tcPr>
          <w:p>
            <w:pPr>
              <w:spacing w:line="240" w:lineRule="atLeast"/>
              <w:jc w:val="center"/>
              <w:rPr>
                <w:kern w:val="44"/>
                <w:szCs w:val="21"/>
              </w:rPr>
            </w:pPr>
            <w:r>
              <w:rPr>
                <w:kern w:val="44"/>
                <w:szCs w:val="21"/>
              </w:rPr>
              <w:t>100000</w:t>
            </w:r>
          </w:p>
        </w:tc>
        <w:tc>
          <w:tcPr>
            <w:tcW w:w="3402" w:type="dxa"/>
            <w:vAlign w:val="center"/>
          </w:tcPr>
          <w:p>
            <w:pPr>
              <w:spacing w:line="240" w:lineRule="atLeast"/>
              <w:jc w:val="center"/>
              <w:rPr>
                <w:kern w:val="44"/>
                <w:szCs w:val="21"/>
              </w:rPr>
            </w:pPr>
            <w:r>
              <w:rPr>
                <w:szCs w:val="21"/>
              </w:rPr>
              <w:t>家具顶板、底板、隔板</w:t>
            </w:r>
          </w:p>
        </w:tc>
        <w:tc>
          <w:tcPr>
            <w:tcW w:w="1720" w:type="dxa"/>
            <w:vAlign w:val="center"/>
          </w:tcPr>
          <w:p>
            <w:pPr>
              <w:spacing w:line="240" w:lineRule="atLeast"/>
              <w:jc w:val="center"/>
              <w:rPr>
                <w:kern w:val="44"/>
                <w:szCs w:val="21"/>
              </w:rPr>
            </w:pPr>
            <w:r>
              <w:rPr>
                <w:kern w:val="44"/>
                <w:szCs w:val="21"/>
              </w:rPr>
              <w:t>约15m</w:t>
            </w:r>
            <w:r>
              <w:rPr>
                <w:kern w:val="44"/>
                <w:szCs w:val="21"/>
                <w:vertAlign w:val="superscript"/>
              </w:rPr>
              <w:t>2</w:t>
            </w:r>
          </w:p>
        </w:tc>
      </w:tr>
      <w:tr>
        <w:tblPrEx>
          <w:tblW w:w="4950" w:type="pct"/>
          <w:tblLayout w:type="fixed"/>
          <w:tblCellMar>
            <w:top w:w="57" w:type="dxa"/>
            <w:left w:w="108" w:type="dxa"/>
            <w:bottom w:w="57" w:type="dxa"/>
            <w:right w:w="108" w:type="dxa"/>
          </w:tblCellMar>
          <w:tblLook w:val="0000"/>
        </w:tblPrEx>
        <w:trPr>
          <w:trHeight w:val="335"/>
        </w:trPr>
        <w:tc>
          <w:tcPr>
            <w:tcW w:w="1503" w:type="dxa"/>
            <w:vMerge/>
            <w:vAlign w:val="center"/>
          </w:tcPr>
          <w:p>
            <w:pPr>
              <w:spacing w:line="240" w:lineRule="atLeast"/>
              <w:jc w:val="center"/>
              <w:rPr>
                <w:bCs/>
                <w:iCs/>
                <w:kern w:val="44"/>
                <w:szCs w:val="21"/>
              </w:rPr>
            </w:pPr>
          </w:p>
        </w:tc>
        <w:tc>
          <w:tcPr>
            <w:tcW w:w="2410" w:type="dxa"/>
            <w:vMerge/>
            <w:vAlign w:val="center"/>
          </w:tcPr>
          <w:p>
            <w:pPr>
              <w:spacing w:line="240" w:lineRule="atLeast"/>
              <w:jc w:val="center"/>
              <w:rPr>
                <w:kern w:val="44"/>
                <w:szCs w:val="21"/>
              </w:rPr>
            </w:pPr>
          </w:p>
        </w:tc>
        <w:tc>
          <w:tcPr>
            <w:tcW w:w="3402" w:type="dxa"/>
            <w:vAlign w:val="center"/>
          </w:tcPr>
          <w:p>
            <w:pPr>
              <w:spacing w:line="240" w:lineRule="atLeast"/>
              <w:jc w:val="center"/>
              <w:rPr>
                <w:kern w:val="44"/>
                <w:szCs w:val="21"/>
              </w:rPr>
            </w:pPr>
            <w:r>
              <w:rPr>
                <w:szCs w:val="21"/>
              </w:rPr>
              <w:t>家具门板</w:t>
            </w:r>
          </w:p>
        </w:tc>
        <w:tc>
          <w:tcPr>
            <w:tcW w:w="1720" w:type="dxa"/>
            <w:vAlign w:val="center"/>
          </w:tcPr>
          <w:p>
            <w:pPr>
              <w:spacing w:line="240" w:lineRule="atLeast"/>
              <w:jc w:val="center"/>
              <w:rPr>
                <w:kern w:val="44"/>
                <w:szCs w:val="21"/>
              </w:rPr>
            </w:pPr>
            <w:r>
              <w:rPr>
                <w:kern w:val="44"/>
                <w:szCs w:val="21"/>
              </w:rPr>
              <w:t>约5m</w:t>
            </w:r>
            <w:r>
              <w:rPr>
                <w:kern w:val="44"/>
                <w:szCs w:val="21"/>
                <w:vertAlign w:val="superscript"/>
              </w:rPr>
              <w:t>2</w:t>
            </w:r>
          </w:p>
        </w:tc>
      </w:tr>
    </w:tbl>
    <w:p>
      <w:pPr>
        <w:sectPr>
          <w:headerReference w:type="default" r:id="rId40"/>
          <w:footerReference w:type="default" r:id="rId41"/>
          <w:type w:val="nextPage"/>
          <w:pgSz w:w="11906" w:h="16838"/>
          <w:pgMar w:top="1418" w:right="1418" w:bottom="1361" w:left="1474" w:header="993" w:footer="980" w:gutter="0"/>
          <w:pgNumType w:start="13"/>
          <w:cols w:space="708"/>
          <w:titlePg w:val="0"/>
          <w:docGrid w:type="lines" w:linePitch="312"/>
        </w:sectPr>
      </w:pPr>
    </w:p>
    <w:tbl>
      <w:tblPr>
        <w:tblStyle w:val="TableNormal"/>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08" w:type="dxa"/>
          <w:bottom w:w="57" w:type="dxa"/>
          <w:right w:w="108" w:type="dxa"/>
        </w:tblCellMar>
        <w:tblLook w:val="0000"/>
      </w:tblPr>
      <w:tblGrid>
        <w:gridCol w:w="1520"/>
        <w:gridCol w:w="2437"/>
        <w:gridCol w:w="3441"/>
        <w:gridCol w:w="1740"/>
      </w:tblGrid>
      <w:tr>
        <w:tblPrEx>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08" w:type="dxa"/>
            <w:bottom w:w="57" w:type="dxa"/>
            <w:right w:w="108" w:type="dxa"/>
          </w:tblCellMar>
          <w:tblLook w:val="0000"/>
        </w:tblPrEx>
        <w:trPr>
          <w:trHeight w:val="397"/>
        </w:trPr>
        <w:tc>
          <w:tcPr>
            <w:tcW w:w="1503" w:type="dxa"/>
            <w:vAlign w:val="center"/>
          </w:tcPr>
          <w:p>
            <w:pPr>
              <w:spacing w:line="240" w:lineRule="atLeast"/>
              <w:jc w:val="center"/>
              <w:rPr>
                <w:bCs/>
                <w:iCs/>
                <w:kern w:val="44"/>
                <w:szCs w:val="21"/>
              </w:rPr>
            </w:pPr>
            <w:r>
              <w:rPr>
                <w:bCs/>
                <w:iCs/>
                <w:kern w:val="44"/>
                <w:szCs w:val="21"/>
              </w:rPr>
              <w:t>实木家具</w:t>
            </w:r>
          </w:p>
        </w:tc>
        <w:tc>
          <w:tcPr>
            <w:tcW w:w="2410" w:type="dxa"/>
            <w:vAlign w:val="center"/>
          </w:tcPr>
          <w:p>
            <w:pPr>
              <w:spacing w:line="240" w:lineRule="atLeast"/>
              <w:jc w:val="center"/>
              <w:rPr>
                <w:kern w:val="44"/>
                <w:szCs w:val="21"/>
              </w:rPr>
            </w:pPr>
            <w:r>
              <w:rPr>
                <w:kern w:val="44"/>
                <w:szCs w:val="21"/>
              </w:rPr>
              <w:t>10000</w:t>
            </w:r>
          </w:p>
        </w:tc>
        <w:tc>
          <w:tcPr>
            <w:tcW w:w="3402" w:type="dxa"/>
            <w:vAlign w:val="center"/>
          </w:tcPr>
          <w:p>
            <w:pPr>
              <w:spacing w:line="240" w:lineRule="atLeast"/>
              <w:jc w:val="center"/>
              <w:rPr>
                <w:kern w:val="44"/>
                <w:szCs w:val="21"/>
              </w:rPr>
            </w:pPr>
            <w:r>
              <w:rPr>
                <w:kern w:val="44"/>
                <w:szCs w:val="21"/>
              </w:rPr>
              <w:t>定制</w:t>
            </w:r>
          </w:p>
        </w:tc>
        <w:tc>
          <w:tcPr>
            <w:tcW w:w="1720" w:type="dxa"/>
            <w:vAlign w:val="center"/>
          </w:tcPr>
          <w:p>
            <w:pPr>
              <w:spacing w:line="240" w:lineRule="atLeast"/>
              <w:jc w:val="center"/>
              <w:rPr>
                <w:kern w:val="44"/>
                <w:szCs w:val="21"/>
              </w:rPr>
            </w:pPr>
            <w:r>
              <w:rPr>
                <w:kern w:val="44"/>
                <w:szCs w:val="21"/>
              </w:rPr>
              <w:t>客户需求</w:t>
            </w:r>
          </w:p>
        </w:tc>
      </w:tr>
    </w:tbl>
    <w:p>
      <w:pPr>
        <w:pStyle w:val="Heading3"/>
        <w:adjustRightInd w:val="0"/>
        <w:snapToGrid w:val="0"/>
        <w:spacing w:before="0" w:beforeLines="0" w:after="0" w:afterLines="0" w:line="360" w:lineRule="auto"/>
        <w:rPr>
          <w:rFonts w:eastAsia="宋体"/>
          <w:szCs w:val="28"/>
        </w:rPr>
      </w:pPr>
      <w:r>
        <w:rPr>
          <w:rFonts w:eastAsia="宋体"/>
          <w:szCs w:val="28"/>
        </w:rPr>
        <w:t>2.4.3配套和辅助工程</w:t>
      </w:r>
    </w:p>
    <w:p>
      <w:pPr>
        <w:adjustRightInd w:val="0"/>
        <w:snapToGrid w:val="0"/>
        <w:spacing w:line="360" w:lineRule="auto"/>
        <w:ind w:firstLine="560" w:firstLineChars="200"/>
        <w:rPr>
          <w:sz w:val="28"/>
          <w:szCs w:val="28"/>
        </w:rPr>
      </w:pPr>
      <w:bookmarkStart w:id="122" w:name="_Toc522091584"/>
      <w:bookmarkStart w:id="123" w:name="_Toc521869694"/>
      <w:r>
        <w:rPr>
          <w:sz w:val="28"/>
          <w:szCs w:val="28"/>
        </w:rPr>
        <w:t>1、供配电</w:t>
      </w:r>
      <w:bookmarkEnd w:id="122"/>
      <w:bookmarkEnd w:id="123"/>
      <w:r>
        <w:rPr>
          <w:sz w:val="28"/>
          <w:szCs w:val="28"/>
        </w:rPr>
        <w:t>系统</w:t>
      </w:r>
    </w:p>
    <w:p>
      <w:pPr>
        <w:adjustRightInd w:val="0"/>
        <w:snapToGrid w:val="0"/>
        <w:spacing w:line="360" w:lineRule="auto"/>
        <w:ind w:firstLine="560" w:firstLineChars="200"/>
        <w:rPr>
          <w:sz w:val="28"/>
          <w:szCs w:val="28"/>
        </w:rPr>
      </w:pPr>
      <w:r>
        <w:rPr>
          <w:sz w:val="28"/>
          <w:szCs w:val="28"/>
        </w:rPr>
        <w:t>（1）供电</w:t>
      </w:r>
    </w:p>
    <w:p>
      <w:pPr>
        <w:adjustRightInd w:val="0"/>
        <w:snapToGrid w:val="0"/>
        <w:spacing w:line="360" w:lineRule="auto"/>
        <w:ind w:firstLine="560" w:firstLineChars="200"/>
        <w:rPr>
          <w:sz w:val="28"/>
          <w:szCs w:val="28"/>
        </w:rPr>
      </w:pPr>
      <w:r>
        <w:rPr>
          <w:rFonts w:hint="eastAsia"/>
          <w:sz w:val="28"/>
          <w:szCs w:val="28"/>
        </w:rPr>
        <w:t>拟建项目生产动力用电和生活照明用电按三级负荷设定，用电由当地供电站供电</w:t>
      </w:r>
      <w:r>
        <w:rPr>
          <w:rFonts w:ascii="宋体" w:hAnsi="宋体" w:hint="eastAsia"/>
          <w:sz w:val="28"/>
          <w:szCs w:val="28"/>
        </w:rPr>
        <w:t>10kv专线单回路引入厂区变配电室</w:t>
      </w:r>
      <w:r>
        <w:rPr>
          <w:rFonts w:hint="eastAsia"/>
          <w:sz w:val="28"/>
          <w:szCs w:val="28"/>
        </w:rPr>
        <w:t>，</w:t>
      </w:r>
      <w:r>
        <w:rPr>
          <w:rFonts w:ascii="宋体" w:hAnsi="宋体" w:hint="eastAsia"/>
          <w:sz w:val="28"/>
          <w:szCs w:val="28"/>
        </w:rPr>
        <w:t>变配电室设有1台容量为200kvA的油侵式变压器。</w:t>
      </w:r>
      <w:r>
        <w:rPr>
          <w:rFonts w:hint="eastAsia"/>
          <w:sz w:val="28"/>
          <w:szCs w:val="28"/>
        </w:rPr>
        <w:t>厂区变压器设置在厂区外围，设置独立配电室，电力供应充足稳定，可满足项目运营期的用电需求。</w:t>
      </w:r>
      <w:r>
        <w:rPr>
          <w:rFonts w:ascii="宋体" w:hAnsi="宋体" w:hint="eastAsia"/>
          <w:sz w:val="28"/>
          <w:szCs w:val="28"/>
        </w:rPr>
        <w:t>厂区备用电由柴油发电机供给，只在主电出状况时候，为日常使用，消防、办公提供电力供应。</w:t>
      </w:r>
    </w:p>
    <w:p>
      <w:pPr>
        <w:adjustRightInd w:val="0"/>
        <w:snapToGrid w:val="0"/>
        <w:spacing w:line="360" w:lineRule="auto"/>
        <w:ind w:firstLine="560" w:firstLineChars="200"/>
        <w:rPr>
          <w:sz w:val="28"/>
          <w:szCs w:val="28"/>
        </w:rPr>
      </w:pPr>
      <w:r>
        <w:rPr>
          <w:rFonts w:hint="eastAsia"/>
          <w:sz w:val="28"/>
          <w:szCs w:val="28"/>
        </w:rPr>
        <w:t>目前，本项目用电线路已经敷设到位，只需要根据设备安装情况在车间进行线路敷设。</w:t>
      </w:r>
    </w:p>
    <w:p>
      <w:pPr>
        <w:adjustRightInd w:val="0"/>
        <w:snapToGrid w:val="0"/>
        <w:spacing w:line="360" w:lineRule="auto"/>
        <w:ind w:firstLine="560" w:firstLineChars="200"/>
        <w:rPr>
          <w:rFonts w:hint="eastAsia"/>
          <w:sz w:val="28"/>
          <w:szCs w:val="28"/>
        </w:rPr>
      </w:pPr>
      <w:r>
        <w:rPr>
          <w:rFonts w:hint="eastAsia"/>
          <w:sz w:val="28"/>
          <w:szCs w:val="28"/>
        </w:rPr>
        <w:t>事故照明主要以自配蓄电池的应急照明灯为主，在厂房内的生产场所及人员通道内设置疏散诱导灯（应急型），应急照明电源引自同一照明配电箱的专用回路。事故应急照明供电时间不低于</w:t>
      </w:r>
      <w:r>
        <w:rPr>
          <w:sz w:val="28"/>
          <w:szCs w:val="28"/>
        </w:rPr>
        <w:t>30min</w:t>
      </w:r>
      <w:r>
        <w:rPr>
          <w:rFonts w:hint="eastAsia"/>
          <w:sz w:val="28"/>
          <w:szCs w:val="28"/>
        </w:rPr>
        <w:t>。</w:t>
      </w:r>
    </w:p>
    <w:p>
      <w:pPr>
        <w:adjustRightInd w:val="0"/>
        <w:snapToGrid w:val="0"/>
        <w:spacing w:line="360" w:lineRule="auto"/>
        <w:ind w:firstLine="560" w:firstLineChars="200"/>
        <w:rPr>
          <w:rFonts w:hint="eastAsia"/>
          <w:sz w:val="28"/>
          <w:szCs w:val="28"/>
        </w:rPr>
      </w:pPr>
      <w:r>
        <w:rPr>
          <w:rFonts w:hint="eastAsia"/>
          <w:sz w:val="28"/>
          <w:szCs w:val="28"/>
        </w:rPr>
        <w:t>（2）配电系统</w:t>
      </w:r>
    </w:p>
    <w:p>
      <w:pPr>
        <w:adjustRightInd w:val="0"/>
        <w:snapToGrid w:val="0"/>
        <w:spacing w:line="360" w:lineRule="auto"/>
        <w:ind w:firstLine="560" w:firstLineChars="200"/>
        <w:rPr>
          <w:rFonts w:hint="eastAsia"/>
          <w:sz w:val="28"/>
          <w:szCs w:val="28"/>
        </w:rPr>
      </w:pPr>
      <w:r>
        <w:rPr>
          <w:rFonts w:hint="eastAsia"/>
          <w:sz w:val="28"/>
          <w:szCs w:val="28"/>
        </w:rPr>
        <w:t>根据工艺要求，设计电气控制原理图，电机控制同路由电动机保护空气开关，接触器、热继电器等组成，具有短路和过载保护功能。电气元器件设备选型，要求先进可靠，性能稳定。</w:t>
      </w:r>
    </w:p>
    <w:p>
      <w:pPr>
        <w:adjustRightInd w:val="0"/>
        <w:snapToGrid w:val="0"/>
        <w:spacing w:line="360" w:lineRule="auto"/>
        <w:ind w:firstLine="560" w:firstLineChars="200"/>
        <w:rPr>
          <w:sz w:val="28"/>
          <w:szCs w:val="28"/>
        </w:rPr>
      </w:pPr>
      <w:r>
        <w:rPr>
          <w:sz w:val="28"/>
          <w:szCs w:val="28"/>
        </w:rPr>
        <w:t>（3）建筑防雷</w:t>
      </w:r>
    </w:p>
    <w:p>
      <w:pPr>
        <w:adjustRightInd w:val="0"/>
        <w:snapToGrid w:val="0"/>
        <w:spacing w:line="360" w:lineRule="auto"/>
        <w:ind w:firstLine="560" w:firstLineChars="200"/>
        <w:rPr>
          <w:sz w:val="28"/>
          <w:szCs w:val="28"/>
        </w:rPr>
      </w:pPr>
      <w:r>
        <w:rPr>
          <w:sz w:val="28"/>
          <w:szCs w:val="28"/>
        </w:rPr>
        <w:t>该公司厂房为第三类防雷建筑。厂房以彩钢屋面做防直击雷的接闪器，利用结构钢柱作引下线，利用结构基础钢筋网作接地体。建筑物内防雷、</w:t>
      </w:r>
      <w:bookmarkStart w:id="124" w:name="_Hlk14502846"/>
      <w:r>
        <w:rPr>
          <w:sz w:val="28"/>
          <w:szCs w:val="28"/>
        </w:rPr>
        <w:t>低压配电系统</w:t>
      </w:r>
      <w:bookmarkEnd w:id="124"/>
      <w:r>
        <w:rPr>
          <w:sz w:val="28"/>
          <w:szCs w:val="28"/>
        </w:rPr>
        <w:t>、弱电系统采用联合接地体。</w:t>
      </w:r>
    </w:p>
    <w:p>
      <w:pPr>
        <w:adjustRightInd w:val="0"/>
        <w:snapToGrid w:val="0"/>
        <w:spacing w:line="360" w:lineRule="auto"/>
        <w:ind w:firstLine="560" w:firstLineChars="200"/>
        <w:rPr>
          <w:sz w:val="28"/>
          <w:szCs w:val="28"/>
        </w:rPr>
      </w:pPr>
      <w:r>
        <w:rPr>
          <w:sz w:val="28"/>
          <w:szCs w:val="28"/>
        </w:rPr>
        <w:t>2、采暖、通风</w:t>
      </w:r>
    </w:p>
    <w:p>
      <w:pPr>
        <w:adjustRightInd w:val="0"/>
        <w:snapToGrid w:val="0"/>
        <w:spacing w:line="360" w:lineRule="auto"/>
        <w:ind w:firstLine="560" w:firstLineChars="200"/>
        <w:rPr>
          <w:sz w:val="28"/>
          <w:szCs w:val="28"/>
        </w:rPr>
      </w:pPr>
      <w:r>
        <w:rPr>
          <w:sz w:val="28"/>
          <w:szCs w:val="28"/>
        </w:rPr>
        <w:t>项目生产车间</w:t>
      </w:r>
      <w:r>
        <w:rPr>
          <w:rFonts w:hint="eastAsia"/>
          <w:sz w:val="28"/>
          <w:szCs w:val="28"/>
        </w:rPr>
        <w:t>无采暖设施</w:t>
      </w:r>
      <w:r>
        <w:rPr>
          <w:sz w:val="28"/>
          <w:szCs w:val="28"/>
        </w:rPr>
        <w:t>，办公室采用安装分体式空调进行采暖及制冷。生产厂房根据实际情况设置自然通风和机械排风相结合的通风方式。</w:t>
      </w:r>
    </w:p>
    <w:p>
      <w:pPr>
        <w:adjustRightInd w:val="0"/>
        <w:snapToGrid w:val="0"/>
        <w:spacing w:line="360" w:lineRule="auto"/>
        <w:ind w:firstLine="560" w:firstLineChars="200"/>
        <w:rPr>
          <w:sz w:val="28"/>
          <w:szCs w:val="28"/>
        </w:rPr>
        <w:sectPr>
          <w:headerReference w:type="default" r:id="rId42"/>
          <w:footerReference w:type="default" r:id="rId43"/>
          <w:type w:val="nextPage"/>
          <w:pgSz w:w="11906" w:h="16838"/>
          <w:pgMar w:top="1418" w:right="1418" w:bottom="1361" w:left="1474" w:header="993" w:footer="980" w:gutter="0"/>
          <w:pgNumType w:start="14"/>
          <w:cols w:space="708"/>
          <w:titlePg w:val="0"/>
          <w:docGrid w:type="lines" w:linePitch="312"/>
        </w:sectPr>
      </w:pPr>
      <w:bookmarkStart w:id="125" w:name="_Toc521869696"/>
      <w:bookmarkStart w:id="126" w:name="_Toc522091586"/>
      <w:r>
        <w:rPr>
          <w:sz w:val="28"/>
          <w:szCs w:val="28"/>
        </w:rPr>
        <w:t>3、</w:t>
      </w:r>
      <w:bookmarkEnd w:id="125"/>
      <w:bookmarkEnd w:id="126"/>
      <w:r>
        <w:rPr>
          <w:sz w:val="28"/>
          <w:szCs w:val="28"/>
        </w:rPr>
        <w:t>消防系统</w:t>
      </w:r>
    </w:p>
    <w:p>
      <w:pPr>
        <w:adjustRightInd w:val="0"/>
        <w:snapToGrid w:val="0"/>
        <w:spacing w:line="360" w:lineRule="auto"/>
        <w:ind w:firstLine="560" w:firstLineChars="200"/>
        <w:rPr>
          <w:sz w:val="28"/>
          <w:szCs w:val="28"/>
        </w:rPr>
      </w:pPr>
      <w:r>
        <w:rPr>
          <w:sz w:val="28"/>
          <w:szCs w:val="28"/>
        </w:rPr>
        <w:t>（1）消防车道</w:t>
      </w:r>
    </w:p>
    <w:p>
      <w:pPr>
        <w:adjustRightInd w:val="0"/>
        <w:snapToGrid w:val="0"/>
        <w:spacing w:line="360" w:lineRule="auto"/>
        <w:ind w:firstLine="560" w:firstLineChars="200"/>
        <w:rPr>
          <w:sz w:val="28"/>
          <w:szCs w:val="28"/>
        </w:rPr>
      </w:pPr>
      <w:r>
        <w:rPr>
          <w:sz w:val="28"/>
          <w:szCs w:val="28"/>
        </w:rPr>
        <w:t>该公司厂区道路布置主干道宽度6m，满足安装、检修、运输、消防安全的要求。</w:t>
      </w:r>
    </w:p>
    <w:p>
      <w:pPr>
        <w:adjustRightInd w:val="0"/>
        <w:snapToGrid w:val="0"/>
        <w:spacing w:line="360" w:lineRule="auto"/>
        <w:ind w:firstLine="560" w:firstLineChars="200"/>
        <w:rPr>
          <w:sz w:val="28"/>
          <w:szCs w:val="28"/>
        </w:rPr>
      </w:pPr>
      <w:r>
        <w:rPr>
          <w:sz w:val="28"/>
          <w:szCs w:val="28"/>
        </w:rPr>
        <w:t>（2）消防设施</w:t>
      </w:r>
    </w:p>
    <w:p>
      <w:pPr>
        <w:adjustRightInd w:val="0"/>
        <w:snapToGrid w:val="0"/>
        <w:spacing w:line="360" w:lineRule="auto"/>
        <w:ind w:firstLine="560" w:firstLineChars="200"/>
        <w:rPr>
          <w:sz w:val="28"/>
          <w:szCs w:val="28"/>
        </w:rPr>
      </w:pPr>
      <w:r>
        <w:rPr>
          <w:sz w:val="28"/>
          <w:szCs w:val="28"/>
        </w:rPr>
        <w:t>该项目根据实际特点，设置有室内消火栓和室内消火栓。此外，在作业现场根据火灾类型配备有相应的灭火器。</w:t>
      </w:r>
    </w:p>
    <w:p>
      <w:pPr>
        <w:adjustRightInd w:val="0"/>
        <w:snapToGrid w:val="0"/>
        <w:spacing w:line="360" w:lineRule="auto"/>
        <w:ind w:firstLine="560" w:firstLineChars="200"/>
        <w:rPr>
          <w:sz w:val="28"/>
          <w:szCs w:val="28"/>
        </w:rPr>
      </w:pPr>
      <w:r>
        <w:rPr>
          <w:sz w:val="28"/>
          <w:szCs w:val="28"/>
        </w:rPr>
        <w:t>4、给排水</w:t>
      </w:r>
    </w:p>
    <w:p>
      <w:pPr>
        <w:adjustRightInd w:val="0"/>
        <w:snapToGrid w:val="0"/>
        <w:spacing w:line="360" w:lineRule="auto"/>
        <w:ind w:firstLine="560" w:firstLineChars="200"/>
        <w:rPr>
          <w:sz w:val="28"/>
          <w:szCs w:val="28"/>
        </w:rPr>
      </w:pPr>
      <w:r>
        <w:rPr>
          <w:sz w:val="28"/>
          <w:szCs w:val="28"/>
        </w:rPr>
        <w:t>（1）给水</w:t>
      </w:r>
    </w:p>
    <w:p>
      <w:pPr>
        <w:adjustRightInd w:val="0"/>
        <w:snapToGrid w:val="0"/>
        <w:spacing w:line="360" w:lineRule="auto"/>
        <w:ind w:firstLine="560" w:firstLineChars="200"/>
        <w:rPr>
          <w:sz w:val="28"/>
          <w:szCs w:val="28"/>
        </w:rPr>
      </w:pPr>
      <w:r>
        <w:rPr>
          <w:rFonts w:hint="eastAsia"/>
          <w:sz w:val="28"/>
          <w:szCs w:val="28"/>
        </w:rPr>
        <w:t>拟建项目用水主要为员工生活用水，</w:t>
      </w:r>
      <w:r>
        <w:rPr>
          <w:rFonts w:ascii="宋体" w:hAnsi="宋体" w:hint="eastAsia"/>
          <w:sz w:val="28"/>
          <w:szCs w:val="28"/>
        </w:rPr>
        <w:t>本项目生产过程一般不需水源。</w:t>
      </w:r>
      <w:r>
        <w:rPr>
          <w:rFonts w:hint="eastAsia"/>
          <w:sz w:val="28"/>
          <w:szCs w:val="28"/>
        </w:rPr>
        <w:t>生活水采用桶装水和市政自来水引入，市政管网引入管道</w:t>
      </w:r>
      <w:r>
        <w:rPr>
          <w:rFonts w:ascii="宋体" w:hAnsi="宋体" w:hint="eastAsia"/>
          <w:sz w:val="28"/>
          <w:szCs w:val="28"/>
        </w:rPr>
        <w:t>管径为DN25。</w:t>
      </w:r>
    </w:p>
    <w:p>
      <w:pPr>
        <w:adjustRightInd w:val="0"/>
        <w:snapToGrid w:val="0"/>
        <w:spacing w:line="360" w:lineRule="auto"/>
        <w:ind w:firstLine="560" w:firstLineChars="200"/>
        <w:rPr>
          <w:sz w:val="28"/>
          <w:szCs w:val="28"/>
        </w:rPr>
      </w:pPr>
      <w:r>
        <w:rPr>
          <w:sz w:val="28"/>
          <w:szCs w:val="28"/>
        </w:rPr>
        <w:t>（2）排水</w:t>
      </w:r>
    </w:p>
    <w:p>
      <w:pPr>
        <w:adjustRightInd w:val="0"/>
        <w:snapToGrid w:val="0"/>
        <w:spacing w:line="360" w:lineRule="auto"/>
        <w:ind w:firstLine="560" w:firstLineChars="200"/>
        <w:rPr>
          <w:sz w:val="28"/>
          <w:szCs w:val="28"/>
        </w:rPr>
      </w:pPr>
      <w:r>
        <w:rPr>
          <w:rFonts w:hint="eastAsia"/>
          <w:sz w:val="28"/>
          <w:szCs w:val="28"/>
        </w:rPr>
        <w:t>项目区无污水管网，项目无生产废水产生；项目区设旱厕，定期清掏，外运肥田；生活洗漱废水用于厂区泼洒抑尘。</w:t>
      </w:r>
    </w:p>
    <w:p>
      <w:pPr>
        <w:adjustRightInd w:val="0"/>
        <w:snapToGrid w:val="0"/>
        <w:spacing w:line="360" w:lineRule="auto"/>
        <w:ind w:firstLine="560" w:firstLineChars="200"/>
        <w:rPr>
          <w:sz w:val="28"/>
          <w:szCs w:val="28"/>
        </w:rPr>
      </w:pPr>
      <w:r>
        <w:rPr>
          <w:sz w:val="28"/>
          <w:szCs w:val="28"/>
        </w:rPr>
        <w:t>5、</w:t>
      </w:r>
      <w:bookmarkStart w:id="127" w:name="_Toc13170573"/>
      <w:r>
        <w:rPr>
          <w:sz w:val="28"/>
          <w:szCs w:val="28"/>
        </w:rPr>
        <w:t>除尘、防毒设施</w:t>
      </w:r>
      <w:bookmarkEnd w:id="127"/>
    </w:p>
    <w:p>
      <w:pPr>
        <w:adjustRightInd w:val="0"/>
        <w:snapToGrid w:val="0"/>
        <w:spacing w:line="360" w:lineRule="auto"/>
        <w:ind w:firstLine="560" w:firstLineChars="200"/>
        <w:rPr>
          <w:sz w:val="28"/>
          <w:szCs w:val="28"/>
        </w:rPr>
      </w:pPr>
      <w:r>
        <w:rPr>
          <w:sz w:val="28"/>
          <w:szCs w:val="28"/>
        </w:rPr>
        <w:t>（1）本项目1#厂房</w:t>
      </w:r>
      <w:r>
        <w:rPr>
          <w:rFonts w:hint="eastAsia"/>
          <w:sz w:val="28"/>
          <w:szCs w:val="28"/>
        </w:rPr>
        <w:t>会产生粉尘、非甲烷总烃，粉尘</w:t>
      </w:r>
      <w:r>
        <w:rPr>
          <w:sz w:val="28"/>
          <w:szCs w:val="28"/>
        </w:rPr>
        <w:t>经设备上方自带集气罩收集后通过风机引至中央除尘器处理，处理后废气通过15m排气筒排放。非甲烷总烃</w:t>
      </w:r>
      <w:r>
        <w:rPr>
          <w:rFonts w:hint="eastAsia"/>
          <w:sz w:val="28"/>
          <w:szCs w:val="28"/>
        </w:rPr>
        <w:t>经过</w:t>
      </w:r>
      <w:r>
        <w:rPr>
          <w:sz w:val="28"/>
          <w:szCs w:val="28"/>
        </w:rPr>
        <w:t>集气罩收集后通过风机引至活性炭吸附</w:t>
      </w:r>
      <w:r>
        <w:rPr>
          <w:rFonts w:hint="eastAsia"/>
          <w:sz w:val="28"/>
          <w:szCs w:val="28"/>
        </w:rPr>
        <w:t>后，通过</w:t>
      </w:r>
      <w:r>
        <w:rPr>
          <w:sz w:val="28"/>
          <w:szCs w:val="28"/>
        </w:rPr>
        <w:t>15m排气筒对有机废气处置。</w:t>
      </w:r>
    </w:p>
    <w:p>
      <w:pPr>
        <w:adjustRightInd w:val="0"/>
        <w:snapToGrid w:val="0"/>
        <w:spacing w:line="360" w:lineRule="auto"/>
        <w:ind w:firstLine="560" w:firstLineChars="200"/>
        <w:rPr>
          <w:rFonts w:hint="eastAsia"/>
          <w:sz w:val="28"/>
          <w:szCs w:val="28"/>
        </w:rPr>
      </w:pPr>
      <w:r>
        <w:rPr>
          <w:sz w:val="28"/>
          <w:szCs w:val="28"/>
        </w:rPr>
        <w:t>（2）本项目</w:t>
      </w:r>
      <w:r>
        <w:rPr>
          <w:rFonts w:hint="eastAsia"/>
          <w:sz w:val="28"/>
          <w:szCs w:val="28"/>
        </w:rPr>
        <w:t>2</w:t>
      </w:r>
      <w:r>
        <w:rPr>
          <w:sz w:val="28"/>
          <w:szCs w:val="28"/>
        </w:rPr>
        <w:t>#厂房</w:t>
      </w:r>
      <w:r>
        <w:rPr>
          <w:rFonts w:hint="eastAsia"/>
          <w:sz w:val="28"/>
          <w:szCs w:val="28"/>
        </w:rPr>
        <w:t>会产生粉尘、</w:t>
      </w:r>
      <w:r>
        <w:rPr>
          <w:sz w:val="28"/>
          <w:szCs w:val="28"/>
        </w:rPr>
        <w:t>胶雾颗粒、非甲烷总烃</w:t>
      </w:r>
      <w:r>
        <w:rPr>
          <w:rFonts w:hint="eastAsia"/>
          <w:sz w:val="28"/>
          <w:szCs w:val="28"/>
        </w:rPr>
        <w:t>，粉尘</w:t>
      </w:r>
      <w:r>
        <w:rPr>
          <w:sz w:val="28"/>
          <w:szCs w:val="28"/>
        </w:rPr>
        <w:t>经设备上方自带集气罩收集后通过风机引至中央除尘器处理，处理后废气通过15m排气筒排放。胶雾颗粒、非甲烷总烃</w:t>
      </w:r>
      <w:r>
        <w:rPr>
          <w:rFonts w:hint="eastAsia"/>
          <w:sz w:val="28"/>
          <w:szCs w:val="28"/>
        </w:rPr>
        <w:t>经过</w:t>
      </w:r>
      <w:r>
        <w:rPr>
          <w:sz w:val="28"/>
          <w:szCs w:val="28"/>
        </w:rPr>
        <w:t>集气罩收集后通过风机引至干式过滤箱</w:t>
      </w:r>
      <w:r>
        <w:rPr>
          <w:rFonts w:hint="eastAsia"/>
          <w:sz w:val="28"/>
          <w:szCs w:val="28"/>
        </w:rPr>
        <w:t>和</w:t>
      </w:r>
      <w:r>
        <w:rPr>
          <w:sz w:val="28"/>
          <w:szCs w:val="28"/>
        </w:rPr>
        <w:t>活性炭吸附</w:t>
      </w:r>
      <w:r>
        <w:rPr>
          <w:rFonts w:hint="eastAsia"/>
          <w:sz w:val="28"/>
          <w:szCs w:val="28"/>
        </w:rPr>
        <w:t>后，通过</w:t>
      </w:r>
      <w:r>
        <w:rPr>
          <w:sz w:val="28"/>
          <w:szCs w:val="28"/>
        </w:rPr>
        <w:t>15m排气筒对有机废气处置。</w:t>
      </w:r>
    </w:p>
    <w:p>
      <w:pPr>
        <w:adjustRightInd w:val="0"/>
        <w:snapToGrid w:val="0"/>
        <w:spacing w:line="360" w:lineRule="auto"/>
        <w:ind w:firstLine="560" w:firstLineChars="200"/>
        <w:rPr>
          <w:rFonts w:hint="eastAsia"/>
          <w:sz w:val="28"/>
          <w:szCs w:val="28"/>
        </w:rPr>
      </w:pPr>
      <w:r>
        <w:rPr>
          <w:rFonts w:hint="eastAsia"/>
          <w:sz w:val="28"/>
          <w:szCs w:val="28"/>
        </w:rPr>
        <w:t>（3）</w:t>
      </w:r>
      <w:r>
        <w:rPr>
          <w:sz w:val="28"/>
          <w:szCs w:val="28"/>
        </w:rPr>
        <w:t>本项目</w:t>
      </w:r>
      <w:r>
        <w:rPr>
          <w:rFonts w:hint="eastAsia"/>
          <w:sz w:val="28"/>
          <w:szCs w:val="28"/>
        </w:rPr>
        <w:t>3</w:t>
      </w:r>
      <w:r>
        <w:rPr>
          <w:sz w:val="28"/>
          <w:szCs w:val="28"/>
        </w:rPr>
        <w:t>#、4#厂房</w:t>
      </w:r>
      <w:r>
        <w:rPr>
          <w:rFonts w:hint="eastAsia"/>
          <w:sz w:val="28"/>
          <w:szCs w:val="28"/>
        </w:rPr>
        <w:t>会产生粉尘，粉尘</w:t>
      </w:r>
      <w:r>
        <w:rPr>
          <w:sz w:val="28"/>
          <w:szCs w:val="28"/>
        </w:rPr>
        <w:t>经设备上方自带集气罩收集后通过风机引至中央除尘器处理，处理后废气通过15m排气筒排放。</w:t>
      </w:r>
    </w:p>
    <w:p>
      <w:pPr>
        <w:adjustRightInd w:val="0"/>
        <w:snapToGrid w:val="0"/>
        <w:spacing w:line="360" w:lineRule="auto"/>
        <w:ind w:firstLine="560" w:firstLineChars="200"/>
        <w:rPr>
          <w:rFonts w:hint="eastAsia"/>
          <w:sz w:val="28"/>
          <w:szCs w:val="28"/>
        </w:rPr>
        <w:sectPr>
          <w:headerReference w:type="default" r:id="rId44"/>
          <w:footerReference w:type="default" r:id="rId45"/>
          <w:type w:val="nextPage"/>
          <w:pgSz w:w="11906" w:h="16838"/>
          <w:pgMar w:top="1418" w:right="1418" w:bottom="1361" w:left="1474" w:header="993" w:footer="980" w:gutter="0"/>
          <w:pgNumType w:start="15"/>
          <w:cols w:space="708"/>
          <w:titlePg w:val="0"/>
          <w:docGrid w:type="lines" w:linePitch="312"/>
        </w:sectPr>
      </w:pPr>
      <w:r>
        <w:rPr>
          <w:rFonts w:hint="eastAsia"/>
          <w:sz w:val="28"/>
          <w:szCs w:val="28"/>
        </w:rPr>
        <w:t>5、空压机</w:t>
      </w:r>
    </w:p>
    <w:p>
      <w:pPr>
        <w:tabs>
          <w:tab w:val="right" w:pos="8640"/>
        </w:tabs>
        <w:spacing w:line="520" w:lineRule="exact"/>
        <w:ind w:firstLine="560" w:firstLineChars="200"/>
        <w:rPr>
          <w:rFonts w:ascii="宋体" w:hAnsi="宋体"/>
          <w:sz w:val="28"/>
          <w:szCs w:val="28"/>
        </w:rPr>
      </w:pPr>
      <w:r>
        <w:rPr>
          <w:rFonts w:ascii="宋体" w:hAnsi="宋体" w:hint="eastAsia"/>
          <w:sz w:val="28"/>
          <w:szCs w:val="28"/>
        </w:rPr>
        <w:t>根据计算耗量及压力，压缩空气机选用</w:t>
      </w:r>
      <w:r>
        <w:rPr>
          <w:rFonts w:cs="宋体"/>
          <w:sz w:val="28"/>
          <w:szCs w:val="28"/>
        </w:rPr>
        <w:t>W-0.9/8</w:t>
      </w:r>
      <w:r>
        <w:rPr>
          <w:rFonts w:ascii="宋体" w:hAnsi="宋体" w:hint="eastAsia"/>
          <w:sz w:val="28"/>
          <w:szCs w:val="28"/>
        </w:rPr>
        <w:t>小型空压机2台，</w:t>
      </w:r>
      <w:r>
        <w:rPr>
          <w:rFonts w:hint="eastAsia"/>
          <w:sz w:val="28"/>
          <w:szCs w:val="28"/>
        </w:rPr>
        <w:t>单台排气量为</w:t>
      </w:r>
      <w:r>
        <w:rPr>
          <w:sz w:val="28"/>
          <w:szCs w:val="28"/>
        </w:rPr>
        <w:t>2.2m</w:t>
      </w:r>
      <w:r>
        <w:rPr>
          <w:rFonts w:hint="eastAsia"/>
          <w:sz w:val="28"/>
          <w:szCs w:val="28"/>
        </w:rPr>
        <w:t>³</w:t>
      </w:r>
      <w:r>
        <w:rPr>
          <w:sz w:val="28"/>
          <w:szCs w:val="28"/>
        </w:rPr>
        <w:t>/min</w:t>
      </w:r>
      <w:r>
        <w:rPr>
          <w:rFonts w:hint="eastAsia"/>
          <w:sz w:val="28"/>
          <w:szCs w:val="28"/>
        </w:rPr>
        <w:t>，排气压力为</w:t>
      </w:r>
      <w:r>
        <w:rPr>
          <w:sz w:val="28"/>
          <w:szCs w:val="28"/>
        </w:rPr>
        <w:t>0.8MPa</w:t>
      </w:r>
      <w:r>
        <w:rPr>
          <w:rFonts w:hint="eastAsia"/>
          <w:sz w:val="28"/>
          <w:szCs w:val="28"/>
        </w:rPr>
        <w:t>，电功率</w:t>
      </w:r>
      <w:r>
        <w:rPr>
          <w:sz w:val="28"/>
          <w:szCs w:val="28"/>
        </w:rPr>
        <w:t>15kW</w:t>
      </w:r>
      <w:r>
        <w:rPr>
          <w:rFonts w:hint="eastAsia"/>
          <w:sz w:val="28"/>
          <w:szCs w:val="28"/>
        </w:rPr>
        <w:t>，设置</w:t>
      </w:r>
      <w:r>
        <w:rPr>
          <w:sz w:val="28"/>
          <w:szCs w:val="28"/>
        </w:rPr>
        <w:t>2m</w:t>
      </w:r>
      <w:r>
        <w:rPr>
          <w:rFonts w:hint="eastAsia"/>
          <w:sz w:val="28"/>
          <w:szCs w:val="28"/>
        </w:rPr>
        <w:t>³</w:t>
      </w:r>
      <w:r>
        <w:rPr>
          <w:rFonts w:hint="eastAsia"/>
          <w:sz w:val="28"/>
          <w:szCs w:val="28"/>
        </w:rPr>
        <w:t>压缩空气储罐</w:t>
      </w:r>
      <w:r>
        <w:rPr>
          <w:sz w:val="28"/>
          <w:szCs w:val="28"/>
        </w:rPr>
        <w:t>2</w:t>
      </w:r>
      <w:r>
        <w:rPr>
          <w:rFonts w:hint="eastAsia"/>
          <w:sz w:val="28"/>
          <w:szCs w:val="28"/>
        </w:rPr>
        <w:t>座。</w:t>
      </w:r>
    </w:p>
    <w:p>
      <w:pPr>
        <w:tabs>
          <w:tab w:val="right" w:pos="8640"/>
        </w:tabs>
        <w:spacing w:line="520" w:lineRule="exact"/>
        <w:ind w:firstLine="560" w:firstLineChars="200"/>
        <w:rPr>
          <w:rFonts w:ascii="宋体" w:hAnsi="宋体" w:hint="eastAsia"/>
          <w:sz w:val="28"/>
          <w:szCs w:val="28"/>
        </w:rPr>
      </w:pPr>
      <w:r>
        <w:rPr>
          <w:rFonts w:ascii="宋体" w:hAnsi="宋体" w:hint="eastAsia"/>
          <w:sz w:val="28"/>
          <w:szCs w:val="28"/>
        </w:rPr>
        <w:t>压缩空气耗量</w:t>
      </w:r>
    </w:p>
    <w:p>
      <w:pPr>
        <w:adjustRightInd w:val="0"/>
        <w:snapToGrid w:val="0"/>
        <w:spacing w:line="600" w:lineRule="exact"/>
        <w:ind w:firstLine="560" w:firstLineChars="200"/>
        <w:rPr>
          <w:rFonts w:hint="eastAsia"/>
          <w:sz w:val="28"/>
          <w:szCs w:val="28"/>
        </w:rPr>
      </w:pPr>
      <w:r>
        <w:rPr>
          <w:rFonts w:hint="eastAsia"/>
          <w:sz w:val="28"/>
          <w:szCs w:val="28"/>
        </w:rPr>
        <w:t>⑴</w:t>
      </w:r>
      <w:r>
        <w:rPr>
          <w:rFonts w:hint="eastAsia"/>
          <w:sz w:val="28"/>
          <w:szCs w:val="28"/>
        </w:rPr>
        <w:t>压缩空气耗量估算</w:t>
      </w:r>
    </w:p>
    <w:p>
      <w:pPr>
        <w:adjustRightInd w:val="0"/>
        <w:snapToGrid w:val="0"/>
        <w:spacing w:line="600" w:lineRule="exact"/>
        <w:ind w:firstLine="560" w:firstLineChars="200"/>
        <w:rPr>
          <w:sz w:val="28"/>
          <w:szCs w:val="28"/>
        </w:rPr>
      </w:pPr>
      <w:r>
        <w:rPr>
          <w:rFonts w:hint="eastAsia"/>
          <w:sz w:val="28"/>
          <w:szCs w:val="28"/>
        </w:rPr>
        <w:t>最大：</w:t>
      </w:r>
      <w:r>
        <w:rPr>
          <w:sz w:val="28"/>
          <w:szCs w:val="28"/>
        </w:rPr>
        <w:t>120Nm</w:t>
      </w:r>
      <w:r>
        <w:rPr>
          <w:rFonts w:hint="eastAsia"/>
          <w:sz w:val="28"/>
          <w:szCs w:val="28"/>
        </w:rPr>
        <w:t>³</w:t>
      </w:r>
      <w:r>
        <w:rPr>
          <w:sz w:val="28"/>
          <w:szCs w:val="28"/>
        </w:rPr>
        <w:t>/hP</w:t>
      </w:r>
      <w:r>
        <w:rPr>
          <w:rFonts w:hint="eastAsia"/>
          <w:sz w:val="28"/>
          <w:szCs w:val="28"/>
        </w:rPr>
        <w:t>＝</w:t>
      </w:r>
      <w:r>
        <w:rPr>
          <w:sz w:val="28"/>
          <w:szCs w:val="28"/>
        </w:rPr>
        <w:t>0.6Mpa</w:t>
      </w:r>
    </w:p>
    <w:p>
      <w:pPr>
        <w:adjustRightInd w:val="0"/>
        <w:snapToGrid w:val="0"/>
        <w:spacing w:line="600" w:lineRule="exact"/>
        <w:ind w:firstLine="560" w:firstLineChars="200"/>
        <w:rPr>
          <w:sz w:val="28"/>
          <w:szCs w:val="28"/>
        </w:rPr>
      </w:pPr>
      <w:r>
        <w:rPr>
          <w:rFonts w:hint="eastAsia"/>
          <w:sz w:val="28"/>
          <w:szCs w:val="28"/>
        </w:rPr>
        <w:t>⑵</w:t>
      </w:r>
      <w:r>
        <w:rPr>
          <w:rFonts w:hint="eastAsia"/>
          <w:sz w:val="28"/>
          <w:szCs w:val="28"/>
        </w:rPr>
        <w:t>压缩空气计算耗量</w:t>
      </w:r>
    </w:p>
    <w:p>
      <w:pPr>
        <w:adjustRightInd w:val="0"/>
        <w:snapToGrid w:val="0"/>
        <w:spacing w:line="600" w:lineRule="exact"/>
        <w:ind w:firstLine="560" w:firstLineChars="200"/>
        <w:rPr>
          <w:sz w:val="28"/>
          <w:szCs w:val="28"/>
        </w:rPr>
      </w:pPr>
      <w:r>
        <w:rPr>
          <w:rFonts w:hint="eastAsia"/>
          <w:sz w:val="28"/>
          <w:szCs w:val="28"/>
        </w:rPr>
        <w:t>压缩空气计算耗量：</w:t>
      </w:r>
      <w:r>
        <w:rPr>
          <w:sz w:val="28"/>
          <w:szCs w:val="28"/>
        </w:rPr>
        <w:t>2Nm</w:t>
      </w:r>
      <w:r>
        <w:rPr>
          <w:rFonts w:hint="eastAsia"/>
          <w:sz w:val="28"/>
          <w:szCs w:val="28"/>
        </w:rPr>
        <w:t>³</w:t>
      </w:r>
      <w:r>
        <w:rPr>
          <w:sz w:val="28"/>
          <w:szCs w:val="28"/>
        </w:rPr>
        <w:t>/min</w:t>
      </w:r>
      <w:r>
        <w:rPr>
          <w:rFonts w:hint="eastAsia"/>
          <w:sz w:val="28"/>
          <w:szCs w:val="28"/>
        </w:rPr>
        <w:t>。</w:t>
      </w:r>
    </w:p>
    <w:p>
      <w:pPr>
        <w:adjustRightInd w:val="0"/>
        <w:snapToGrid w:val="0"/>
        <w:spacing w:line="360" w:lineRule="auto"/>
        <w:ind w:firstLine="560" w:firstLineChars="200"/>
        <w:rPr>
          <w:rFonts w:hint="eastAsia"/>
          <w:sz w:val="28"/>
          <w:szCs w:val="28"/>
        </w:rPr>
      </w:pPr>
      <w:r>
        <w:rPr>
          <w:rFonts w:hint="eastAsia"/>
          <w:sz w:val="28"/>
          <w:szCs w:val="28"/>
        </w:rPr>
        <w:t>压缩空气站位于厂房</w:t>
      </w:r>
      <w:r>
        <w:rPr>
          <w:sz w:val="28"/>
          <w:szCs w:val="28"/>
        </w:rPr>
        <w:t>1</w:t>
      </w:r>
      <w:r>
        <w:rPr>
          <w:rFonts w:hint="eastAsia"/>
          <w:sz w:val="28"/>
          <w:szCs w:val="28"/>
        </w:rPr>
        <w:t>东北角，建筑面积</w:t>
      </w:r>
      <w:r>
        <w:rPr>
          <w:sz w:val="28"/>
          <w:szCs w:val="28"/>
        </w:rPr>
        <w:t>4</w:t>
      </w:r>
      <w:r>
        <w:rPr>
          <w:rFonts w:hint="eastAsia"/>
          <w:sz w:val="28"/>
          <w:szCs w:val="28"/>
        </w:rPr>
        <w:t>×</w:t>
      </w:r>
      <w:r>
        <w:rPr>
          <w:sz w:val="28"/>
          <w:szCs w:val="28"/>
        </w:rPr>
        <w:t>4=16</w:t>
      </w:r>
      <w:r>
        <w:rPr>
          <w:rFonts w:hint="eastAsia"/>
          <w:sz w:val="28"/>
          <w:szCs w:val="28"/>
        </w:rPr>
        <w:t>㎡。</w:t>
      </w:r>
    </w:p>
    <w:p>
      <w:pPr>
        <w:pStyle w:val="Heading3"/>
        <w:adjustRightInd w:val="0"/>
        <w:snapToGrid w:val="0"/>
        <w:spacing w:before="0" w:beforeLines="0" w:after="0" w:afterLines="0" w:line="360" w:lineRule="auto"/>
        <w:rPr>
          <w:rFonts w:eastAsia="宋体"/>
          <w:szCs w:val="28"/>
        </w:rPr>
      </w:pPr>
      <w:r>
        <w:rPr>
          <w:rFonts w:eastAsia="宋体"/>
          <w:szCs w:val="28"/>
        </w:rPr>
        <w:t>2.4.4组织机构、工作制度及劳动定员</w:t>
      </w:r>
    </w:p>
    <w:p>
      <w:pPr>
        <w:adjustRightInd w:val="0"/>
        <w:snapToGrid w:val="0"/>
        <w:spacing w:line="360" w:lineRule="auto"/>
        <w:ind w:firstLine="560" w:firstLineChars="200"/>
        <w:rPr>
          <w:sz w:val="28"/>
          <w:szCs w:val="28"/>
        </w:rPr>
      </w:pPr>
      <w:bookmarkStart w:id="128" w:name="_Toc393547599"/>
      <w:r>
        <w:rPr>
          <w:sz w:val="28"/>
          <w:szCs w:val="28"/>
        </w:rPr>
        <w:t>项目运营期劳动定员</w:t>
      </w:r>
      <w:r>
        <w:rPr>
          <w:rFonts w:hint="eastAsia"/>
          <w:sz w:val="28"/>
          <w:szCs w:val="28"/>
        </w:rPr>
        <w:t>30</w:t>
      </w:r>
      <w:r>
        <w:rPr>
          <w:sz w:val="28"/>
          <w:szCs w:val="28"/>
        </w:rPr>
        <w:t>人，其中管理人员</w:t>
      </w:r>
      <w:r>
        <w:rPr>
          <w:rFonts w:hint="eastAsia"/>
          <w:sz w:val="28"/>
          <w:szCs w:val="28"/>
        </w:rPr>
        <w:t>6</w:t>
      </w:r>
      <w:r>
        <w:rPr>
          <w:sz w:val="28"/>
          <w:szCs w:val="28"/>
        </w:rPr>
        <w:t>人，工人</w:t>
      </w:r>
      <w:r>
        <w:rPr>
          <w:rFonts w:hint="eastAsia"/>
          <w:sz w:val="28"/>
          <w:szCs w:val="28"/>
        </w:rPr>
        <w:t>24</w:t>
      </w:r>
      <w:r>
        <w:rPr>
          <w:sz w:val="28"/>
          <w:szCs w:val="28"/>
        </w:rPr>
        <w:t>人，</w:t>
      </w:r>
      <w:r>
        <w:rPr>
          <w:rFonts w:hint="eastAsia"/>
          <w:sz w:val="28"/>
          <w:szCs w:val="28"/>
        </w:rPr>
        <w:t>项目</w:t>
      </w:r>
      <w:r>
        <w:rPr>
          <w:sz w:val="28"/>
          <w:szCs w:val="28"/>
        </w:rPr>
        <w:t>实行</w:t>
      </w:r>
      <w:r>
        <w:rPr>
          <w:rFonts w:hint="eastAsia"/>
          <w:sz w:val="28"/>
          <w:szCs w:val="28"/>
        </w:rPr>
        <w:t>白</w:t>
      </w:r>
      <w:r>
        <w:rPr>
          <w:sz w:val="28"/>
          <w:szCs w:val="28"/>
        </w:rPr>
        <w:t>班制，日工作八小时，年工作300天。</w:t>
      </w:r>
    </w:p>
    <w:p>
      <w:pPr>
        <w:pStyle w:val="Heading2"/>
        <w:adjustRightInd w:val="0"/>
        <w:snapToGrid w:val="0"/>
        <w:spacing w:before="0" w:after="0" w:line="360" w:lineRule="auto"/>
        <w:rPr>
          <w:rFonts w:ascii="Times New Roman" w:eastAsia="楷体" w:hAnsi="Times New Roman"/>
        </w:rPr>
      </w:pPr>
      <w:bookmarkStart w:id="129" w:name="_Toc14347177"/>
      <w:r>
        <w:rPr>
          <w:rFonts w:ascii="Times New Roman" w:eastAsia="楷体" w:hAnsi="Times New Roman"/>
        </w:rPr>
        <w:t>2.5</w:t>
      </w:r>
      <w:bookmarkEnd w:id="128"/>
      <w:r>
        <w:rPr>
          <w:rFonts w:ascii="Times New Roman" w:eastAsia="楷体" w:hAnsi="Times New Roman"/>
        </w:rPr>
        <w:t>生产工艺及设备</w:t>
      </w:r>
      <w:bookmarkEnd w:id="129"/>
    </w:p>
    <w:p>
      <w:pPr>
        <w:pStyle w:val="Heading3"/>
        <w:adjustRightInd w:val="0"/>
        <w:snapToGrid w:val="0"/>
        <w:spacing w:before="0" w:beforeLines="0" w:after="0" w:afterLines="0" w:line="360" w:lineRule="auto"/>
        <w:rPr>
          <w:rFonts w:eastAsia="宋体"/>
          <w:szCs w:val="28"/>
        </w:rPr>
      </w:pPr>
      <w:bookmarkStart w:id="130" w:name="_Toc521869691"/>
      <w:bookmarkStart w:id="131" w:name="_Toc522091581"/>
      <w:r>
        <w:rPr>
          <w:rFonts w:eastAsia="宋体"/>
          <w:szCs w:val="28"/>
        </w:rPr>
        <w:t>2.5.1生产流程</w:t>
      </w:r>
      <w:bookmarkEnd w:id="130"/>
      <w:bookmarkEnd w:id="131"/>
    </w:p>
    <w:p>
      <w:pPr>
        <w:adjustRightInd w:val="0"/>
        <w:snapToGrid w:val="0"/>
        <w:spacing w:line="480" w:lineRule="exact"/>
        <w:ind w:firstLine="560" w:firstLineChars="200"/>
        <w:rPr>
          <w:b/>
          <w:sz w:val="28"/>
          <w:szCs w:val="28"/>
        </w:rPr>
        <w:sectPr>
          <w:headerReference w:type="default" r:id="rId46"/>
          <w:footerReference w:type="default" r:id="rId47"/>
          <w:type w:val="nextPage"/>
          <w:pgSz w:w="11906" w:h="16838"/>
          <w:pgMar w:top="1418" w:right="1418" w:bottom="1361" w:left="1474" w:header="993" w:footer="980" w:gutter="0"/>
          <w:pgNumType w:start="16"/>
          <w:cols w:space="708"/>
          <w:titlePg w:val="0"/>
          <w:docGrid w:type="lines" w:linePitch="312"/>
        </w:sectPr>
      </w:pPr>
      <w:bookmarkStart w:id="132" w:name="_Toc522091582"/>
      <w:bookmarkStart w:id="133" w:name="_Toc521869692"/>
      <w:r>
        <w:rPr>
          <w:b/>
          <w:sz w:val="28"/>
          <w:szCs w:val="28"/>
        </w:rPr>
        <w:t>1、项目柜体生产工艺流程及产物环节图</w:t>
      </w:r>
    </w:p>
    <w:p>
      <w:pPr>
        <w:adjustRightInd w:val="0"/>
        <w:snapToGrid w:val="0"/>
        <w:spacing w:before="312" w:beforeLines="100" w:line="240" w:lineRule="atLeast"/>
        <w:jc w:val="center"/>
      </w:pPr>
      <w:r>
        <w:object>
          <v:shape id="Object 3" o:spid="_x0000_i1028" type="#_x0000_t75" style="width:347.4pt;height:288.95pt;mso-position-horizontal-relative:page;mso-position-vertical-relative:page;mso-wrap-style:square" o:ole="" o:preferrelative="t" filled="f" stroked="f">
            <v:stroke linestyle="single"/>
            <v:imagedata r:id="rId48" o:title=""/>
            <v:path o:extrusionok="f"/>
            <o:lock v:ext="edit" aspectratio="t"/>
          </v:shape>
          <o:OLEObject Type="Embed" ProgID="Visio.Drawing.11" ShapeID="Object 3" DrawAspect="Content" ObjectID="_1234567890" r:id="rId49"/>
        </w:object>
      </w:r>
    </w:p>
    <w:p>
      <w:pPr>
        <w:adjustRightInd w:val="0"/>
        <w:snapToGrid w:val="0"/>
        <w:spacing w:line="480" w:lineRule="exact"/>
        <w:ind w:firstLine="560" w:firstLineChars="200"/>
        <w:jc w:val="center"/>
        <w:rPr>
          <w:b/>
          <w:sz w:val="28"/>
          <w:szCs w:val="28"/>
        </w:rPr>
      </w:pPr>
      <w:r>
        <w:rPr>
          <w:b/>
          <w:sz w:val="28"/>
          <w:szCs w:val="28"/>
        </w:rPr>
        <w:t>图2柜体生产工艺流程及产污环节图</w:t>
      </w:r>
    </w:p>
    <w:p>
      <w:pPr>
        <w:adjustRightInd w:val="0"/>
        <w:snapToGrid w:val="0"/>
        <w:spacing w:line="240" w:lineRule="atLeast"/>
        <w:rPr>
          <w:b/>
          <w:sz w:val="28"/>
          <w:szCs w:val="28"/>
        </w:rPr>
      </w:pPr>
      <w:r>
        <w:rPr>
          <w:b/>
          <w:sz w:val="28"/>
          <w:szCs w:val="28"/>
        </w:rPr>
        <w:t>工艺流程描述：</w:t>
      </w:r>
    </w:p>
    <w:p>
      <w:pPr>
        <w:adjustRightInd w:val="0"/>
        <w:snapToGrid w:val="0"/>
        <w:spacing w:line="360" w:lineRule="auto"/>
        <w:ind w:firstLine="560" w:firstLineChars="200"/>
        <w:rPr>
          <w:sz w:val="28"/>
          <w:szCs w:val="28"/>
        </w:rPr>
      </w:pPr>
      <w:r>
        <w:rPr>
          <w:sz w:val="28"/>
          <w:szCs w:val="28"/>
        </w:rPr>
        <w:t>（1）下料：外购板材，使用木工机械按照图纸尺寸进行精确下料切割。下料过程中会产生粉尘、废边角料和噪声；</w:t>
      </w:r>
    </w:p>
    <w:p>
      <w:pPr>
        <w:adjustRightInd w:val="0"/>
        <w:snapToGrid w:val="0"/>
        <w:spacing w:line="360" w:lineRule="auto"/>
        <w:ind w:firstLine="560" w:firstLineChars="200"/>
        <w:rPr>
          <w:sz w:val="28"/>
          <w:szCs w:val="28"/>
        </w:rPr>
      </w:pPr>
      <w:r>
        <w:rPr>
          <w:sz w:val="28"/>
          <w:szCs w:val="28"/>
        </w:rPr>
        <w:t>（2）封边：下料后采用全自动封边机对切面进行封边，封边的主要作用是对木料边部进行表面保护及装饰，封边材料为PVC封边条和EVA热熔胶，该设备将熔化的熔胶涂饰到板件端面，然后将封边条压贴在板件上。热熔胶迅速固化形成胶粘力，将封边条与板件结合。之后自动进行切段、修边、刮边等环节，使板件的端面形成美观的保护。封边过程中会产生废气、固废和噪声。封边后即为成品（厂区不进行组装）；</w:t>
      </w:r>
    </w:p>
    <w:p>
      <w:pPr>
        <w:adjustRightInd w:val="0"/>
        <w:snapToGrid w:val="0"/>
        <w:spacing w:line="360" w:lineRule="auto"/>
        <w:ind w:firstLine="560" w:firstLineChars="200"/>
        <w:rPr>
          <w:sz w:val="28"/>
          <w:szCs w:val="28"/>
        </w:rPr>
        <w:sectPr>
          <w:headerReference w:type="default" r:id="rId50"/>
          <w:footerReference w:type="default" r:id="rId51"/>
          <w:type w:val="nextPage"/>
          <w:pgSz w:w="11906" w:h="16838"/>
          <w:pgMar w:top="1418" w:right="1418" w:bottom="1361" w:left="1474" w:header="993" w:footer="980" w:gutter="0"/>
          <w:pgNumType w:start="17"/>
          <w:cols w:space="708"/>
          <w:titlePg w:val="0"/>
          <w:docGrid w:type="lines" w:linePitch="312"/>
        </w:sectPr>
      </w:pPr>
      <w:r>
        <w:rPr>
          <w:sz w:val="28"/>
          <w:szCs w:val="28"/>
        </w:rPr>
        <w:t>项目封边过程中需将热熔胶颗粒放入封边机，加热至180</w:t>
      </w:r>
      <w:r>
        <w:rPr>
          <w:rFonts w:hint="eastAsia"/>
          <w:sz w:val="28"/>
          <w:szCs w:val="28"/>
        </w:rPr>
        <w:t>℃</w:t>
      </w:r>
      <w:r>
        <w:rPr>
          <w:sz w:val="28"/>
          <w:szCs w:val="28"/>
        </w:rPr>
        <w:t>到熔化状态用于面板和封条的粘连，项目所用热熔胶主要成分为EVA树脂，EVA是一种塑料物料，由乙烯（E）及乙烯基醋酸盐（VA）以自由基反应聚合而成的固态物质，热熔胶熔化温度为180</w:t>
      </w:r>
      <w:r>
        <w:rPr>
          <w:rFonts w:hint="eastAsia"/>
          <w:sz w:val="28"/>
          <w:szCs w:val="28"/>
        </w:rPr>
        <w:t>℃</w:t>
      </w:r>
      <w:r>
        <w:rPr>
          <w:sz w:val="28"/>
          <w:szCs w:val="28"/>
        </w:rPr>
        <w:t>~220</w:t>
      </w:r>
      <w:r>
        <w:rPr>
          <w:rFonts w:hint="eastAsia"/>
          <w:sz w:val="28"/>
          <w:szCs w:val="28"/>
        </w:rPr>
        <w:t>℃</w:t>
      </w:r>
      <w:r>
        <w:rPr>
          <w:sz w:val="28"/>
          <w:szCs w:val="28"/>
        </w:rPr>
        <w:t>，热分解温度为230~250</w:t>
      </w:r>
      <w:r>
        <w:rPr>
          <w:rFonts w:hint="eastAsia"/>
          <w:sz w:val="28"/>
          <w:szCs w:val="28"/>
        </w:rPr>
        <w:t>℃</w:t>
      </w:r>
      <w:r>
        <w:rPr>
          <w:sz w:val="28"/>
          <w:szCs w:val="28"/>
        </w:rPr>
        <w:t>，本项目加热温度为180</w:t>
      </w:r>
      <w:r>
        <w:rPr>
          <w:rFonts w:hint="eastAsia"/>
          <w:sz w:val="28"/>
          <w:szCs w:val="28"/>
        </w:rPr>
        <w:t>℃</w:t>
      </w:r>
    </w:p>
    <w:p>
      <w:pPr>
        <w:adjustRightInd w:val="0"/>
        <w:snapToGrid w:val="0"/>
        <w:spacing w:line="360" w:lineRule="auto"/>
        <w:ind w:firstLine="560" w:firstLineChars="200"/>
        <w:rPr>
          <w:sz w:val="28"/>
          <w:szCs w:val="28"/>
        </w:rPr>
      </w:pPr>
      <w:r>
        <w:rPr>
          <w:sz w:val="28"/>
          <w:szCs w:val="28"/>
        </w:rPr>
        <w:t>，所以热熔胶基本不发生分解反应，但根据原料分析可知，EVA聚合物聚合程度一般为85%~95%，加热过程中仍会有少量乙烯、乙酸等VOCs（以非甲烷总烃计）产生；</w:t>
      </w:r>
    </w:p>
    <w:p>
      <w:pPr>
        <w:adjustRightInd w:val="0"/>
        <w:snapToGrid w:val="0"/>
        <w:spacing w:line="360" w:lineRule="auto"/>
        <w:ind w:firstLine="560" w:firstLineChars="200"/>
        <w:rPr>
          <w:sz w:val="28"/>
          <w:szCs w:val="28"/>
        </w:rPr>
      </w:pPr>
      <w:r>
        <w:rPr>
          <w:sz w:val="28"/>
          <w:szCs w:val="28"/>
        </w:rPr>
        <w:t>（3）开孔：封边后的板料使用进行钻孔，便于购买后续安装，1m2板材大约需要钻8个孔，打孔直径为5mm~10mm。打孔过程会产生粉尘和噪声；</w:t>
      </w:r>
    </w:p>
    <w:p>
      <w:pPr>
        <w:adjustRightInd w:val="0"/>
        <w:snapToGrid w:val="0"/>
        <w:spacing w:line="360" w:lineRule="auto"/>
        <w:ind w:firstLine="560" w:firstLineChars="200"/>
        <w:rPr>
          <w:sz w:val="28"/>
          <w:szCs w:val="28"/>
        </w:rPr>
      </w:pPr>
      <w:r>
        <w:rPr>
          <w:sz w:val="28"/>
          <w:szCs w:val="28"/>
        </w:rPr>
        <w:t>（4）试拼装：柜体顶板、地板、层板、侧板依据孔位进行试拼装且做好安装标记，以便于分类包装及现场组装；</w:t>
      </w:r>
    </w:p>
    <w:p>
      <w:pPr>
        <w:adjustRightInd w:val="0"/>
        <w:snapToGrid w:val="0"/>
        <w:spacing w:line="360" w:lineRule="auto"/>
        <w:ind w:firstLine="560" w:firstLineChars="200"/>
        <w:rPr>
          <w:sz w:val="28"/>
          <w:szCs w:val="28"/>
        </w:rPr>
      </w:pPr>
      <w:r>
        <w:rPr>
          <w:sz w:val="28"/>
          <w:szCs w:val="28"/>
        </w:rPr>
        <w:t>（5）包装：采用纸箱及泡沫分类包装，以方便运输机家具保护；衣柜中有部分金属配件；如挂衣架；金属包边等；仅按照尺寸进行简单切割，与柜体一同打包。</w:t>
      </w:r>
    </w:p>
    <w:p>
      <w:pPr>
        <w:spacing w:line="480" w:lineRule="exact"/>
        <w:ind w:left="980" w:hanging="560" w:leftChars="200" w:hangingChars="200"/>
        <w:rPr>
          <w:b/>
          <w:sz w:val="28"/>
          <w:szCs w:val="28"/>
        </w:rPr>
      </w:pPr>
      <w:r>
        <w:rPr>
          <w:b/>
          <w:sz w:val="28"/>
          <w:szCs w:val="28"/>
        </w:rPr>
        <w:t>2、项目门板生产工艺流程及产污环节图</w:t>
      </w:r>
    </w:p>
    <w:p>
      <w:pPr>
        <w:spacing w:line="240" w:lineRule="atLeast"/>
        <w:ind w:left="420" w:leftChars="200"/>
        <w:jc w:val="center"/>
        <w:sectPr>
          <w:headerReference w:type="default" r:id="rId52"/>
          <w:footerReference w:type="default" r:id="rId53"/>
          <w:type w:val="nextPage"/>
          <w:pgSz w:w="11906" w:h="16838"/>
          <w:pgMar w:top="1418" w:right="1418" w:bottom="1361" w:left="1474" w:header="993" w:footer="980" w:gutter="0"/>
          <w:pgNumType w:start="18"/>
          <w:cols w:space="708"/>
          <w:titlePg w:val="0"/>
          <w:docGrid w:type="lines" w:linePitch="312"/>
        </w:sectPr>
      </w:pPr>
      <w:r>
        <w:object>
          <v:shape id="Object 4" o:spid="_x0000_i1029" type="#_x0000_t75" style="width:352.85pt;height:374.86pt;mso-position-horizontal-relative:page;mso-position-vertical-relative:page;mso-wrap-style:square" o:ole="" o:preferrelative="t" filled="f" stroked="f">
            <v:stroke linestyle="single"/>
            <v:imagedata r:id="rId54" o:title=""/>
            <v:path o:extrusionok="f"/>
            <o:lock v:ext="edit" aspectratio="t"/>
          </v:shape>
          <o:OLEObject Type="Embed" ProgID="Visio.Drawing.11" ShapeID="Object 4" DrawAspect="Content" ObjectID="_1234567891" r:id="rId55"/>
        </w:object>
      </w:r>
    </w:p>
    <w:p>
      <w:pPr>
        <w:spacing w:line="240" w:lineRule="atLeast"/>
        <w:ind w:left="420" w:leftChars="200"/>
        <w:jc w:val="center"/>
        <w:rPr>
          <w:b/>
          <w:sz w:val="28"/>
          <w:szCs w:val="28"/>
        </w:rPr>
      </w:pPr>
      <w:r>
        <w:rPr>
          <w:b/>
          <w:sz w:val="28"/>
          <w:szCs w:val="28"/>
        </w:rPr>
        <w:t>图3项目门套工艺流程及产污环节图</w:t>
      </w:r>
    </w:p>
    <w:p>
      <w:pPr>
        <w:adjustRightInd w:val="0"/>
        <w:snapToGrid w:val="0"/>
        <w:spacing w:line="240" w:lineRule="atLeast"/>
        <w:ind w:firstLine="560" w:firstLineChars="200"/>
        <w:rPr>
          <w:b/>
          <w:sz w:val="28"/>
          <w:szCs w:val="28"/>
        </w:rPr>
      </w:pPr>
      <w:r>
        <w:rPr>
          <w:b/>
          <w:sz w:val="28"/>
          <w:szCs w:val="28"/>
        </w:rPr>
        <w:t>工艺流程描述：</w:t>
      </w:r>
    </w:p>
    <w:p>
      <w:pPr>
        <w:adjustRightInd w:val="0"/>
        <w:snapToGrid w:val="0"/>
        <w:spacing w:line="360" w:lineRule="auto"/>
        <w:ind w:firstLine="560" w:firstLineChars="200"/>
        <w:rPr>
          <w:sz w:val="28"/>
          <w:szCs w:val="28"/>
        </w:rPr>
      </w:pPr>
      <w:r>
        <w:rPr>
          <w:sz w:val="28"/>
          <w:szCs w:val="28"/>
        </w:rPr>
        <w:t>（1）下料、雕刻：外购中纤板，使用木工机械按照图纸尺寸进行精确下料，雕刻简单造型，下料雕刻过程中会产生粉尘、废边角料和噪声。</w:t>
      </w:r>
    </w:p>
    <w:p>
      <w:pPr>
        <w:adjustRightInd w:val="0"/>
        <w:snapToGrid w:val="0"/>
        <w:spacing w:line="360" w:lineRule="auto"/>
        <w:ind w:firstLine="560" w:firstLineChars="200"/>
        <w:rPr>
          <w:sz w:val="28"/>
          <w:szCs w:val="28"/>
        </w:rPr>
      </w:pPr>
      <w:r>
        <w:rPr>
          <w:sz w:val="28"/>
          <w:szCs w:val="28"/>
        </w:rPr>
        <w:t>（2）喷胶：打孔后的木料采用喷枪人工进行喷胶，原料为水性真空吸塑胶，喷胶要均匀，此过程产生胶雾颗粒及有机废气。</w:t>
      </w:r>
    </w:p>
    <w:p>
      <w:pPr>
        <w:adjustRightInd w:val="0"/>
        <w:snapToGrid w:val="0"/>
        <w:spacing w:line="360" w:lineRule="auto"/>
        <w:ind w:firstLine="560" w:firstLineChars="200"/>
        <w:rPr>
          <w:sz w:val="28"/>
          <w:szCs w:val="28"/>
        </w:rPr>
      </w:pPr>
      <w:r>
        <w:rPr>
          <w:sz w:val="28"/>
          <w:szCs w:val="28"/>
        </w:rPr>
        <w:t>（3）吸塑：喷过胶的木料采用吸塑机进行自动吸塑，吸塑材料为PVC面料，吸塑过程采用电加热，温度控制在120</w:t>
      </w:r>
      <w:r>
        <w:rPr>
          <w:rFonts w:hint="eastAsia"/>
          <w:sz w:val="28"/>
          <w:szCs w:val="28"/>
        </w:rPr>
        <w:t>℃</w:t>
      </w:r>
      <w:r>
        <w:rPr>
          <w:sz w:val="28"/>
          <w:szCs w:val="28"/>
        </w:rPr>
        <w:t>左右吸塑热压。产品色彩鲜艳，立体感强，加工出来的产品实质感好。由于经过吸塑热压后能将门板四边封住成为一体，也不需要再封边，解决了有些板材封边年久开胶和易受水等问题；吸塑过程会产生少量软化废气。</w:t>
      </w:r>
    </w:p>
    <w:p>
      <w:pPr>
        <w:adjustRightInd w:val="0"/>
        <w:snapToGrid w:val="0"/>
        <w:spacing w:line="360" w:lineRule="auto"/>
        <w:ind w:firstLine="560" w:firstLineChars="200"/>
        <w:rPr>
          <w:sz w:val="28"/>
          <w:szCs w:val="28"/>
        </w:rPr>
      </w:pPr>
      <w:r>
        <w:rPr>
          <w:sz w:val="28"/>
          <w:szCs w:val="28"/>
        </w:rPr>
        <w:t>（4）修剪：吸塑后的木料经人工用小刀裁掉边角上多余的面料后，即为成品。</w:t>
      </w:r>
    </w:p>
    <w:p>
      <w:pPr>
        <w:adjustRightInd w:val="0"/>
        <w:snapToGrid w:val="0"/>
        <w:spacing w:line="360" w:lineRule="auto"/>
        <w:ind w:firstLine="560" w:firstLineChars="200"/>
        <w:rPr>
          <w:sz w:val="28"/>
          <w:szCs w:val="28"/>
        </w:rPr>
      </w:pPr>
      <w:r>
        <w:rPr>
          <w:sz w:val="28"/>
          <w:szCs w:val="28"/>
        </w:rPr>
        <w:t>（5）项目生产两种吸塑门板，一种修剪完就为成品，进入包装工序；一种为推拉式门板需用铝条封边及铝条导轨安装，安装完进入包装工序。</w:t>
      </w:r>
    </w:p>
    <w:p>
      <w:pPr>
        <w:adjustRightInd w:val="0"/>
        <w:snapToGrid w:val="0"/>
        <w:spacing w:line="360" w:lineRule="auto"/>
        <w:ind w:firstLine="560" w:firstLineChars="200"/>
        <w:rPr>
          <w:sz w:val="28"/>
          <w:szCs w:val="28"/>
        </w:rPr>
      </w:pPr>
      <w:r>
        <w:rPr>
          <w:sz w:val="28"/>
          <w:szCs w:val="28"/>
        </w:rPr>
        <w:t>（6）用包装箱及包装纸进行打包入库。</w:t>
      </w:r>
    </w:p>
    <w:p>
      <w:pPr>
        <w:spacing w:line="480" w:lineRule="exact"/>
        <w:ind w:firstLine="560" w:firstLineChars="200"/>
        <w:rPr>
          <w:b/>
          <w:sz w:val="28"/>
          <w:szCs w:val="28"/>
        </w:rPr>
        <w:sectPr>
          <w:headerReference w:type="default" r:id="rId56"/>
          <w:footerReference w:type="default" r:id="rId57"/>
          <w:type w:val="nextPage"/>
          <w:pgSz w:w="11906" w:h="16838"/>
          <w:pgMar w:top="1418" w:right="1418" w:bottom="1361" w:left="1474" w:header="993" w:footer="980" w:gutter="0"/>
          <w:pgNumType w:start="19"/>
          <w:cols w:space="708"/>
          <w:titlePg w:val="0"/>
          <w:docGrid w:type="lines" w:linePitch="312"/>
        </w:sectPr>
      </w:pPr>
      <w:r>
        <w:rPr>
          <w:b/>
          <w:sz w:val="28"/>
          <w:szCs w:val="28"/>
        </w:rPr>
        <w:t>3、项目门板生产工艺流程及产污环节图</w:t>
      </w:r>
    </w:p>
    <w:p>
      <w:pPr>
        <w:spacing w:line="240" w:lineRule="atLeast"/>
        <w:ind w:firstLine="420" w:firstLineChars="200"/>
        <w:jc w:val="center"/>
      </w:pPr>
      <w:r>
        <w:object>
          <v:shape id="Object 5" o:spid="_x0000_i1030" type="#_x0000_t75" style="width:223.8pt;height:314.95pt;mso-position-horizontal-relative:page;mso-position-vertical-relative:page;mso-wrap-style:square" o:ole="" filled="f" stroked="f">
            <v:stroke linestyle="single"/>
            <v:imagedata r:id="rId58" o:title=""/>
            <v:path o:extrusionok="f"/>
            <o:lock v:ext="edit" aspectratio="t"/>
          </v:shape>
          <o:OLEObject Type="Embed" ProgID="Visio.Drawing.11" ShapeID="Object 5" DrawAspect="Content" ObjectID="_1234567892" r:id="rId59"/>
        </w:object>
      </w:r>
    </w:p>
    <w:p>
      <w:pPr>
        <w:spacing w:line="480" w:lineRule="exact"/>
        <w:ind w:firstLine="560" w:firstLineChars="200"/>
        <w:jc w:val="center"/>
        <w:rPr>
          <w:b/>
          <w:sz w:val="28"/>
          <w:szCs w:val="28"/>
        </w:rPr>
      </w:pPr>
      <w:r>
        <w:rPr>
          <w:b/>
          <w:sz w:val="28"/>
          <w:szCs w:val="28"/>
        </w:rPr>
        <w:t>图4项目门套工艺流程及产污环节图</w:t>
      </w:r>
    </w:p>
    <w:p>
      <w:pPr>
        <w:spacing w:line="480" w:lineRule="exact"/>
        <w:ind w:firstLine="560" w:firstLineChars="200"/>
        <w:rPr>
          <w:b/>
          <w:sz w:val="28"/>
          <w:szCs w:val="28"/>
        </w:rPr>
      </w:pPr>
      <w:r>
        <w:rPr>
          <w:b/>
          <w:sz w:val="28"/>
          <w:szCs w:val="28"/>
        </w:rPr>
        <w:t>工艺流程描述：</w:t>
      </w:r>
    </w:p>
    <w:p>
      <w:pPr>
        <w:adjustRightInd w:val="0"/>
        <w:snapToGrid w:val="0"/>
        <w:spacing w:line="360" w:lineRule="auto"/>
        <w:ind w:firstLine="560" w:firstLineChars="200"/>
        <w:rPr>
          <w:sz w:val="28"/>
          <w:szCs w:val="28"/>
        </w:rPr>
      </w:pPr>
      <w:r>
        <w:rPr>
          <w:sz w:val="28"/>
          <w:szCs w:val="28"/>
        </w:rPr>
        <w:t>（1）下料：采用成品原料采用木工锯按照设计家具尺寸下料；此工序产生颗粒物、噪声；</w:t>
      </w:r>
    </w:p>
    <w:p>
      <w:pPr>
        <w:adjustRightInd w:val="0"/>
        <w:snapToGrid w:val="0"/>
        <w:spacing w:line="360" w:lineRule="auto"/>
        <w:ind w:firstLine="560" w:firstLineChars="200"/>
        <w:rPr>
          <w:sz w:val="28"/>
          <w:szCs w:val="28"/>
        </w:rPr>
      </w:pPr>
      <w:r>
        <w:rPr>
          <w:sz w:val="28"/>
          <w:szCs w:val="28"/>
        </w:rPr>
        <w:t>（2）刨、铣、开榫：采用木工机械刨、铣、开榫。完成家具部件加工，此工序产生颗粒物、噪声；</w:t>
      </w:r>
    </w:p>
    <w:p>
      <w:pPr>
        <w:adjustRightInd w:val="0"/>
        <w:snapToGrid w:val="0"/>
        <w:spacing w:line="360" w:lineRule="auto"/>
        <w:ind w:firstLine="560" w:firstLineChars="200"/>
        <w:rPr>
          <w:sz w:val="28"/>
          <w:szCs w:val="28"/>
        </w:rPr>
      </w:pPr>
      <w:r>
        <w:rPr>
          <w:sz w:val="28"/>
          <w:szCs w:val="28"/>
        </w:rPr>
        <w:t>（3）整装：将加工好的家具部件进行组装；此工序产生噪声；</w:t>
      </w:r>
    </w:p>
    <w:p>
      <w:pPr>
        <w:adjustRightInd w:val="0"/>
        <w:snapToGrid w:val="0"/>
        <w:spacing w:line="360" w:lineRule="auto"/>
        <w:ind w:firstLine="560" w:firstLineChars="200"/>
        <w:rPr>
          <w:sz w:val="28"/>
          <w:szCs w:val="28"/>
        </w:rPr>
      </w:pPr>
      <w:r>
        <w:rPr>
          <w:sz w:val="28"/>
          <w:szCs w:val="28"/>
        </w:rPr>
        <w:t>（4）砂光：采用手工机械进行砂光；此工序产生颗粒物；</w:t>
      </w:r>
    </w:p>
    <w:p>
      <w:pPr>
        <w:adjustRightInd w:val="0"/>
        <w:snapToGrid w:val="0"/>
        <w:spacing w:line="360" w:lineRule="auto"/>
        <w:ind w:firstLine="560" w:firstLineChars="200"/>
        <w:rPr>
          <w:rFonts w:hint="eastAsia"/>
          <w:sz w:val="28"/>
          <w:szCs w:val="28"/>
        </w:rPr>
      </w:pPr>
      <w:r>
        <w:rPr>
          <w:sz w:val="28"/>
          <w:szCs w:val="28"/>
        </w:rPr>
        <w:t>（5）上木松油：对家具表明上木松油。</w:t>
      </w:r>
    </w:p>
    <w:p>
      <w:pPr>
        <w:pStyle w:val="Heading3"/>
        <w:adjustRightInd w:val="0"/>
        <w:snapToGrid w:val="0"/>
        <w:spacing w:before="0" w:beforeLines="0" w:after="0" w:afterLines="0" w:line="360" w:lineRule="auto"/>
        <w:rPr>
          <w:rFonts w:eastAsia="宋体"/>
          <w:szCs w:val="28"/>
        </w:rPr>
      </w:pPr>
      <w:r>
        <w:rPr>
          <w:rFonts w:eastAsia="宋体"/>
          <w:szCs w:val="28"/>
        </w:rPr>
        <w:t>2.5.2主要生产工艺设备</w:t>
      </w:r>
      <w:bookmarkEnd w:id="132"/>
      <w:bookmarkEnd w:id="133"/>
    </w:p>
    <w:p>
      <w:pPr>
        <w:adjustRightInd w:val="0"/>
        <w:snapToGrid w:val="0"/>
        <w:spacing w:line="360" w:lineRule="auto"/>
        <w:ind w:firstLine="560" w:firstLineChars="200"/>
        <w:rPr>
          <w:spacing w:val="10"/>
          <w:sz w:val="28"/>
          <w:szCs w:val="28"/>
        </w:rPr>
      </w:pPr>
      <w:r>
        <w:rPr>
          <w:spacing w:val="10"/>
          <w:sz w:val="28"/>
          <w:szCs w:val="28"/>
        </w:rPr>
        <w:t>根据项目建设规模、产品方案和技术方案要求，综合考虑设备使用寿命，物料消耗指标，备品备件保证程度，设备投资等，项目选用的主要设备如下表所示。</w:t>
      </w:r>
    </w:p>
    <w:p>
      <w:pPr>
        <w:adjustRightInd w:val="0"/>
        <w:snapToGrid w:val="0"/>
        <w:spacing w:line="360" w:lineRule="auto"/>
        <w:ind w:firstLine="560" w:firstLineChars="200"/>
        <w:jc w:val="center"/>
        <w:rPr>
          <w:rFonts w:hint="eastAsia"/>
          <w:b/>
          <w:bCs/>
          <w:sz w:val="28"/>
          <w:szCs w:val="28"/>
        </w:rPr>
        <w:sectPr>
          <w:headerReference w:type="default" r:id="rId60"/>
          <w:footerReference w:type="default" r:id="rId61"/>
          <w:type w:val="nextPage"/>
          <w:pgSz w:w="11906" w:h="16838"/>
          <w:pgMar w:top="1418" w:right="1418" w:bottom="1361" w:left="1474" w:header="993" w:footer="980" w:gutter="0"/>
          <w:pgNumType w:start="20"/>
          <w:cols w:space="708"/>
          <w:titlePg w:val="0"/>
          <w:docGrid w:type="lines" w:linePitch="312"/>
        </w:sectPr>
      </w:pPr>
      <w:r>
        <w:rPr>
          <w:b/>
          <w:bCs/>
          <w:sz w:val="28"/>
          <w:szCs w:val="28"/>
        </w:rPr>
        <w:t>表2-5生产设备清单</w:t>
      </w:r>
    </w:p>
    <w:tbl>
      <w:tblPr>
        <w:tblStyle w:val="TableNormal"/>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5"/>
        <w:gridCol w:w="2294"/>
        <w:gridCol w:w="1433"/>
        <w:gridCol w:w="1720"/>
        <w:gridCol w:w="2646"/>
      </w:tblGrid>
      <w:tr>
        <w:tblPrEx>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1033" w:type="dxa"/>
            <w:vAlign w:val="center"/>
          </w:tcPr>
          <w:p>
            <w:pPr>
              <w:adjustRightInd w:val="0"/>
              <w:snapToGrid w:val="0"/>
              <w:spacing w:line="240" w:lineRule="atLeast"/>
              <w:jc w:val="center"/>
              <w:rPr>
                <w:szCs w:val="21"/>
              </w:rPr>
            </w:pPr>
            <w:r>
              <w:rPr>
                <w:szCs w:val="21"/>
              </w:rPr>
              <w:t>序号</w:t>
            </w:r>
          </w:p>
        </w:tc>
        <w:tc>
          <w:tcPr>
            <w:tcW w:w="2268" w:type="dxa"/>
            <w:vAlign w:val="center"/>
          </w:tcPr>
          <w:p>
            <w:pPr>
              <w:adjustRightInd w:val="0"/>
              <w:snapToGrid w:val="0"/>
              <w:spacing w:line="240" w:lineRule="atLeast"/>
              <w:jc w:val="center"/>
              <w:rPr>
                <w:szCs w:val="21"/>
              </w:rPr>
            </w:pPr>
            <w:r>
              <w:rPr>
                <w:szCs w:val="21"/>
              </w:rPr>
              <w:t>设备名称</w:t>
            </w:r>
          </w:p>
        </w:tc>
        <w:tc>
          <w:tcPr>
            <w:tcW w:w="1417" w:type="dxa"/>
            <w:vAlign w:val="center"/>
          </w:tcPr>
          <w:p>
            <w:pPr>
              <w:adjustRightInd w:val="0"/>
              <w:snapToGrid w:val="0"/>
              <w:spacing w:line="240" w:lineRule="atLeast"/>
              <w:jc w:val="center"/>
              <w:rPr>
                <w:szCs w:val="21"/>
              </w:rPr>
            </w:pPr>
            <w:r>
              <w:rPr>
                <w:szCs w:val="21"/>
              </w:rPr>
              <w:t>单位</w:t>
            </w:r>
          </w:p>
        </w:tc>
        <w:tc>
          <w:tcPr>
            <w:tcW w:w="1701" w:type="dxa"/>
            <w:vAlign w:val="center"/>
          </w:tcPr>
          <w:p>
            <w:pPr>
              <w:adjustRightInd w:val="0"/>
              <w:snapToGrid w:val="0"/>
              <w:spacing w:line="240" w:lineRule="atLeast"/>
              <w:jc w:val="center"/>
              <w:rPr>
                <w:szCs w:val="21"/>
              </w:rPr>
            </w:pPr>
            <w:r>
              <w:rPr>
                <w:szCs w:val="21"/>
              </w:rPr>
              <w:t>数量</w:t>
            </w:r>
          </w:p>
        </w:tc>
        <w:tc>
          <w:tcPr>
            <w:tcW w:w="2616" w:type="dxa"/>
            <w:vAlign w:val="center"/>
          </w:tcPr>
          <w:p>
            <w:pPr>
              <w:adjustRightInd w:val="0"/>
              <w:snapToGrid w:val="0"/>
              <w:spacing w:line="240" w:lineRule="atLeast"/>
              <w:jc w:val="center"/>
              <w:rPr>
                <w:szCs w:val="21"/>
              </w:rPr>
            </w:pPr>
            <w:r>
              <w:rPr>
                <w:szCs w:val="21"/>
              </w:rPr>
              <w:t>备注</w:t>
            </w: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widowControl/>
              <w:jc w:val="center"/>
              <w:rPr>
                <w:kern w:val="0"/>
                <w:sz w:val="24"/>
              </w:rPr>
            </w:pPr>
            <w:r>
              <w:t>1</w:t>
            </w:r>
          </w:p>
        </w:tc>
        <w:tc>
          <w:tcPr>
            <w:tcW w:w="2268" w:type="dxa"/>
            <w:vAlign w:val="center"/>
          </w:tcPr>
          <w:p>
            <w:pPr>
              <w:widowControl/>
              <w:jc w:val="center"/>
              <w:rPr>
                <w:kern w:val="0"/>
                <w:sz w:val="24"/>
              </w:rPr>
            </w:pPr>
            <w:r>
              <w:t>侧孔机</w:t>
            </w:r>
          </w:p>
        </w:tc>
        <w:tc>
          <w:tcPr>
            <w:tcW w:w="1417" w:type="dxa"/>
            <w:vAlign w:val="center"/>
          </w:tcPr>
          <w:p>
            <w:pPr>
              <w:tabs>
                <w:tab w:val="left" w:pos="3780"/>
              </w:tabs>
              <w:adjustRightInd w:val="0"/>
              <w:snapToGrid w:val="0"/>
              <w:spacing w:line="240" w:lineRule="atLeast"/>
              <w:jc w:val="center"/>
              <w:rPr>
                <w:szCs w:val="21"/>
              </w:rPr>
            </w:pPr>
            <w:r>
              <w:rPr>
                <w:szCs w:val="21"/>
              </w:rPr>
              <w:t>台</w:t>
            </w:r>
          </w:p>
        </w:tc>
        <w:tc>
          <w:tcPr>
            <w:tcW w:w="1701" w:type="dxa"/>
            <w:vAlign w:val="center"/>
          </w:tcPr>
          <w:p>
            <w:pPr>
              <w:widowControl/>
              <w:jc w:val="center"/>
              <w:rPr>
                <w:kern w:val="0"/>
                <w:sz w:val="24"/>
              </w:rPr>
            </w:pPr>
            <w:r>
              <w:t>2</w:t>
            </w:r>
          </w:p>
        </w:tc>
        <w:tc>
          <w:tcPr>
            <w:tcW w:w="2616" w:type="dxa"/>
            <w:vMerge w:val="restart"/>
            <w:vAlign w:val="center"/>
          </w:tcPr>
          <w:p>
            <w:pPr>
              <w:widowControl/>
              <w:jc w:val="center"/>
            </w:pPr>
            <w:r>
              <w:t>1号车间</w:t>
            </w: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2</w:t>
            </w:r>
          </w:p>
        </w:tc>
        <w:tc>
          <w:tcPr>
            <w:tcW w:w="2268" w:type="dxa"/>
            <w:vAlign w:val="center"/>
          </w:tcPr>
          <w:p>
            <w:pPr>
              <w:jc w:val="center"/>
            </w:pPr>
            <w:r>
              <w:t>封边机</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2</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3</w:t>
            </w:r>
          </w:p>
        </w:tc>
        <w:tc>
          <w:tcPr>
            <w:tcW w:w="2268" w:type="dxa"/>
            <w:vAlign w:val="center"/>
          </w:tcPr>
          <w:p>
            <w:pPr>
              <w:jc w:val="center"/>
            </w:pPr>
            <w:r>
              <w:t>下料机</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3</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4</w:t>
            </w:r>
          </w:p>
        </w:tc>
        <w:tc>
          <w:tcPr>
            <w:tcW w:w="2268" w:type="dxa"/>
            <w:vAlign w:val="center"/>
          </w:tcPr>
          <w:p>
            <w:pPr>
              <w:jc w:val="center"/>
            </w:pPr>
            <w:r>
              <w:t>精密锯</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2</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5</w:t>
            </w:r>
          </w:p>
        </w:tc>
        <w:tc>
          <w:tcPr>
            <w:tcW w:w="2268" w:type="dxa"/>
            <w:vAlign w:val="center"/>
          </w:tcPr>
          <w:p>
            <w:pPr>
              <w:jc w:val="center"/>
            </w:pPr>
            <w:r>
              <w:t>下料机</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2</w:t>
            </w:r>
          </w:p>
        </w:tc>
        <w:tc>
          <w:tcPr>
            <w:tcW w:w="2616" w:type="dxa"/>
            <w:vMerge w:val="restart"/>
            <w:vAlign w:val="center"/>
          </w:tcPr>
          <w:p>
            <w:pPr>
              <w:jc w:val="center"/>
            </w:pPr>
            <w:r>
              <w:t>2号车间</w:t>
            </w: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6</w:t>
            </w:r>
          </w:p>
        </w:tc>
        <w:tc>
          <w:tcPr>
            <w:tcW w:w="2268" w:type="dxa"/>
            <w:vAlign w:val="center"/>
          </w:tcPr>
          <w:p>
            <w:pPr>
              <w:jc w:val="center"/>
            </w:pPr>
            <w:r>
              <w:t>立式钻机</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3</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7</w:t>
            </w:r>
          </w:p>
        </w:tc>
        <w:tc>
          <w:tcPr>
            <w:tcW w:w="2268" w:type="dxa"/>
            <w:vAlign w:val="center"/>
          </w:tcPr>
          <w:p>
            <w:pPr>
              <w:jc w:val="center"/>
            </w:pPr>
            <w:r>
              <w:t>精密锯</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8</w:t>
            </w:r>
          </w:p>
        </w:tc>
        <w:tc>
          <w:tcPr>
            <w:tcW w:w="2268" w:type="dxa"/>
            <w:vAlign w:val="center"/>
          </w:tcPr>
          <w:p>
            <w:pPr>
              <w:jc w:val="center"/>
            </w:pPr>
            <w:r>
              <w:t>镂铣机</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9</w:t>
            </w:r>
          </w:p>
        </w:tc>
        <w:tc>
          <w:tcPr>
            <w:tcW w:w="2268" w:type="dxa"/>
            <w:vAlign w:val="center"/>
          </w:tcPr>
          <w:p>
            <w:pPr>
              <w:jc w:val="center"/>
            </w:pPr>
            <w:r>
              <w:t>封边机</w:t>
            </w:r>
          </w:p>
        </w:tc>
        <w:tc>
          <w:tcPr>
            <w:tcW w:w="1417" w:type="dxa"/>
            <w:vAlign w:val="center"/>
          </w:tcPr>
          <w:p>
            <w:pPr>
              <w:adjustRightInd w:val="0"/>
              <w:snapToGrid w:val="0"/>
              <w:spacing w:line="240" w:lineRule="atLeast"/>
              <w:jc w:val="center"/>
              <w:rPr>
                <w:szCs w:val="21"/>
              </w:rPr>
            </w:pPr>
            <w: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11</w:t>
            </w:r>
          </w:p>
        </w:tc>
        <w:tc>
          <w:tcPr>
            <w:tcW w:w="2268" w:type="dxa"/>
            <w:vAlign w:val="center"/>
          </w:tcPr>
          <w:p>
            <w:pPr>
              <w:jc w:val="center"/>
            </w:pPr>
            <w:r>
              <w:t>空压机</w:t>
            </w:r>
          </w:p>
        </w:tc>
        <w:tc>
          <w:tcPr>
            <w:tcW w:w="1417" w:type="dxa"/>
            <w:vAlign w:val="center"/>
          </w:tcPr>
          <w:p>
            <w:pPr>
              <w:adjustRightInd w:val="0"/>
              <w:snapToGrid w:val="0"/>
              <w:spacing w:line="240" w:lineRule="atLeast"/>
              <w:jc w:val="center"/>
              <w:rPr>
                <w:szCs w:val="21"/>
              </w:rPr>
            </w:pPr>
            <w: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12</w:t>
            </w:r>
          </w:p>
        </w:tc>
        <w:tc>
          <w:tcPr>
            <w:tcW w:w="2268" w:type="dxa"/>
            <w:vAlign w:val="center"/>
          </w:tcPr>
          <w:p>
            <w:pPr>
              <w:jc w:val="center"/>
            </w:pPr>
            <w:r>
              <w:t>磨光机</w:t>
            </w:r>
          </w:p>
        </w:tc>
        <w:tc>
          <w:tcPr>
            <w:tcW w:w="1417" w:type="dxa"/>
            <w:vAlign w:val="center"/>
          </w:tcPr>
          <w:p>
            <w:pPr>
              <w:adjustRightInd w:val="0"/>
              <w:snapToGrid w:val="0"/>
              <w:spacing w:line="240" w:lineRule="atLeast"/>
              <w:jc w:val="center"/>
              <w:rPr>
                <w:szCs w:val="21"/>
              </w:rPr>
            </w:pPr>
            <w: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13</w:t>
            </w:r>
          </w:p>
        </w:tc>
        <w:tc>
          <w:tcPr>
            <w:tcW w:w="2268" w:type="dxa"/>
            <w:vAlign w:val="center"/>
          </w:tcPr>
          <w:p>
            <w:pPr>
              <w:jc w:val="center"/>
            </w:pPr>
            <w:r>
              <w:t>打磨机</w:t>
            </w:r>
          </w:p>
        </w:tc>
        <w:tc>
          <w:tcPr>
            <w:tcW w:w="1417" w:type="dxa"/>
            <w:vAlign w:val="center"/>
          </w:tcPr>
          <w:p>
            <w:pPr>
              <w:adjustRightInd w:val="0"/>
              <w:snapToGrid w:val="0"/>
              <w:spacing w:line="240" w:lineRule="atLeast"/>
              <w:jc w:val="center"/>
            </w:pPr>
            <w: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14</w:t>
            </w:r>
          </w:p>
        </w:tc>
        <w:tc>
          <w:tcPr>
            <w:tcW w:w="2268" w:type="dxa"/>
            <w:vAlign w:val="center"/>
          </w:tcPr>
          <w:p>
            <w:pPr>
              <w:jc w:val="center"/>
            </w:pPr>
            <w:r>
              <w:t>吸塑机</w:t>
            </w:r>
          </w:p>
        </w:tc>
        <w:tc>
          <w:tcPr>
            <w:tcW w:w="1417" w:type="dxa"/>
            <w:vAlign w:val="center"/>
          </w:tcPr>
          <w:p>
            <w:pPr>
              <w:adjustRightInd w:val="0"/>
              <w:snapToGrid w:val="0"/>
              <w:spacing w:line="240" w:lineRule="atLeast"/>
              <w:jc w:val="center"/>
              <w:rPr>
                <w:szCs w:val="21"/>
              </w:rPr>
            </w:pPr>
            <w:r>
              <w:rPr>
                <w:szCs w:val="21"/>
              </w:rP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15</w:t>
            </w:r>
          </w:p>
        </w:tc>
        <w:tc>
          <w:tcPr>
            <w:tcW w:w="2268" w:type="dxa"/>
            <w:vAlign w:val="center"/>
          </w:tcPr>
          <w:p>
            <w:pPr>
              <w:jc w:val="center"/>
            </w:pPr>
            <w:r>
              <w:t>立式锯</w:t>
            </w:r>
          </w:p>
        </w:tc>
        <w:tc>
          <w:tcPr>
            <w:tcW w:w="1417" w:type="dxa"/>
            <w:vAlign w:val="center"/>
          </w:tcPr>
          <w:p>
            <w:pPr>
              <w:adjustRightInd w:val="0"/>
              <w:snapToGrid w:val="0"/>
              <w:spacing w:line="240" w:lineRule="atLeast"/>
              <w:jc w:val="center"/>
              <w:rPr>
                <w:szCs w:val="21"/>
              </w:rPr>
            </w:pPr>
            <w:r>
              <w:t>台</w:t>
            </w:r>
          </w:p>
        </w:tc>
        <w:tc>
          <w:tcPr>
            <w:tcW w:w="1701" w:type="dxa"/>
            <w:vAlign w:val="center"/>
          </w:tcPr>
          <w:p>
            <w:pPr>
              <w:jc w:val="center"/>
            </w:pPr>
            <w:r>
              <w:t>1</w:t>
            </w:r>
          </w:p>
        </w:tc>
        <w:tc>
          <w:tcPr>
            <w:tcW w:w="2616" w:type="dxa"/>
            <w:vMerge w:val="restart"/>
            <w:vAlign w:val="center"/>
          </w:tcPr>
          <w:p>
            <w:pPr>
              <w:jc w:val="center"/>
            </w:pPr>
            <w:r>
              <w:t>3号车间</w:t>
            </w: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16</w:t>
            </w:r>
          </w:p>
        </w:tc>
        <w:tc>
          <w:tcPr>
            <w:tcW w:w="2268" w:type="dxa"/>
            <w:vAlign w:val="center"/>
          </w:tcPr>
          <w:p>
            <w:pPr>
              <w:jc w:val="center"/>
            </w:pPr>
            <w:r>
              <w:t>压刨机</w:t>
            </w:r>
          </w:p>
        </w:tc>
        <w:tc>
          <w:tcPr>
            <w:tcW w:w="1417" w:type="dxa"/>
            <w:vAlign w:val="center"/>
          </w:tcPr>
          <w:p>
            <w:pPr>
              <w:adjustRightInd w:val="0"/>
              <w:snapToGrid w:val="0"/>
              <w:spacing w:line="240" w:lineRule="atLeast"/>
              <w:jc w:val="center"/>
              <w:rPr>
                <w:szCs w:val="21"/>
              </w:rPr>
            </w:pPr>
            <w: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17</w:t>
            </w:r>
          </w:p>
        </w:tc>
        <w:tc>
          <w:tcPr>
            <w:tcW w:w="2268" w:type="dxa"/>
            <w:vAlign w:val="center"/>
          </w:tcPr>
          <w:p>
            <w:pPr>
              <w:jc w:val="center"/>
            </w:pPr>
            <w:r>
              <w:t>平刨机</w:t>
            </w:r>
          </w:p>
        </w:tc>
        <w:tc>
          <w:tcPr>
            <w:tcW w:w="1417" w:type="dxa"/>
            <w:vAlign w:val="center"/>
          </w:tcPr>
          <w:p>
            <w:pPr>
              <w:jc w:val="center"/>
            </w:pPr>
            <w: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18</w:t>
            </w:r>
          </w:p>
        </w:tc>
        <w:tc>
          <w:tcPr>
            <w:tcW w:w="2268" w:type="dxa"/>
            <w:vAlign w:val="center"/>
          </w:tcPr>
          <w:p>
            <w:pPr>
              <w:jc w:val="center"/>
            </w:pPr>
            <w:r>
              <w:t>精密锯</w:t>
            </w:r>
          </w:p>
        </w:tc>
        <w:tc>
          <w:tcPr>
            <w:tcW w:w="1417" w:type="dxa"/>
            <w:vAlign w:val="center"/>
          </w:tcPr>
          <w:p>
            <w:pPr>
              <w:jc w:val="center"/>
            </w:pPr>
            <w:r>
              <w:t>台</w:t>
            </w:r>
          </w:p>
        </w:tc>
        <w:tc>
          <w:tcPr>
            <w:tcW w:w="1701" w:type="dxa"/>
            <w:vAlign w:val="center"/>
          </w:tcPr>
          <w:p>
            <w:pPr>
              <w:jc w:val="center"/>
            </w:pPr>
            <w:r>
              <w:t>1</w:t>
            </w:r>
          </w:p>
        </w:tc>
        <w:tc>
          <w:tcPr>
            <w:tcW w:w="2616" w:type="dxa"/>
            <w:vMerge/>
            <w:vAlign w:val="center"/>
          </w:tcPr>
          <w:p>
            <w:pPr>
              <w:jc w:val="center"/>
            </w:pPr>
          </w:p>
        </w:tc>
      </w:tr>
      <w:tr>
        <w:tblPrEx>
          <w:tblW w:w="4950" w:type="pct"/>
          <w:jc w:val="center"/>
          <w:tblLayout w:type="fixed"/>
          <w:tblCellMar>
            <w:top w:w="0" w:type="dxa"/>
            <w:left w:w="108" w:type="dxa"/>
            <w:bottom w:w="0" w:type="dxa"/>
            <w:right w:w="108" w:type="dxa"/>
          </w:tblCellMar>
          <w:tblLook w:val="0000"/>
        </w:tblPrEx>
        <w:trPr>
          <w:trHeight w:val="397"/>
          <w:jc w:val="center"/>
        </w:trPr>
        <w:tc>
          <w:tcPr>
            <w:tcW w:w="1033" w:type="dxa"/>
            <w:vAlign w:val="center"/>
          </w:tcPr>
          <w:p>
            <w:pPr>
              <w:jc w:val="center"/>
            </w:pPr>
            <w:r>
              <w:t>19</w:t>
            </w:r>
          </w:p>
        </w:tc>
        <w:tc>
          <w:tcPr>
            <w:tcW w:w="2268" w:type="dxa"/>
            <w:vAlign w:val="center"/>
          </w:tcPr>
          <w:p>
            <w:pPr>
              <w:jc w:val="center"/>
            </w:pPr>
            <w:r>
              <w:t>下料机</w:t>
            </w:r>
          </w:p>
        </w:tc>
        <w:tc>
          <w:tcPr>
            <w:tcW w:w="1417" w:type="dxa"/>
            <w:vAlign w:val="center"/>
          </w:tcPr>
          <w:p>
            <w:pPr>
              <w:jc w:val="center"/>
            </w:pPr>
            <w:r>
              <w:t>台</w:t>
            </w:r>
          </w:p>
        </w:tc>
        <w:tc>
          <w:tcPr>
            <w:tcW w:w="1701" w:type="dxa"/>
            <w:vAlign w:val="center"/>
          </w:tcPr>
          <w:p>
            <w:pPr>
              <w:jc w:val="center"/>
            </w:pPr>
            <w:r>
              <w:t>1</w:t>
            </w:r>
          </w:p>
        </w:tc>
        <w:tc>
          <w:tcPr>
            <w:tcW w:w="2616" w:type="dxa"/>
            <w:vMerge/>
            <w:vAlign w:val="center"/>
          </w:tcPr>
          <w:p>
            <w:pPr>
              <w:jc w:val="center"/>
            </w:pPr>
          </w:p>
        </w:tc>
      </w:tr>
    </w:tbl>
    <w:p>
      <w:pPr>
        <w:adjustRightInd w:val="0"/>
        <w:snapToGrid w:val="0"/>
        <w:spacing w:line="360" w:lineRule="auto"/>
        <w:ind w:firstLine="560" w:firstLineChars="200"/>
        <w:jc w:val="center"/>
        <w:rPr>
          <w:rFonts w:hint="eastAsia"/>
          <w:b/>
          <w:bCs/>
          <w:sz w:val="28"/>
          <w:szCs w:val="28"/>
        </w:rPr>
      </w:pPr>
    </w:p>
    <w:p>
      <w:pPr>
        <w:pStyle w:val="Heading2"/>
        <w:adjustRightInd w:val="0"/>
        <w:snapToGrid w:val="0"/>
        <w:spacing w:before="0" w:after="0" w:line="360" w:lineRule="auto"/>
        <w:rPr>
          <w:rFonts w:ascii="Times New Roman" w:eastAsia="楷体" w:hAnsi="Times New Roman"/>
        </w:rPr>
      </w:pPr>
      <w:bookmarkStart w:id="134" w:name="_Toc14347178"/>
      <w:r>
        <w:rPr>
          <w:rFonts w:ascii="Times New Roman" w:eastAsia="楷体" w:hAnsi="Times New Roman"/>
        </w:rPr>
        <w:t>2.6建筑与结构</w:t>
      </w:r>
      <w:bookmarkEnd w:id="134"/>
    </w:p>
    <w:p>
      <w:pPr>
        <w:adjustRightInd w:val="0"/>
        <w:snapToGrid w:val="0"/>
        <w:spacing w:line="360" w:lineRule="auto"/>
        <w:ind w:firstLine="560" w:firstLineChars="200"/>
        <w:jc w:val="left"/>
        <w:rPr>
          <w:sz w:val="28"/>
          <w:szCs w:val="28"/>
        </w:rPr>
      </w:pPr>
      <w:bookmarkStart w:id="135" w:name="_Toc522091593"/>
      <w:r>
        <w:rPr>
          <w:sz w:val="28"/>
          <w:szCs w:val="28"/>
        </w:rPr>
        <w:t>1、</w:t>
      </w:r>
      <w:r>
        <w:rPr>
          <w:sz w:val="28"/>
          <w:szCs w:val="28"/>
        </w:rPr>
        <w:pict>
          <v:line id="直线 238" o:spid="_x0000_s1031" style="mso-wrap-style:square;position:absolute;z-index:251660288" from="5.25pt,109.2pt" to="5.3pt,109.2pt" o:allowincell="f">
            <v:stroke linestyle="single"/>
          </v:line>
        </w:pict>
      </w:r>
      <w:r>
        <w:rPr>
          <w:sz w:val="28"/>
          <w:szCs w:val="28"/>
        </w:rPr>
        <w:t>本项目涉及的建构筑物见表2-6。</w:t>
      </w:r>
    </w:p>
    <w:p>
      <w:pPr>
        <w:adjustRightInd w:val="0"/>
        <w:snapToGrid w:val="0"/>
        <w:spacing w:line="360" w:lineRule="auto"/>
        <w:ind w:firstLine="480" w:firstLineChars="200"/>
        <w:jc w:val="center"/>
        <w:rPr>
          <w:rFonts w:eastAsia="黑体"/>
          <w:b/>
          <w:sz w:val="24"/>
        </w:rPr>
      </w:pPr>
      <w:r>
        <w:rPr>
          <w:rFonts w:eastAsia="黑体"/>
          <w:b/>
          <w:sz w:val="24"/>
        </w:rPr>
        <w:t>表2-6建构筑物一览表</w:t>
      </w:r>
    </w:p>
    <w:tbl>
      <w:tblPr>
        <w:tblStyle w:val="TableNormal"/>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140"/>
        <w:gridCol w:w="1990"/>
        <w:gridCol w:w="1793"/>
        <w:gridCol w:w="1793"/>
        <w:gridCol w:w="1514"/>
      </w:tblGrid>
      <w:tr>
        <w:tblPrEx>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465"/>
          <w:tblHeader/>
          <w:jc w:val="center"/>
        </w:trPr>
        <w:tc>
          <w:tcPr>
            <w:tcW w:w="2140" w:type="dxa"/>
            <w:tcBorders>
              <w:top w:val="single" w:sz="12" w:space="0" w:color="auto"/>
            </w:tcBorders>
            <w:vAlign w:val="center"/>
          </w:tcPr>
          <w:p>
            <w:pPr>
              <w:widowControl/>
              <w:jc w:val="center"/>
              <w:rPr>
                <w:b/>
                <w:kern w:val="0"/>
                <w:sz w:val="24"/>
              </w:rPr>
            </w:pPr>
            <w:r>
              <w:rPr>
                <w:b/>
                <w:kern w:val="0"/>
                <w:sz w:val="24"/>
              </w:rPr>
              <w:t>建设项目</w:t>
            </w:r>
          </w:p>
        </w:tc>
        <w:tc>
          <w:tcPr>
            <w:tcW w:w="1990" w:type="dxa"/>
            <w:tcBorders>
              <w:top w:val="single" w:sz="12" w:space="0" w:color="auto"/>
            </w:tcBorders>
            <w:vAlign w:val="center"/>
          </w:tcPr>
          <w:p>
            <w:pPr>
              <w:widowControl/>
              <w:jc w:val="center"/>
              <w:rPr>
                <w:b/>
                <w:kern w:val="0"/>
                <w:sz w:val="24"/>
              </w:rPr>
            </w:pPr>
            <w:r>
              <w:rPr>
                <w:b/>
                <w:kern w:val="0"/>
                <w:sz w:val="24"/>
              </w:rPr>
              <w:t>建筑面积</w:t>
            </w:r>
          </w:p>
        </w:tc>
        <w:tc>
          <w:tcPr>
            <w:tcW w:w="1793" w:type="dxa"/>
            <w:tcBorders>
              <w:top w:val="single" w:sz="12" w:space="0" w:color="auto"/>
            </w:tcBorders>
            <w:vAlign w:val="center"/>
          </w:tcPr>
          <w:p>
            <w:pPr>
              <w:widowControl/>
              <w:jc w:val="center"/>
              <w:rPr>
                <w:b/>
                <w:kern w:val="0"/>
                <w:sz w:val="24"/>
              </w:rPr>
            </w:pPr>
            <w:r>
              <w:rPr>
                <w:b/>
                <w:kern w:val="0"/>
                <w:sz w:val="24"/>
              </w:rPr>
              <w:t>结构</w:t>
            </w:r>
          </w:p>
        </w:tc>
        <w:tc>
          <w:tcPr>
            <w:tcW w:w="1793" w:type="dxa"/>
            <w:tcBorders>
              <w:top w:val="single" w:sz="12" w:space="0" w:color="auto"/>
            </w:tcBorders>
            <w:vAlign w:val="center"/>
          </w:tcPr>
          <w:p>
            <w:pPr>
              <w:widowControl/>
              <w:jc w:val="center"/>
              <w:rPr>
                <w:b/>
                <w:kern w:val="0"/>
                <w:sz w:val="24"/>
              </w:rPr>
            </w:pPr>
            <w:r>
              <w:rPr>
                <w:b/>
                <w:kern w:val="0"/>
                <w:sz w:val="24"/>
              </w:rPr>
              <w:t>耐火等级</w:t>
            </w:r>
          </w:p>
        </w:tc>
        <w:tc>
          <w:tcPr>
            <w:tcW w:w="1514" w:type="dxa"/>
            <w:tcBorders>
              <w:top w:val="single" w:sz="12" w:space="0" w:color="auto"/>
            </w:tcBorders>
            <w:vAlign w:val="center"/>
          </w:tcPr>
          <w:p>
            <w:pPr>
              <w:widowControl/>
              <w:jc w:val="center"/>
              <w:rPr>
                <w:b/>
                <w:kern w:val="0"/>
                <w:sz w:val="24"/>
              </w:rPr>
            </w:pPr>
            <w:r>
              <w:rPr>
                <w:b/>
                <w:kern w:val="0"/>
                <w:sz w:val="24"/>
              </w:rPr>
              <w:t>火灾危险性</w:t>
            </w:r>
          </w:p>
        </w:tc>
      </w:tr>
      <w:tr>
        <w:tblPrEx>
          <w:tblW w:w="5000" w:type="pct"/>
          <w:jc w:val="center"/>
          <w:tblLayout w:type="fixed"/>
          <w:tblCellMar>
            <w:top w:w="0" w:type="dxa"/>
            <w:left w:w="108" w:type="dxa"/>
            <w:bottom w:w="0" w:type="dxa"/>
            <w:right w:w="108" w:type="dxa"/>
          </w:tblCellMar>
          <w:tblLook w:val="0000"/>
        </w:tblPrEx>
        <w:trPr>
          <w:trHeight w:val="271"/>
          <w:jc w:val="center"/>
        </w:trPr>
        <w:tc>
          <w:tcPr>
            <w:tcW w:w="2140" w:type="dxa"/>
            <w:tcBorders>
              <w:top w:val="single" w:sz="4" w:space="0" w:color="auto"/>
              <w:bottom w:val="single" w:sz="4" w:space="0" w:color="auto"/>
            </w:tcBorders>
            <w:vAlign w:val="center"/>
          </w:tcPr>
          <w:p>
            <w:pPr>
              <w:jc w:val="center"/>
              <w:rPr>
                <w:sz w:val="24"/>
              </w:rPr>
            </w:pPr>
            <w:r>
              <w:rPr>
                <w:sz w:val="24"/>
              </w:rPr>
              <w:t>1#</w:t>
            </w:r>
            <w:r>
              <w:rPr>
                <w:rFonts w:hint="eastAsia"/>
                <w:sz w:val="24"/>
              </w:rPr>
              <w:t>生产</w:t>
            </w:r>
            <w:r>
              <w:rPr>
                <w:sz w:val="24"/>
              </w:rPr>
              <w:t>厂房</w:t>
            </w:r>
          </w:p>
        </w:tc>
        <w:tc>
          <w:tcPr>
            <w:tcW w:w="1990" w:type="dxa"/>
            <w:vAlign w:val="center"/>
          </w:tcPr>
          <w:p>
            <w:pPr>
              <w:widowControl/>
              <w:jc w:val="center"/>
              <w:rPr>
                <w:kern w:val="0"/>
                <w:sz w:val="24"/>
              </w:rPr>
            </w:pPr>
            <w:r>
              <w:rPr>
                <w:sz w:val="24"/>
              </w:rPr>
              <w:t>700m</w:t>
            </w:r>
            <w:r>
              <w:rPr>
                <w:sz w:val="24"/>
                <w:vertAlign w:val="superscript"/>
              </w:rPr>
              <w:t>2</w:t>
            </w:r>
          </w:p>
        </w:tc>
        <w:tc>
          <w:tcPr>
            <w:tcW w:w="1793" w:type="dxa"/>
            <w:vAlign w:val="center"/>
          </w:tcPr>
          <w:p>
            <w:pPr>
              <w:widowControl/>
              <w:jc w:val="center"/>
              <w:rPr>
                <w:kern w:val="0"/>
                <w:sz w:val="24"/>
              </w:rPr>
            </w:pPr>
            <w:r>
              <w:rPr>
                <w:kern w:val="0"/>
                <w:sz w:val="24"/>
              </w:rPr>
              <w:t>框架结构</w:t>
            </w:r>
          </w:p>
        </w:tc>
        <w:tc>
          <w:tcPr>
            <w:tcW w:w="1793" w:type="dxa"/>
            <w:vAlign w:val="center"/>
          </w:tcPr>
          <w:p>
            <w:pPr>
              <w:widowControl/>
              <w:jc w:val="center"/>
              <w:rPr>
                <w:kern w:val="0"/>
                <w:sz w:val="24"/>
              </w:rPr>
            </w:pPr>
            <w:r>
              <w:rPr>
                <w:kern w:val="0"/>
                <w:sz w:val="24"/>
              </w:rPr>
              <w:t>二级</w:t>
            </w:r>
          </w:p>
        </w:tc>
        <w:tc>
          <w:tcPr>
            <w:tcW w:w="1514" w:type="dxa"/>
            <w:vAlign w:val="center"/>
          </w:tcPr>
          <w:p>
            <w:pPr>
              <w:widowControl/>
              <w:jc w:val="center"/>
              <w:rPr>
                <w:kern w:val="0"/>
                <w:sz w:val="24"/>
              </w:rPr>
            </w:pPr>
            <w:r>
              <w:rPr>
                <w:rFonts w:hint="eastAsia"/>
                <w:kern w:val="0"/>
                <w:sz w:val="24"/>
              </w:rPr>
              <w:t>丙</w:t>
            </w:r>
            <w:r>
              <w:rPr>
                <w:kern w:val="0"/>
                <w:sz w:val="24"/>
              </w:rPr>
              <w:t>类</w:t>
            </w:r>
          </w:p>
        </w:tc>
      </w:tr>
      <w:tr>
        <w:tblPrEx>
          <w:tblW w:w="5000" w:type="pct"/>
          <w:jc w:val="center"/>
          <w:tblLayout w:type="fixed"/>
          <w:tblCellMar>
            <w:top w:w="0" w:type="dxa"/>
            <w:left w:w="108" w:type="dxa"/>
            <w:bottom w:w="0" w:type="dxa"/>
            <w:right w:w="108" w:type="dxa"/>
          </w:tblCellMar>
          <w:tblLook w:val="0000"/>
        </w:tblPrEx>
        <w:trPr>
          <w:trHeight w:val="271"/>
          <w:jc w:val="center"/>
        </w:trPr>
        <w:tc>
          <w:tcPr>
            <w:tcW w:w="2140" w:type="dxa"/>
            <w:tcBorders>
              <w:top w:val="single" w:sz="4" w:space="0" w:color="auto"/>
              <w:bottom w:val="single" w:sz="4" w:space="0" w:color="auto"/>
            </w:tcBorders>
            <w:vAlign w:val="center"/>
          </w:tcPr>
          <w:p>
            <w:pPr>
              <w:jc w:val="center"/>
              <w:rPr>
                <w:sz w:val="24"/>
              </w:rPr>
            </w:pPr>
            <w:r>
              <w:rPr>
                <w:sz w:val="24"/>
              </w:rPr>
              <w:t>2#</w:t>
            </w:r>
            <w:r>
              <w:rPr>
                <w:rFonts w:hint="eastAsia"/>
                <w:sz w:val="24"/>
              </w:rPr>
              <w:t>生产</w:t>
            </w:r>
            <w:r>
              <w:rPr>
                <w:sz w:val="24"/>
              </w:rPr>
              <w:t>厂房</w:t>
            </w:r>
          </w:p>
        </w:tc>
        <w:tc>
          <w:tcPr>
            <w:tcW w:w="1990" w:type="dxa"/>
            <w:vAlign w:val="center"/>
          </w:tcPr>
          <w:p>
            <w:pPr>
              <w:widowControl/>
              <w:jc w:val="center"/>
              <w:rPr>
                <w:kern w:val="0"/>
                <w:sz w:val="24"/>
              </w:rPr>
            </w:pPr>
            <w:r>
              <w:rPr>
                <w:sz w:val="24"/>
              </w:rPr>
              <w:t>5520m</w:t>
            </w:r>
            <w:r>
              <w:rPr>
                <w:sz w:val="24"/>
                <w:vertAlign w:val="superscript"/>
              </w:rPr>
              <w:t>2</w:t>
            </w:r>
          </w:p>
        </w:tc>
        <w:tc>
          <w:tcPr>
            <w:tcW w:w="1793" w:type="dxa"/>
            <w:vAlign w:val="center"/>
          </w:tcPr>
          <w:p>
            <w:pPr>
              <w:widowControl/>
              <w:jc w:val="center"/>
              <w:rPr>
                <w:kern w:val="0"/>
                <w:sz w:val="24"/>
              </w:rPr>
            </w:pPr>
            <w:r>
              <w:rPr>
                <w:kern w:val="0"/>
                <w:sz w:val="24"/>
              </w:rPr>
              <w:t>框架结构</w:t>
            </w:r>
          </w:p>
        </w:tc>
        <w:tc>
          <w:tcPr>
            <w:tcW w:w="1793" w:type="dxa"/>
            <w:vAlign w:val="center"/>
          </w:tcPr>
          <w:p>
            <w:pPr>
              <w:widowControl/>
              <w:jc w:val="center"/>
              <w:rPr>
                <w:kern w:val="0"/>
                <w:sz w:val="24"/>
              </w:rPr>
            </w:pPr>
            <w:r>
              <w:rPr>
                <w:kern w:val="0"/>
                <w:sz w:val="24"/>
              </w:rPr>
              <w:t>二级</w:t>
            </w:r>
          </w:p>
        </w:tc>
        <w:tc>
          <w:tcPr>
            <w:tcW w:w="1514" w:type="dxa"/>
            <w:vAlign w:val="center"/>
          </w:tcPr>
          <w:p>
            <w:pPr>
              <w:widowControl/>
              <w:jc w:val="center"/>
              <w:rPr>
                <w:kern w:val="0"/>
                <w:sz w:val="24"/>
              </w:rPr>
            </w:pPr>
            <w:r>
              <w:rPr>
                <w:rFonts w:hint="eastAsia"/>
                <w:kern w:val="0"/>
                <w:sz w:val="24"/>
              </w:rPr>
              <w:t>丙</w:t>
            </w:r>
            <w:r>
              <w:rPr>
                <w:kern w:val="0"/>
                <w:sz w:val="24"/>
              </w:rPr>
              <w:t>类</w:t>
            </w:r>
          </w:p>
        </w:tc>
      </w:tr>
      <w:tr>
        <w:tblPrEx>
          <w:tblW w:w="5000" w:type="pct"/>
          <w:jc w:val="center"/>
          <w:tblLayout w:type="fixed"/>
          <w:tblCellMar>
            <w:top w:w="0" w:type="dxa"/>
            <w:left w:w="108" w:type="dxa"/>
            <w:bottom w:w="0" w:type="dxa"/>
            <w:right w:w="108" w:type="dxa"/>
          </w:tblCellMar>
          <w:tblLook w:val="0000"/>
        </w:tblPrEx>
        <w:trPr>
          <w:trHeight w:val="271"/>
          <w:jc w:val="center"/>
        </w:trPr>
        <w:tc>
          <w:tcPr>
            <w:tcW w:w="2140" w:type="dxa"/>
            <w:tcBorders>
              <w:top w:val="single" w:sz="4" w:space="0" w:color="auto"/>
              <w:bottom w:val="single" w:sz="4" w:space="0" w:color="auto"/>
            </w:tcBorders>
            <w:vAlign w:val="center"/>
          </w:tcPr>
          <w:p>
            <w:pPr>
              <w:jc w:val="center"/>
              <w:rPr>
                <w:sz w:val="24"/>
              </w:rPr>
            </w:pPr>
            <w:r>
              <w:rPr>
                <w:sz w:val="24"/>
              </w:rPr>
              <w:t>3#</w:t>
            </w:r>
            <w:r>
              <w:rPr>
                <w:rFonts w:hint="eastAsia"/>
                <w:sz w:val="24"/>
              </w:rPr>
              <w:t>生产</w:t>
            </w:r>
            <w:r>
              <w:rPr>
                <w:sz w:val="24"/>
              </w:rPr>
              <w:t>厂房</w:t>
            </w:r>
          </w:p>
        </w:tc>
        <w:tc>
          <w:tcPr>
            <w:tcW w:w="1990" w:type="dxa"/>
            <w:vAlign w:val="center"/>
          </w:tcPr>
          <w:p>
            <w:pPr>
              <w:widowControl/>
              <w:jc w:val="center"/>
              <w:rPr>
                <w:kern w:val="0"/>
                <w:sz w:val="24"/>
              </w:rPr>
            </w:pPr>
            <w:r>
              <w:rPr>
                <w:sz w:val="24"/>
              </w:rPr>
              <w:t>1150m</w:t>
            </w:r>
            <w:r>
              <w:rPr>
                <w:sz w:val="24"/>
                <w:vertAlign w:val="superscript"/>
              </w:rPr>
              <w:t>2</w:t>
            </w:r>
          </w:p>
        </w:tc>
        <w:tc>
          <w:tcPr>
            <w:tcW w:w="1793" w:type="dxa"/>
            <w:vAlign w:val="center"/>
          </w:tcPr>
          <w:p>
            <w:pPr>
              <w:widowControl/>
              <w:jc w:val="center"/>
              <w:rPr>
                <w:kern w:val="0"/>
                <w:sz w:val="24"/>
              </w:rPr>
            </w:pPr>
            <w:r>
              <w:rPr>
                <w:kern w:val="0"/>
                <w:sz w:val="24"/>
              </w:rPr>
              <w:t>框架结构</w:t>
            </w:r>
          </w:p>
        </w:tc>
        <w:tc>
          <w:tcPr>
            <w:tcW w:w="1793" w:type="dxa"/>
            <w:vAlign w:val="center"/>
          </w:tcPr>
          <w:p>
            <w:pPr>
              <w:widowControl/>
              <w:jc w:val="center"/>
              <w:rPr>
                <w:kern w:val="0"/>
                <w:sz w:val="24"/>
              </w:rPr>
            </w:pPr>
            <w:r>
              <w:rPr>
                <w:kern w:val="0"/>
                <w:sz w:val="24"/>
              </w:rPr>
              <w:t>二级</w:t>
            </w:r>
          </w:p>
        </w:tc>
        <w:tc>
          <w:tcPr>
            <w:tcW w:w="1514" w:type="dxa"/>
            <w:vAlign w:val="center"/>
          </w:tcPr>
          <w:p>
            <w:pPr>
              <w:widowControl/>
              <w:jc w:val="center"/>
              <w:rPr>
                <w:kern w:val="0"/>
                <w:sz w:val="24"/>
              </w:rPr>
            </w:pPr>
            <w:r>
              <w:rPr>
                <w:rFonts w:hint="eastAsia"/>
                <w:kern w:val="0"/>
                <w:sz w:val="24"/>
              </w:rPr>
              <w:t>丙</w:t>
            </w:r>
            <w:r>
              <w:rPr>
                <w:kern w:val="0"/>
                <w:sz w:val="24"/>
              </w:rPr>
              <w:t>类</w:t>
            </w:r>
          </w:p>
        </w:tc>
      </w:tr>
      <w:tr>
        <w:tblPrEx>
          <w:tblW w:w="5000" w:type="pct"/>
          <w:jc w:val="center"/>
          <w:tblLayout w:type="fixed"/>
          <w:tblCellMar>
            <w:top w:w="0" w:type="dxa"/>
            <w:left w:w="108" w:type="dxa"/>
            <w:bottom w:w="0" w:type="dxa"/>
            <w:right w:w="108" w:type="dxa"/>
          </w:tblCellMar>
          <w:tblLook w:val="0000"/>
        </w:tblPrEx>
        <w:trPr>
          <w:trHeight w:val="271"/>
          <w:jc w:val="center"/>
        </w:trPr>
        <w:tc>
          <w:tcPr>
            <w:tcW w:w="2140" w:type="dxa"/>
            <w:tcBorders>
              <w:top w:val="single" w:sz="4" w:space="0" w:color="auto"/>
              <w:bottom w:val="single" w:sz="4" w:space="0" w:color="auto"/>
            </w:tcBorders>
            <w:vAlign w:val="center"/>
          </w:tcPr>
          <w:p>
            <w:pPr>
              <w:jc w:val="center"/>
              <w:rPr>
                <w:sz w:val="24"/>
              </w:rPr>
            </w:pPr>
            <w:r>
              <w:rPr>
                <w:sz w:val="24"/>
              </w:rPr>
              <w:t>4#</w:t>
            </w:r>
            <w:r>
              <w:rPr>
                <w:rFonts w:hint="eastAsia"/>
                <w:sz w:val="24"/>
              </w:rPr>
              <w:t>生产</w:t>
            </w:r>
            <w:r>
              <w:rPr>
                <w:sz w:val="24"/>
              </w:rPr>
              <w:t>厂房</w:t>
            </w:r>
          </w:p>
        </w:tc>
        <w:tc>
          <w:tcPr>
            <w:tcW w:w="1990" w:type="dxa"/>
            <w:vAlign w:val="center"/>
          </w:tcPr>
          <w:p>
            <w:pPr>
              <w:widowControl/>
              <w:jc w:val="center"/>
              <w:rPr>
                <w:sz w:val="24"/>
              </w:rPr>
            </w:pPr>
            <w:r>
              <w:rPr>
                <w:sz w:val="24"/>
              </w:rPr>
              <w:t>1140m</w:t>
            </w:r>
            <w:r>
              <w:rPr>
                <w:sz w:val="24"/>
                <w:vertAlign w:val="superscript"/>
              </w:rPr>
              <w:t>2</w:t>
            </w:r>
          </w:p>
        </w:tc>
        <w:tc>
          <w:tcPr>
            <w:tcW w:w="1793" w:type="dxa"/>
            <w:vAlign w:val="center"/>
          </w:tcPr>
          <w:p>
            <w:pPr>
              <w:widowControl/>
              <w:jc w:val="center"/>
              <w:rPr>
                <w:kern w:val="0"/>
                <w:sz w:val="24"/>
              </w:rPr>
            </w:pPr>
            <w:r>
              <w:rPr>
                <w:kern w:val="0"/>
                <w:sz w:val="24"/>
              </w:rPr>
              <w:t>框架结构</w:t>
            </w:r>
          </w:p>
        </w:tc>
        <w:tc>
          <w:tcPr>
            <w:tcW w:w="1793" w:type="dxa"/>
            <w:vAlign w:val="center"/>
          </w:tcPr>
          <w:p>
            <w:pPr>
              <w:widowControl/>
              <w:jc w:val="center"/>
              <w:rPr>
                <w:kern w:val="0"/>
                <w:sz w:val="24"/>
              </w:rPr>
            </w:pPr>
            <w:r>
              <w:rPr>
                <w:kern w:val="0"/>
                <w:sz w:val="24"/>
              </w:rPr>
              <w:t>二级</w:t>
            </w:r>
          </w:p>
        </w:tc>
        <w:tc>
          <w:tcPr>
            <w:tcW w:w="1514" w:type="dxa"/>
            <w:vAlign w:val="center"/>
          </w:tcPr>
          <w:p>
            <w:pPr>
              <w:widowControl/>
              <w:jc w:val="center"/>
              <w:rPr>
                <w:kern w:val="0"/>
                <w:sz w:val="24"/>
              </w:rPr>
            </w:pPr>
            <w:r>
              <w:rPr>
                <w:rFonts w:hint="eastAsia"/>
                <w:kern w:val="0"/>
                <w:sz w:val="24"/>
              </w:rPr>
              <w:t>丙</w:t>
            </w:r>
            <w:r>
              <w:rPr>
                <w:kern w:val="0"/>
                <w:sz w:val="24"/>
              </w:rPr>
              <w:t>类</w:t>
            </w:r>
          </w:p>
        </w:tc>
      </w:tr>
      <w:tr>
        <w:tblPrEx>
          <w:tblW w:w="5000" w:type="pct"/>
          <w:jc w:val="center"/>
          <w:tblLayout w:type="fixed"/>
          <w:tblCellMar>
            <w:top w:w="0" w:type="dxa"/>
            <w:left w:w="108" w:type="dxa"/>
            <w:bottom w:w="0" w:type="dxa"/>
            <w:right w:w="108" w:type="dxa"/>
          </w:tblCellMar>
          <w:tblLook w:val="0000"/>
        </w:tblPrEx>
        <w:trPr>
          <w:trHeight w:val="271"/>
          <w:jc w:val="center"/>
        </w:trPr>
        <w:tc>
          <w:tcPr>
            <w:tcW w:w="2140" w:type="dxa"/>
            <w:tcBorders>
              <w:top w:val="single" w:sz="4" w:space="0" w:color="auto"/>
              <w:bottom w:val="single" w:sz="4" w:space="0" w:color="auto"/>
            </w:tcBorders>
            <w:vAlign w:val="center"/>
          </w:tcPr>
          <w:p>
            <w:pPr>
              <w:jc w:val="center"/>
              <w:rPr>
                <w:sz w:val="24"/>
              </w:rPr>
            </w:pPr>
            <w:r>
              <w:rPr>
                <w:sz w:val="24"/>
              </w:rPr>
              <w:t>办公楼</w:t>
            </w:r>
          </w:p>
        </w:tc>
        <w:tc>
          <w:tcPr>
            <w:tcW w:w="1990" w:type="dxa"/>
            <w:vAlign w:val="center"/>
          </w:tcPr>
          <w:p>
            <w:pPr>
              <w:widowControl/>
              <w:jc w:val="center"/>
              <w:rPr>
                <w:sz w:val="24"/>
              </w:rPr>
            </w:pPr>
            <w:r>
              <w:rPr>
                <w:sz w:val="24"/>
              </w:rPr>
              <w:t>760m</w:t>
            </w:r>
            <w:r>
              <w:rPr>
                <w:sz w:val="24"/>
                <w:vertAlign w:val="superscript"/>
              </w:rPr>
              <w:t>2</w:t>
            </w:r>
          </w:p>
        </w:tc>
        <w:tc>
          <w:tcPr>
            <w:tcW w:w="1793" w:type="dxa"/>
            <w:vAlign w:val="center"/>
          </w:tcPr>
          <w:p>
            <w:pPr>
              <w:widowControl/>
              <w:jc w:val="center"/>
              <w:rPr>
                <w:kern w:val="0"/>
                <w:sz w:val="24"/>
              </w:rPr>
            </w:pPr>
            <w:r>
              <w:rPr>
                <w:sz w:val="24"/>
              </w:rPr>
              <w:t>砖混结构</w:t>
            </w:r>
          </w:p>
        </w:tc>
        <w:tc>
          <w:tcPr>
            <w:tcW w:w="1793" w:type="dxa"/>
            <w:vAlign w:val="center"/>
          </w:tcPr>
          <w:p>
            <w:pPr>
              <w:widowControl/>
              <w:jc w:val="center"/>
              <w:rPr>
                <w:kern w:val="0"/>
                <w:sz w:val="24"/>
              </w:rPr>
            </w:pPr>
            <w:r>
              <w:rPr>
                <w:kern w:val="0"/>
                <w:sz w:val="24"/>
              </w:rPr>
              <w:t>二级</w:t>
            </w:r>
          </w:p>
        </w:tc>
        <w:tc>
          <w:tcPr>
            <w:tcW w:w="1514" w:type="dxa"/>
            <w:vAlign w:val="center"/>
          </w:tcPr>
          <w:p>
            <w:pPr>
              <w:widowControl/>
              <w:jc w:val="center"/>
              <w:rPr>
                <w:kern w:val="0"/>
                <w:sz w:val="24"/>
              </w:rPr>
            </w:pPr>
            <w:r>
              <w:rPr>
                <w:kern w:val="0"/>
                <w:sz w:val="24"/>
              </w:rPr>
              <w:t>--</w:t>
            </w:r>
          </w:p>
        </w:tc>
      </w:tr>
      <w:tr>
        <w:tblPrEx>
          <w:tblW w:w="5000" w:type="pct"/>
          <w:jc w:val="center"/>
          <w:tblLayout w:type="fixed"/>
          <w:tblCellMar>
            <w:top w:w="0" w:type="dxa"/>
            <w:left w:w="108" w:type="dxa"/>
            <w:bottom w:w="0" w:type="dxa"/>
            <w:right w:w="108" w:type="dxa"/>
          </w:tblCellMar>
          <w:tblLook w:val="0000"/>
        </w:tblPrEx>
        <w:trPr>
          <w:trHeight w:val="271"/>
          <w:jc w:val="center"/>
        </w:trPr>
        <w:tc>
          <w:tcPr>
            <w:tcW w:w="2140" w:type="dxa"/>
            <w:tcBorders>
              <w:top w:val="single" w:sz="4" w:space="0" w:color="auto"/>
            </w:tcBorders>
            <w:vAlign w:val="center"/>
          </w:tcPr>
          <w:p>
            <w:pPr>
              <w:jc w:val="center"/>
              <w:rPr>
                <w:sz w:val="24"/>
              </w:rPr>
            </w:pPr>
            <w:r>
              <w:rPr>
                <w:rFonts w:hint="eastAsia"/>
                <w:sz w:val="24"/>
              </w:rPr>
              <w:t>总经理办</w:t>
            </w:r>
          </w:p>
        </w:tc>
        <w:tc>
          <w:tcPr>
            <w:tcW w:w="1990" w:type="dxa"/>
            <w:vAlign w:val="center"/>
          </w:tcPr>
          <w:p>
            <w:pPr>
              <w:widowControl/>
              <w:jc w:val="center"/>
              <w:rPr>
                <w:sz w:val="24"/>
              </w:rPr>
            </w:pPr>
            <w:r>
              <w:rPr>
                <w:sz w:val="24"/>
              </w:rPr>
              <w:t>120m</w:t>
            </w:r>
            <w:r>
              <w:rPr>
                <w:sz w:val="24"/>
                <w:vertAlign w:val="superscript"/>
              </w:rPr>
              <w:t>2</w:t>
            </w:r>
          </w:p>
        </w:tc>
        <w:tc>
          <w:tcPr>
            <w:tcW w:w="1793" w:type="dxa"/>
            <w:vAlign w:val="center"/>
          </w:tcPr>
          <w:p>
            <w:pPr>
              <w:widowControl/>
              <w:jc w:val="center"/>
              <w:rPr>
                <w:kern w:val="0"/>
                <w:sz w:val="24"/>
              </w:rPr>
            </w:pPr>
            <w:r>
              <w:rPr>
                <w:sz w:val="24"/>
              </w:rPr>
              <w:t>砖混结构</w:t>
            </w:r>
          </w:p>
        </w:tc>
        <w:tc>
          <w:tcPr>
            <w:tcW w:w="1793" w:type="dxa"/>
            <w:vAlign w:val="center"/>
          </w:tcPr>
          <w:p>
            <w:pPr>
              <w:widowControl/>
              <w:jc w:val="center"/>
              <w:rPr>
                <w:kern w:val="0"/>
                <w:sz w:val="24"/>
              </w:rPr>
            </w:pPr>
            <w:r>
              <w:rPr>
                <w:kern w:val="0"/>
                <w:sz w:val="24"/>
              </w:rPr>
              <w:t>二级</w:t>
            </w:r>
          </w:p>
        </w:tc>
        <w:tc>
          <w:tcPr>
            <w:tcW w:w="1514" w:type="dxa"/>
            <w:vAlign w:val="center"/>
          </w:tcPr>
          <w:p>
            <w:pPr>
              <w:widowControl/>
              <w:jc w:val="center"/>
              <w:rPr>
                <w:kern w:val="0"/>
                <w:sz w:val="24"/>
              </w:rPr>
            </w:pPr>
            <w:r>
              <w:rPr>
                <w:kern w:val="0"/>
                <w:sz w:val="24"/>
              </w:rPr>
              <w:t>--</w:t>
            </w:r>
          </w:p>
        </w:tc>
      </w:tr>
    </w:tbl>
    <w:p>
      <w:pPr>
        <w:adjustRightInd w:val="0"/>
        <w:snapToGrid w:val="0"/>
        <w:spacing w:before="156" w:beforeLines="50" w:line="360" w:lineRule="auto"/>
        <w:rPr>
          <w:rFonts w:hint="eastAsia"/>
          <w:spacing w:val="10"/>
          <w:sz w:val="28"/>
          <w:szCs w:val="28"/>
        </w:rPr>
      </w:pPr>
      <w:bookmarkStart w:id="136" w:name="_Toc393547602"/>
      <w:bookmarkEnd w:id="135"/>
      <w:r>
        <w:rPr>
          <w:rFonts w:hint="eastAsia"/>
          <w:spacing w:val="10"/>
          <w:sz w:val="28"/>
          <w:szCs w:val="28"/>
        </w:rPr>
        <w:t>2、建筑防火：</w:t>
      </w:r>
    </w:p>
    <w:p>
      <w:pPr>
        <w:adjustRightInd w:val="0"/>
        <w:snapToGrid w:val="0"/>
        <w:spacing w:line="360" w:lineRule="auto"/>
        <w:ind w:firstLine="560" w:firstLineChars="200"/>
        <w:rPr>
          <w:rFonts w:hint="eastAsia"/>
          <w:spacing w:val="10"/>
          <w:sz w:val="28"/>
          <w:szCs w:val="28"/>
        </w:rPr>
        <w:sectPr>
          <w:headerReference w:type="default" r:id="rId62"/>
          <w:footerReference w:type="default" r:id="rId63"/>
          <w:type w:val="nextPage"/>
          <w:pgSz w:w="11906" w:h="16838"/>
          <w:pgMar w:top="1418" w:right="1418" w:bottom="1361" w:left="1474" w:header="993" w:footer="980" w:gutter="0"/>
          <w:pgNumType w:start="21"/>
          <w:cols w:space="708"/>
          <w:titlePg w:val="0"/>
          <w:docGrid w:type="lines" w:linePitch="312"/>
        </w:sectPr>
      </w:pPr>
    </w:p>
    <w:p>
      <w:pPr>
        <w:adjustRightInd w:val="0"/>
        <w:snapToGrid w:val="0"/>
        <w:spacing w:line="360" w:lineRule="auto"/>
        <w:ind w:firstLine="560" w:firstLineChars="200"/>
        <w:rPr>
          <w:rFonts w:hint="eastAsia"/>
          <w:spacing w:val="10"/>
          <w:sz w:val="28"/>
          <w:szCs w:val="28"/>
        </w:rPr>
        <w:sectPr>
          <w:headerReference w:type="default" r:id="rId64"/>
          <w:footerReference w:type="default" r:id="rId65"/>
          <w:type w:val="nextPage"/>
          <w:pgSz w:w="11906" w:h="16838"/>
          <w:pgMar w:top="1418" w:right="1418" w:bottom="1361" w:left="1474" w:header="993" w:footer="980" w:gutter="0"/>
          <w:pgNumType w:start="22"/>
          <w:cols w:space="708"/>
          <w:titlePg w:val="0"/>
          <w:docGrid w:type="lines" w:linePitch="312"/>
        </w:sectPr>
      </w:pPr>
      <w:r>
        <w:rPr>
          <w:rFonts w:hint="eastAsia"/>
          <w:spacing w:val="10"/>
          <w:sz w:val="28"/>
          <w:szCs w:val="28"/>
        </w:rPr>
        <w:t>本项目厂房为丙类生产性质，主体为钢架结构和混凝土框架结构厂房，为二级耐火等级，2#生产车间设置三个防火分区，北侧生产厂房为一个防火分区，中间成品库、原料库为单独一个防火分区，南侧生产车间为一个防火分区，3#、4#生产车间各为一个独立防火分区；平面上每2个疏散出口之间的疏散距离均大于5米。</w:t>
      </w:r>
    </w:p>
    <w:p>
      <w:pPr>
        <w:pStyle w:val="Heading1"/>
        <w:adjustRightInd w:val="0"/>
        <w:snapToGrid w:val="0"/>
        <w:spacing w:before="156" w:beforeLines="50" w:after="0" w:line="360" w:lineRule="auto"/>
        <w:jc w:val="center"/>
        <w:rPr>
          <w:rFonts w:ascii="Times New Roman" w:eastAsia="黑体" w:hAnsi="Times New Roman"/>
          <w:sz w:val="32"/>
          <w:szCs w:val="32"/>
        </w:rPr>
      </w:pPr>
      <w:bookmarkStart w:id="137" w:name="_Toc14347179"/>
      <w:r>
        <w:rPr>
          <w:rFonts w:ascii="Times New Roman" w:eastAsia="黑体" w:hAnsi="Times New Roman"/>
          <w:sz w:val="32"/>
          <w:szCs w:val="32"/>
        </w:rPr>
        <w:t>3建设项目危险源及危险和有害因素分析</w:t>
      </w:r>
      <w:bookmarkEnd w:id="136"/>
      <w:bookmarkEnd w:id="137"/>
    </w:p>
    <w:p>
      <w:pPr>
        <w:pStyle w:val="1"/>
        <w:ind w:firstLine="560"/>
        <w:rPr>
          <w:rFonts w:ascii="Times New Roman"/>
        </w:rPr>
      </w:pPr>
      <w:bookmarkStart w:id="138" w:name="_Toc393547608"/>
      <w:r>
        <w:rPr>
          <w:rFonts w:ascii="Times New Roman"/>
        </w:rPr>
        <w:t>危险因素是指能对人造成伤亡或对物造成突发性损害的因素。有害因素是指能影响人的身体健康，导致疾病或对物造成慢性损害的因素。</w:t>
      </w:r>
      <w:r>
        <w:rPr>
          <w:rFonts w:ascii="Times New Roman"/>
          <w:szCs w:val="28"/>
        </w:rPr>
        <w:t>危险、有害因素的辨识与分析是安全评价的重要环节，也是安全评价的基础。</w:t>
      </w:r>
      <w:r>
        <w:rPr>
          <w:rFonts w:ascii="Times New Roman"/>
        </w:rPr>
        <w:t>危险、有害因素分析与辨识是依据《企业职工伤亡事故分类》（</w:t>
      </w:r>
      <w:r>
        <w:rPr>
          <w:rFonts w:ascii="Times New Roman"/>
          <w:kern w:val="0"/>
        </w:rPr>
        <w:t>GB6441-1986）</w:t>
      </w:r>
      <w:r>
        <w:rPr>
          <w:rFonts w:ascii="Times New Roman"/>
        </w:rPr>
        <w:t>、《生产过程危险和有害因素分类与代码》（GB/T13861-2009）等事故分类标准，并结合项目在施工、投入使用过程中潜在的和固有的危险、有害因素，进行分类辨识和分析。</w:t>
      </w:r>
    </w:p>
    <w:p>
      <w:pPr>
        <w:pStyle w:val="Heading2"/>
        <w:adjustRightInd w:val="0"/>
        <w:snapToGrid w:val="0"/>
        <w:spacing w:before="0" w:after="0" w:line="360" w:lineRule="auto"/>
        <w:rPr>
          <w:rFonts w:ascii="Times New Roman" w:eastAsia="宋体" w:hAnsi="Times New Roman"/>
          <w:sz w:val="28"/>
          <w:szCs w:val="28"/>
        </w:rPr>
      </w:pPr>
      <w:bookmarkStart w:id="139" w:name="_Toc186620623"/>
      <w:bookmarkStart w:id="140" w:name="_Toc257710932"/>
      <w:bookmarkStart w:id="141" w:name="_Toc352687379"/>
      <w:bookmarkStart w:id="142" w:name="_Toc14347180"/>
      <w:bookmarkStart w:id="143" w:name="_Toc223368668"/>
      <w:bookmarkStart w:id="144" w:name="_Toc13170576"/>
      <w:bookmarkStart w:id="145" w:name="_Toc176589338"/>
      <w:r>
        <w:rPr>
          <w:rFonts w:ascii="Times New Roman" w:eastAsia="宋体" w:hAnsi="Times New Roman"/>
          <w:sz w:val="28"/>
          <w:szCs w:val="28"/>
        </w:rPr>
        <w:t>3.1</w:t>
      </w:r>
      <w:bookmarkStart w:id="146" w:name="_Toc177358093"/>
      <w:bookmarkStart w:id="147" w:name="_Toc125269752"/>
      <w:bookmarkStart w:id="148" w:name="_Toc121627698"/>
      <w:bookmarkStart w:id="149" w:name="_Toc183319918"/>
      <w:bookmarkStart w:id="150" w:name="_Toc179856581"/>
      <w:bookmarkEnd w:id="139"/>
      <w:bookmarkEnd w:id="145"/>
      <w:r>
        <w:rPr>
          <w:rFonts w:ascii="Times New Roman" w:eastAsia="宋体" w:hAnsi="Times New Roman"/>
          <w:sz w:val="28"/>
          <w:szCs w:val="28"/>
        </w:rPr>
        <w:t>主要危险、有害物质</w:t>
      </w:r>
      <w:bookmarkEnd w:id="140"/>
      <w:bookmarkEnd w:id="141"/>
      <w:bookmarkEnd w:id="142"/>
      <w:bookmarkEnd w:id="143"/>
      <w:bookmarkEnd w:id="144"/>
      <w:bookmarkEnd w:id="146"/>
      <w:bookmarkEnd w:id="150"/>
      <w:bookmarkEnd w:id="147"/>
      <w:bookmarkEnd w:id="148"/>
      <w:bookmarkEnd w:id="149"/>
    </w:p>
    <w:p>
      <w:pPr>
        <w:spacing w:line="600" w:lineRule="exact"/>
        <w:ind w:firstLine="560" w:firstLineChars="200"/>
        <w:rPr>
          <w:rFonts w:hint="eastAsia"/>
          <w:kern w:val="0"/>
          <w:sz w:val="28"/>
          <w:szCs w:val="28"/>
        </w:rPr>
      </w:pPr>
      <w:r>
        <w:rPr>
          <w:rFonts w:hint="eastAsia"/>
          <w:kern w:val="0"/>
          <w:sz w:val="28"/>
          <w:szCs w:val="28"/>
        </w:rPr>
        <w:t>该公司生产过程中使用的原辅料为非洲硬杂木、刺槐原木、银口木（白蜡）、木松油、中纤板、热熔胶、吸塑膜、吸塑胶、铝型材、包装、五金件、液压油水。产品为定制板式家具和实木家具等。上述原料非洲硬杂木、刺槐原木、银口木（白蜡）及成品家具主要为硬木，均为可燃材质，依据《建筑设计防火规范》第3.1.1的规定，生产的火灾危险性均属丙类，铝型材及五金件的火灾危险性均属戊类。现主要对生产过程使用的中纤板、集成材即胶合木、封边条、胶粘剂、热熔胶、木松油和液压油等原辅料的理化特性做以介绍：</w:t>
      </w:r>
    </w:p>
    <w:p>
      <w:pPr>
        <w:adjustRightInd w:val="0"/>
        <w:snapToGrid w:val="0"/>
        <w:spacing w:line="360" w:lineRule="auto"/>
        <w:ind w:firstLine="480" w:firstLineChars="200"/>
        <w:jc w:val="center"/>
        <w:rPr>
          <w:b/>
          <w:sz w:val="24"/>
        </w:rPr>
      </w:pPr>
      <w:r>
        <w:rPr>
          <w:b/>
          <w:sz w:val="24"/>
        </w:rPr>
        <w:t>表3-1其他物质理化及危险特性表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73"/>
        <w:gridCol w:w="1130"/>
        <w:gridCol w:w="742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84"/>
          <w:tblHeader/>
        </w:trPr>
        <w:tc>
          <w:tcPr>
            <w:tcW w:w="673" w:type="dxa"/>
            <w:vAlign w:val="center"/>
          </w:tcPr>
          <w:p>
            <w:pPr>
              <w:jc w:val="center"/>
              <w:rPr>
                <w:b/>
                <w:bCs/>
                <w:spacing w:val="-4"/>
                <w:szCs w:val="21"/>
              </w:rPr>
            </w:pPr>
            <w:r>
              <w:rPr>
                <w:b/>
                <w:bCs/>
                <w:spacing w:val="-4"/>
                <w:szCs w:val="21"/>
              </w:rPr>
              <w:t>序号</w:t>
            </w:r>
          </w:p>
        </w:tc>
        <w:tc>
          <w:tcPr>
            <w:tcW w:w="1130" w:type="dxa"/>
            <w:vAlign w:val="center"/>
          </w:tcPr>
          <w:p>
            <w:pPr>
              <w:jc w:val="center"/>
              <w:rPr>
                <w:b/>
                <w:bCs/>
                <w:spacing w:val="-4"/>
                <w:szCs w:val="21"/>
              </w:rPr>
            </w:pPr>
            <w:r>
              <w:rPr>
                <w:b/>
                <w:bCs/>
                <w:spacing w:val="-4"/>
                <w:szCs w:val="21"/>
              </w:rPr>
              <w:t>名称</w:t>
            </w:r>
          </w:p>
        </w:tc>
        <w:tc>
          <w:tcPr>
            <w:tcW w:w="7427" w:type="dxa"/>
            <w:vAlign w:val="center"/>
          </w:tcPr>
          <w:p>
            <w:pPr>
              <w:jc w:val="center"/>
              <w:rPr>
                <w:b/>
                <w:bCs/>
                <w:spacing w:val="-4"/>
                <w:szCs w:val="21"/>
              </w:rPr>
            </w:pPr>
            <w:r>
              <w:rPr>
                <w:b/>
                <w:bCs/>
                <w:spacing w:val="-4"/>
                <w:szCs w:val="21"/>
              </w:rPr>
              <w:t>物理性质</w:t>
            </w:r>
          </w:p>
        </w:tc>
      </w:tr>
      <w:tr>
        <w:tblPrEx>
          <w:tblW w:w="0" w:type="auto"/>
          <w:tblCellMar>
            <w:top w:w="0" w:type="dxa"/>
            <w:left w:w="108" w:type="dxa"/>
            <w:bottom w:w="0" w:type="dxa"/>
            <w:right w:w="108" w:type="dxa"/>
          </w:tblCellMar>
          <w:tblLook w:val="0000"/>
        </w:tblPrEx>
        <w:tc>
          <w:tcPr>
            <w:tcW w:w="673" w:type="dxa"/>
            <w:vAlign w:val="center"/>
          </w:tcPr>
          <w:p>
            <w:pPr>
              <w:jc w:val="center"/>
              <w:rPr>
                <w:spacing w:val="-4"/>
                <w:szCs w:val="21"/>
              </w:rPr>
            </w:pPr>
            <w:r>
              <w:rPr>
                <w:spacing w:val="-4"/>
                <w:szCs w:val="21"/>
              </w:rPr>
              <w:t>1</w:t>
            </w:r>
          </w:p>
        </w:tc>
        <w:tc>
          <w:tcPr>
            <w:tcW w:w="1130" w:type="dxa"/>
            <w:vAlign w:val="center"/>
          </w:tcPr>
          <w:p>
            <w:pPr>
              <w:jc w:val="center"/>
              <w:rPr>
                <w:spacing w:val="-4"/>
                <w:szCs w:val="21"/>
              </w:rPr>
            </w:pPr>
            <w:r>
              <w:rPr>
                <w:rFonts w:hint="eastAsia"/>
                <w:kern w:val="0"/>
                <w:szCs w:val="21"/>
              </w:rPr>
              <w:t>中纤板</w:t>
            </w:r>
          </w:p>
        </w:tc>
        <w:tc>
          <w:tcPr>
            <w:tcW w:w="7427" w:type="dxa"/>
            <w:vAlign w:val="center"/>
          </w:tcPr>
          <w:p>
            <w:pPr>
              <w:jc w:val="left"/>
              <w:rPr>
                <w:spacing w:val="-4"/>
                <w:szCs w:val="21"/>
              </w:rPr>
            </w:pPr>
            <w:r>
              <w:rPr>
                <w:rFonts w:hint="eastAsia"/>
                <w:kern w:val="0"/>
                <w:szCs w:val="21"/>
              </w:rPr>
              <w:t>中纤板是密度板一种，其中还有长纤板和短纤板。以木质纤维或其他植物纤维为原料，经打碎、纤维分离、干燥后施加脲醛树脂或其他适用的胶粘剂，再经热压后制成的一种人造板材。</w:t>
            </w:r>
          </w:p>
        </w:tc>
      </w:tr>
      <w:tr>
        <w:tblPrEx>
          <w:tblW w:w="0" w:type="auto"/>
          <w:tblCellMar>
            <w:top w:w="0" w:type="dxa"/>
            <w:left w:w="108" w:type="dxa"/>
            <w:bottom w:w="0" w:type="dxa"/>
            <w:right w:w="108" w:type="dxa"/>
          </w:tblCellMar>
          <w:tblLook w:val="0000"/>
        </w:tblPrEx>
        <w:tc>
          <w:tcPr>
            <w:tcW w:w="673" w:type="dxa"/>
            <w:vAlign w:val="center"/>
          </w:tcPr>
          <w:p>
            <w:pPr>
              <w:jc w:val="center"/>
              <w:rPr>
                <w:spacing w:val="-4"/>
                <w:szCs w:val="21"/>
              </w:rPr>
            </w:pPr>
            <w:r>
              <w:rPr>
                <w:spacing w:val="-4"/>
                <w:szCs w:val="21"/>
              </w:rPr>
              <w:t>2</w:t>
            </w:r>
          </w:p>
        </w:tc>
        <w:tc>
          <w:tcPr>
            <w:tcW w:w="1130" w:type="dxa"/>
            <w:vAlign w:val="center"/>
          </w:tcPr>
          <w:p>
            <w:pPr>
              <w:jc w:val="center"/>
              <w:rPr>
                <w:spacing w:val="-4"/>
                <w:szCs w:val="21"/>
              </w:rPr>
            </w:pPr>
            <w:r>
              <w:rPr>
                <w:rFonts w:hint="eastAsia"/>
                <w:kern w:val="0"/>
                <w:szCs w:val="21"/>
              </w:rPr>
              <w:t>集成材</w:t>
            </w:r>
          </w:p>
        </w:tc>
        <w:tc>
          <w:tcPr>
            <w:tcW w:w="7427" w:type="dxa"/>
            <w:vAlign w:val="center"/>
          </w:tcPr>
          <w:p>
            <w:pPr>
              <w:jc w:val="left"/>
              <w:rPr>
                <w:spacing w:val="-4"/>
                <w:szCs w:val="21"/>
              </w:rPr>
            </w:pPr>
            <w:r>
              <w:rPr>
                <w:rFonts w:hint="eastAsia"/>
                <w:kern w:val="0"/>
                <w:szCs w:val="21"/>
              </w:rPr>
              <w:t>集成材即胶合木(GluedLaminatedTimber简称Glulam)，与木质工字梁，单板层积材同为三种主要的工程材产品之一。集成材也是实木，有时也称作指接板，可以用木蜡油进行涂刷，防止变形。</w:t>
            </w:r>
          </w:p>
        </w:tc>
      </w:tr>
      <w:tr>
        <w:tblPrEx>
          <w:tblW w:w="0" w:type="auto"/>
          <w:tblCellMar>
            <w:top w:w="0" w:type="dxa"/>
            <w:left w:w="108" w:type="dxa"/>
            <w:bottom w:w="0" w:type="dxa"/>
            <w:right w:w="108" w:type="dxa"/>
          </w:tblCellMar>
          <w:tblLook w:val="0000"/>
        </w:tblPrEx>
        <w:tc>
          <w:tcPr>
            <w:tcW w:w="673" w:type="dxa"/>
            <w:vAlign w:val="center"/>
          </w:tcPr>
          <w:p>
            <w:pPr>
              <w:jc w:val="center"/>
              <w:rPr>
                <w:spacing w:val="-4"/>
                <w:szCs w:val="21"/>
              </w:rPr>
            </w:pPr>
            <w:r>
              <w:rPr>
                <w:spacing w:val="-4"/>
                <w:szCs w:val="21"/>
              </w:rPr>
              <w:t>3</w:t>
            </w:r>
          </w:p>
        </w:tc>
        <w:tc>
          <w:tcPr>
            <w:tcW w:w="1130" w:type="dxa"/>
            <w:vAlign w:val="center"/>
          </w:tcPr>
          <w:p>
            <w:pPr>
              <w:jc w:val="center"/>
              <w:rPr>
                <w:spacing w:val="-4"/>
                <w:szCs w:val="21"/>
              </w:rPr>
            </w:pPr>
            <w:r>
              <w:rPr>
                <w:rFonts w:hint="eastAsia"/>
                <w:kern w:val="0"/>
                <w:szCs w:val="21"/>
              </w:rPr>
              <w:t>封边条</w:t>
            </w:r>
          </w:p>
        </w:tc>
        <w:tc>
          <w:tcPr>
            <w:tcW w:w="7427" w:type="dxa"/>
            <w:vAlign w:val="center"/>
          </w:tcPr>
          <w:p>
            <w:pPr>
              <w:spacing w:after="0"/>
              <w:jc w:val="left"/>
              <w:rPr>
                <w:spacing w:val="-4"/>
                <w:szCs w:val="21"/>
              </w:rPr>
            </w:pPr>
          </w:p>
        </w:tc>
      </w:tr>
    </w:tbl>
    <w:p>
      <w:pPr>
        <w:sectPr>
          <w:headerReference w:type="default" r:id="rId66"/>
          <w:footerReference w:type="default" r:id="rId67"/>
          <w:type w:val="nextPage"/>
          <w:pgSz w:w="11906" w:h="16838"/>
          <w:pgMar w:top="1418" w:right="1418" w:bottom="1361" w:left="1474" w:header="993" w:footer="980" w:gutter="0"/>
          <w:pgNumType w:start="23"/>
          <w:cols w:space="708"/>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73"/>
        <w:gridCol w:w="1130"/>
        <w:gridCol w:w="742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673" w:type="dxa"/>
            <w:vAlign w:val="center"/>
          </w:tcPr>
          <w:p/>
        </w:tc>
        <w:tc>
          <w:tcPr>
            <w:tcW w:w="1130" w:type="dxa"/>
            <w:vAlign w:val="center"/>
          </w:tcPr>
          <w:p/>
        </w:tc>
        <w:tc>
          <w:tcPr>
            <w:tcW w:w="7427" w:type="dxa"/>
            <w:vAlign w:val="center"/>
          </w:tcPr>
          <w:p>
            <w:pPr>
              <w:spacing w:before="0"/>
              <w:jc w:val="left"/>
              <w:rPr>
                <w:spacing w:val="-4"/>
                <w:szCs w:val="21"/>
              </w:rPr>
            </w:pPr>
            <w:r>
              <w:rPr>
                <w:rFonts w:hint="eastAsia"/>
                <w:kern w:val="0"/>
                <w:szCs w:val="21"/>
              </w:rPr>
              <w:t>PVC封边条的主要成分为聚氯乙烯，经混炼、压延、真空吸塑等工艺而成的。产品普遍应用于家具、办公、厨具、教学设备、民用实验室等。厚度从0.3至3mm，宽度从12mm至80mm。封边条有以下主要特点：表面平滑、无起泡、无拉纹、光泽度适中、表面和背面平整、厚度均匀、宽度一致、硬度合理、弹性高、质量好、耐磨性强、修边后封边侧面颜色与表面颜色接近、不发白、光泽度好、家具成品整体色协调。封边条的主要功能是对板材的断面进行固封，同时达到装饰美观的效果。</w:t>
            </w:r>
          </w:p>
        </w:tc>
      </w:tr>
      <w:tr>
        <w:tblPrEx>
          <w:tblW w:w="0" w:type="auto"/>
          <w:tblCellMar>
            <w:top w:w="0" w:type="dxa"/>
            <w:left w:w="108" w:type="dxa"/>
            <w:bottom w:w="0" w:type="dxa"/>
            <w:right w:w="108" w:type="dxa"/>
          </w:tblCellMar>
          <w:tblLook w:val="0000"/>
        </w:tblPrEx>
        <w:tc>
          <w:tcPr>
            <w:tcW w:w="673" w:type="dxa"/>
            <w:vAlign w:val="center"/>
          </w:tcPr>
          <w:p>
            <w:pPr>
              <w:jc w:val="center"/>
              <w:rPr>
                <w:spacing w:val="-4"/>
                <w:szCs w:val="21"/>
              </w:rPr>
            </w:pPr>
            <w:r>
              <w:rPr>
                <w:spacing w:val="-4"/>
                <w:szCs w:val="21"/>
              </w:rPr>
              <w:t>4</w:t>
            </w:r>
          </w:p>
        </w:tc>
        <w:tc>
          <w:tcPr>
            <w:tcW w:w="1130" w:type="dxa"/>
            <w:vAlign w:val="center"/>
          </w:tcPr>
          <w:p>
            <w:pPr>
              <w:jc w:val="center"/>
              <w:rPr>
                <w:spacing w:val="-4"/>
                <w:szCs w:val="21"/>
              </w:rPr>
            </w:pPr>
            <w:r>
              <w:rPr>
                <w:rFonts w:hint="eastAsia"/>
                <w:kern w:val="0"/>
                <w:szCs w:val="21"/>
              </w:rPr>
              <w:t>胶粘剂</w:t>
            </w:r>
          </w:p>
        </w:tc>
        <w:tc>
          <w:tcPr>
            <w:tcW w:w="7427" w:type="dxa"/>
            <w:vAlign w:val="center"/>
          </w:tcPr>
          <w:p>
            <w:pPr>
              <w:jc w:val="left"/>
              <w:rPr>
                <w:spacing w:val="-4"/>
                <w:szCs w:val="21"/>
              </w:rPr>
            </w:pPr>
            <w:r>
              <w:rPr>
                <w:rFonts w:hint="eastAsia"/>
                <w:kern w:val="0"/>
                <w:szCs w:val="21"/>
              </w:rPr>
              <w:t>化学品中文名称聚醋酸乙烯脂乳液，乳胶是用途最广、用量最大、历史最悠久的水溶性胶粘剂之一，主要成份水（40-80%）、聚乙烯醇(4-7%)、醋酸乙烯酯（9-50%）、甲基异噻唑啉酮(MIT)（0.05-0.07%）、助剂（0.5-5%）。</w:t>
            </w:r>
          </w:p>
        </w:tc>
      </w:tr>
      <w:tr>
        <w:tblPrEx>
          <w:tblW w:w="0" w:type="auto"/>
          <w:tblCellMar>
            <w:top w:w="0" w:type="dxa"/>
            <w:left w:w="108" w:type="dxa"/>
            <w:bottom w:w="0" w:type="dxa"/>
            <w:right w:w="108" w:type="dxa"/>
          </w:tblCellMar>
          <w:tblLook w:val="0000"/>
        </w:tblPrEx>
        <w:tc>
          <w:tcPr>
            <w:tcW w:w="673" w:type="dxa"/>
            <w:vAlign w:val="center"/>
          </w:tcPr>
          <w:p>
            <w:pPr>
              <w:jc w:val="center"/>
              <w:rPr>
                <w:spacing w:val="-4"/>
                <w:szCs w:val="21"/>
              </w:rPr>
            </w:pPr>
            <w:r>
              <w:rPr>
                <w:spacing w:val="-4"/>
                <w:szCs w:val="21"/>
              </w:rPr>
              <w:t>5</w:t>
            </w:r>
          </w:p>
        </w:tc>
        <w:tc>
          <w:tcPr>
            <w:tcW w:w="1130" w:type="dxa"/>
            <w:vAlign w:val="center"/>
          </w:tcPr>
          <w:p>
            <w:pPr>
              <w:jc w:val="center"/>
              <w:rPr>
                <w:spacing w:val="-4"/>
                <w:szCs w:val="21"/>
              </w:rPr>
            </w:pPr>
            <w:r>
              <w:rPr>
                <w:rFonts w:hint="eastAsia"/>
                <w:kern w:val="0"/>
                <w:szCs w:val="21"/>
              </w:rPr>
              <w:t>热熔胶</w:t>
            </w:r>
          </w:p>
        </w:tc>
        <w:tc>
          <w:tcPr>
            <w:tcW w:w="7427" w:type="dxa"/>
            <w:vAlign w:val="center"/>
          </w:tcPr>
          <w:p>
            <w:pPr>
              <w:jc w:val="left"/>
              <w:rPr>
                <w:spacing w:val="-4"/>
                <w:szCs w:val="21"/>
              </w:rPr>
            </w:pPr>
            <w:r>
              <w:rPr>
                <w:rFonts w:hint="eastAsia"/>
                <w:kern w:val="0"/>
                <w:szCs w:val="21"/>
              </w:rPr>
              <w:t>热熔胶是一种可塑性的粘合剂，主要成份乙烯-醋酸乙烯树脂（EVA树脂）（45%）、增粘树脂（17%）、碳酸钙CaCO3（38%）；在一定温度范围内其物理状态随温度改变而改变，而化学特性不变。EVA热熔胶是一种不需溶剂、不含水分100%的固体可熔性聚合物；它在常温下为固体，加热熔融到一定温度变为能流动，且有一定粘性的液体。熔融后的EVA热熔胶，呈浅棕色或白色。</w:t>
            </w:r>
          </w:p>
        </w:tc>
      </w:tr>
      <w:tr>
        <w:tblPrEx>
          <w:tblW w:w="0" w:type="auto"/>
          <w:tblCellMar>
            <w:top w:w="0" w:type="dxa"/>
            <w:left w:w="108" w:type="dxa"/>
            <w:bottom w:w="0" w:type="dxa"/>
            <w:right w:w="108" w:type="dxa"/>
          </w:tblCellMar>
          <w:tblLook w:val="0000"/>
        </w:tblPrEx>
        <w:tc>
          <w:tcPr>
            <w:tcW w:w="673" w:type="dxa"/>
            <w:vAlign w:val="center"/>
          </w:tcPr>
          <w:p>
            <w:pPr>
              <w:jc w:val="center"/>
              <w:rPr>
                <w:spacing w:val="-4"/>
                <w:szCs w:val="21"/>
              </w:rPr>
            </w:pPr>
            <w:r>
              <w:rPr>
                <w:spacing w:val="-4"/>
                <w:szCs w:val="21"/>
              </w:rPr>
              <w:t>6</w:t>
            </w:r>
          </w:p>
        </w:tc>
        <w:tc>
          <w:tcPr>
            <w:tcW w:w="1130" w:type="dxa"/>
            <w:vAlign w:val="center"/>
          </w:tcPr>
          <w:p>
            <w:pPr>
              <w:jc w:val="center"/>
              <w:rPr>
                <w:spacing w:val="-4"/>
                <w:szCs w:val="21"/>
              </w:rPr>
            </w:pPr>
            <w:r>
              <w:rPr>
                <w:rFonts w:hint="eastAsia"/>
                <w:kern w:val="0"/>
                <w:szCs w:val="21"/>
              </w:rPr>
              <w:t>木松油</w:t>
            </w:r>
          </w:p>
        </w:tc>
        <w:tc>
          <w:tcPr>
            <w:tcW w:w="7427" w:type="dxa"/>
            <w:vAlign w:val="center"/>
          </w:tcPr>
          <w:p>
            <w:pPr>
              <w:jc w:val="left"/>
              <w:rPr>
                <w:spacing w:val="-4"/>
                <w:szCs w:val="21"/>
              </w:rPr>
            </w:pPr>
            <w:r>
              <w:rPr>
                <w:rFonts w:hint="eastAsia"/>
                <w:kern w:val="0"/>
                <w:szCs w:val="21"/>
              </w:rPr>
              <w:t>松脂是</w:t>
            </w:r>
            <w:hyperlink r:id="rId68" w:tgtFrame="_blank" w:history="1">
              <w:r>
                <w:rPr>
                  <w:rFonts w:hint="eastAsia"/>
                  <w:kern w:val="0"/>
                  <w:szCs w:val="21"/>
                </w:rPr>
                <w:t>松属</w:t>
              </w:r>
            </w:hyperlink>
            <w:r>
              <w:rPr>
                <w:rFonts w:hint="eastAsia"/>
                <w:kern w:val="0"/>
                <w:szCs w:val="21"/>
              </w:rPr>
              <w:t>树木分泌出来的树脂，刚从树干流出时，无色透明，松节油含量可达30%以上，与空气接触后，松节油逐渐挥发，加上外界水分的侵入，因而使其中的部分树脂酸呈结晶状态析出，松脂逐渐变成蜂蜜状的</w:t>
            </w:r>
            <w:hyperlink r:id="rId69" w:tgtFrame="_blank" w:history="1">
              <w:r>
                <w:rPr>
                  <w:rFonts w:hint="eastAsia"/>
                  <w:kern w:val="0"/>
                  <w:szCs w:val="21"/>
                </w:rPr>
                <w:t>半流体</w:t>
              </w:r>
            </w:hyperlink>
            <w:r>
              <w:rPr>
                <w:rFonts w:hint="eastAsia"/>
                <w:kern w:val="0"/>
                <w:szCs w:val="21"/>
              </w:rPr>
              <w:t>。松脂主要由</w:t>
            </w:r>
            <w:hyperlink r:id="rId70" w:tgtFrame="_blank" w:history="1">
              <w:r>
                <w:rPr>
                  <w:rFonts w:hint="eastAsia"/>
                  <w:kern w:val="0"/>
                  <w:szCs w:val="21"/>
                </w:rPr>
                <w:t>树脂</w:t>
              </w:r>
            </w:hyperlink>
            <w:r>
              <w:rPr>
                <w:rFonts w:hint="eastAsia"/>
                <w:kern w:val="0"/>
                <w:szCs w:val="21"/>
              </w:rPr>
              <w:t>酸和萜烃组成，此外还含有少量</w:t>
            </w:r>
            <w:hyperlink r:id="rId71" w:tgtFrame="_blank" w:history="1">
              <w:r>
                <w:rPr>
                  <w:rFonts w:hint="eastAsia"/>
                  <w:kern w:val="0"/>
                  <w:szCs w:val="21"/>
                </w:rPr>
                <w:t>杂质</w:t>
              </w:r>
            </w:hyperlink>
            <w:r>
              <w:rPr>
                <w:rFonts w:hint="eastAsia"/>
                <w:kern w:val="0"/>
                <w:szCs w:val="21"/>
              </w:rPr>
              <w:t>和水分。</w:t>
            </w:r>
            <w:hyperlink r:id="rId70" w:tgtFrame="_blank" w:history="1">
              <w:r>
                <w:rPr>
                  <w:rFonts w:hint="eastAsia"/>
                  <w:kern w:val="0"/>
                  <w:szCs w:val="21"/>
                </w:rPr>
                <w:t>树脂</w:t>
              </w:r>
            </w:hyperlink>
            <w:r>
              <w:rPr>
                <w:rFonts w:hint="eastAsia"/>
                <w:kern w:val="0"/>
                <w:szCs w:val="21"/>
              </w:rPr>
              <w:t>酸和萜烃的含量因树种、产地、采脂方法和贮存期而异。</w:t>
            </w:r>
          </w:p>
        </w:tc>
      </w:tr>
      <w:tr>
        <w:tblPrEx>
          <w:tblW w:w="0" w:type="auto"/>
          <w:tblCellMar>
            <w:top w:w="0" w:type="dxa"/>
            <w:left w:w="108" w:type="dxa"/>
            <w:bottom w:w="0" w:type="dxa"/>
            <w:right w:w="108" w:type="dxa"/>
          </w:tblCellMar>
          <w:tblLook w:val="0000"/>
        </w:tblPrEx>
        <w:tc>
          <w:tcPr>
            <w:tcW w:w="673" w:type="dxa"/>
            <w:vAlign w:val="center"/>
          </w:tcPr>
          <w:p>
            <w:pPr>
              <w:jc w:val="center"/>
              <w:rPr>
                <w:spacing w:val="-4"/>
                <w:szCs w:val="21"/>
              </w:rPr>
            </w:pPr>
            <w:r>
              <w:rPr>
                <w:spacing w:val="-4"/>
                <w:szCs w:val="21"/>
              </w:rPr>
              <w:t>7</w:t>
            </w:r>
          </w:p>
        </w:tc>
        <w:tc>
          <w:tcPr>
            <w:tcW w:w="1130" w:type="dxa"/>
            <w:vAlign w:val="center"/>
          </w:tcPr>
          <w:p>
            <w:pPr>
              <w:jc w:val="center"/>
              <w:rPr>
                <w:spacing w:val="-4"/>
                <w:szCs w:val="21"/>
              </w:rPr>
            </w:pPr>
            <w:r>
              <w:rPr>
                <w:rFonts w:hint="eastAsia"/>
                <w:kern w:val="0"/>
                <w:szCs w:val="21"/>
              </w:rPr>
              <w:t>液压油</w:t>
            </w:r>
          </w:p>
        </w:tc>
        <w:tc>
          <w:tcPr>
            <w:tcW w:w="7427" w:type="dxa"/>
            <w:vAlign w:val="center"/>
          </w:tcPr>
          <w:p>
            <w:pPr>
              <w:jc w:val="left"/>
              <w:rPr>
                <w:rFonts w:ascii="宋体" w:hAnsi="宋体" w:hint="eastAsia"/>
                <w:szCs w:val="21"/>
              </w:rPr>
            </w:pPr>
            <w:r>
              <w:rPr>
                <w:rFonts w:ascii="宋体" w:hAnsi="宋体" w:hint="eastAsia"/>
                <w:szCs w:val="21"/>
              </w:rPr>
              <w:t>设备运行过程中，为了使其更好的运转，需要对其进行润滑，要用到润滑油，</w:t>
            </w:r>
            <w:r>
              <w:rPr>
                <w:rFonts w:ascii="宋体" w:hAnsi="宋体"/>
                <w:szCs w:val="21"/>
              </w:rPr>
              <w:t>用于机械的摩擦部分,起润滑、冷却和密封作用</w:t>
            </w:r>
            <w:r>
              <w:rPr>
                <w:rFonts w:ascii="宋体" w:hAnsi="宋体" w:hint="eastAsia"/>
                <w:szCs w:val="21"/>
              </w:rPr>
              <w:t>；液压油、润滑油</w:t>
            </w:r>
            <w:r>
              <w:rPr>
                <w:szCs w:val="21"/>
              </w:rPr>
              <w:t>遇明火、高热可燃</w:t>
            </w:r>
            <w:r>
              <w:rPr>
                <w:rFonts w:hint="eastAsia"/>
                <w:szCs w:val="21"/>
              </w:rPr>
              <w:t>，</w:t>
            </w:r>
            <w:r>
              <w:rPr>
                <w:rFonts w:ascii="宋体" w:hAnsi="宋体" w:hint="eastAsia"/>
                <w:szCs w:val="21"/>
              </w:rPr>
              <w:t>燃烧产物为CO、CO</w:t>
            </w:r>
            <w:r>
              <w:rPr>
                <w:rFonts w:ascii="宋体" w:hAnsi="宋体" w:hint="eastAsia"/>
                <w:szCs w:val="21"/>
                <w:vertAlign w:val="subscript"/>
              </w:rPr>
              <w:t>2</w:t>
            </w:r>
            <w:r>
              <w:rPr>
                <w:rFonts w:ascii="宋体" w:hAnsi="宋体" w:hint="eastAsia"/>
                <w:szCs w:val="21"/>
              </w:rPr>
              <w:t>，禁配物：强氧化剂</w:t>
            </w:r>
            <w:r>
              <w:rPr>
                <w:rFonts w:ascii="宋体" w:hAnsi="宋体"/>
                <w:szCs w:val="21"/>
              </w:rPr>
              <w:t>。</w:t>
            </w:r>
          </w:p>
          <w:p>
            <w:pPr>
              <w:jc w:val="left"/>
              <w:rPr>
                <w:rFonts w:hint="eastAsia"/>
                <w:szCs w:val="21"/>
              </w:rPr>
            </w:pPr>
            <w:r>
              <w:rPr>
                <w:rFonts w:ascii="宋体" w:hAnsi="宋体" w:hint="eastAsia"/>
                <w:szCs w:val="21"/>
              </w:rPr>
              <w:t>外观与性状：</w:t>
            </w:r>
            <w:r>
              <w:rPr>
                <w:rFonts w:ascii="宋体" w:hAnsi="宋体"/>
                <w:szCs w:val="21"/>
              </w:rPr>
              <w:t>油状液体,淡黄色至褐色,无气味或略带异味。</w:t>
            </w:r>
          </w:p>
          <w:p>
            <w:pPr>
              <w:jc w:val="left"/>
              <w:rPr>
                <w:rFonts w:ascii="宋体" w:hAnsi="宋体" w:hint="eastAsia"/>
                <w:szCs w:val="21"/>
              </w:rPr>
            </w:pPr>
            <w:r>
              <w:rPr>
                <w:rFonts w:ascii="宋体" w:hAnsi="宋体" w:hint="eastAsia"/>
                <w:szCs w:val="21"/>
              </w:rPr>
              <w:t>健康危害：</w:t>
            </w:r>
            <w:r>
              <w:rPr>
                <w:rFonts w:ascii="宋体" w:hAnsi="宋体"/>
                <w:szCs w:val="21"/>
              </w:rPr>
              <w:t>急性吸入，可出现乏力、头晕、头痛、恶心，严重者可引起油脂性肺炎。慢接触者，暴露部位可发生油性痤疮和接触性皮炎。可引起神经衰弱综合</w:t>
            </w:r>
            <w:r>
              <w:rPr>
                <w:rFonts w:ascii="宋体" w:hAnsi="宋体" w:hint="eastAsia"/>
                <w:szCs w:val="21"/>
              </w:rPr>
              <w:t>症</w:t>
            </w:r>
            <w:r>
              <w:rPr>
                <w:rFonts w:ascii="宋体" w:hAnsi="宋体"/>
                <w:szCs w:val="21"/>
              </w:rPr>
              <w:t>，呼吸道和眼刺激症状及慢性油脂性肺炎。有资料报道，接触石油润滑油类的工人，有致癌的病例报告。</w:t>
            </w:r>
          </w:p>
          <w:p>
            <w:pPr>
              <w:jc w:val="left"/>
              <w:rPr>
                <w:spacing w:val="-4"/>
                <w:szCs w:val="21"/>
              </w:rPr>
            </w:pPr>
            <w:r>
              <w:rPr>
                <w:rFonts w:ascii="宋体" w:hAnsi="宋体" w:hint="eastAsia"/>
                <w:szCs w:val="21"/>
              </w:rPr>
              <w:t>储存注意事项：</w:t>
            </w:r>
            <w:r>
              <w:rPr>
                <w:rFonts w:ascii="宋体" w:hAnsi="宋体"/>
                <w:szCs w:val="21"/>
              </w:rPr>
              <w:t>储存于阴凉、通风的库房。远离火种、热源。应与氧化剂分开存放，切忌混储。配备相应品种和数量的消防器材。储区应备有泄漏应急处理设备和合适的收容材料。</w:t>
            </w:r>
          </w:p>
        </w:tc>
      </w:tr>
    </w:tbl>
    <w:p>
      <w:pPr>
        <w:adjustRightInd w:val="0"/>
        <w:snapToGrid w:val="0"/>
        <w:spacing w:line="360" w:lineRule="auto"/>
        <w:ind w:firstLine="560" w:firstLineChars="200"/>
        <w:rPr>
          <w:rFonts w:eastAsia="楷体" w:hint="eastAsia"/>
        </w:rPr>
      </w:pPr>
      <w:bookmarkStart w:id="151" w:name="_Toc13170577"/>
      <w:bookmarkStart w:id="152" w:name="_Toc352687380"/>
      <w:bookmarkStart w:id="153" w:name="_Toc14347181"/>
      <w:r>
        <w:rPr>
          <w:sz w:val="28"/>
          <w:szCs w:val="28"/>
        </w:rPr>
        <w:t>依据《危险化学品目录(2015版)》(国家安全生产监督管理局等十部门公告2015年第5号)可知，上述物料均不属于危险化学品目录物质。</w:t>
      </w:r>
    </w:p>
    <w:p>
      <w:pPr>
        <w:pStyle w:val="Heading2"/>
        <w:adjustRightInd w:val="0"/>
        <w:snapToGrid w:val="0"/>
        <w:spacing w:before="0" w:after="0" w:line="360" w:lineRule="auto"/>
        <w:rPr>
          <w:rFonts w:ascii="Times New Roman" w:eastAsia="楷体" w:hAnsi="Times New Roman"/>
        </w:rPr>
      </w:pPr>
      <w:r>
        <w:rPr>
          <w:rFonts w:ascii="Times New Roman" w:eastAsia="楷体" w:hAnsi="Times New Roman"/>
        </w:rPr>
        <w:t>3.2自然条件、总平面布置的危险有害因素识别与分析</w:t>
      </w:r>
      <w:bookmarkEnd w:id="151"/>
      <w:bookmarkEnd w:id="152"/>
      <w:bookmarkEnd w:id="153"/>
    </w:p>
    <w:p>
      <w:pPr>
        <w:pStyle w:val="Heading3"/>
        <w:adjustRightInd w:val="0"/>
        <w:snapToGrid w:val="0"/>
        <w:spacing w:before="0" w:beforeLines="0" w:after="0" w:afterLines="0" w:line="360" w:lineRule="auto"/>
        <w:rPr>
          <w:rFonts w:eastAsia="宋体"/>
          <w:szCs w:val="28"/>
        </w:rPr>
      </w:pPr>
      <w:bookmarkStart w:id="154" w:name="_Toc525723719"/>
      <w:bookmarkStart w:id="155" w:name="_Toc521869707"/>
      <w:bookmarkStart w:id="156" w:name="_Toc522091597"/>
      <w:bookmarkStart w:id="157" w:name="_Toc13170578"/>
      <w:r>
        <w:rPr>
          <w:rFonts w:eastAsia="宋体"/>
          <w:szCs w:val="28"/>
        </w:rPr>
        <w:t>3.2.1自然条件</w:t>
      </w:r>
      <w:bookmarkEnd w:id="157"/>
      <w:bookmarkEnd w:id="154"/>
      <w:bookmarkEnd w:id="155"/>
      <w:bookmarkEnd w:id="156"/>
    </w:p>
    <w:p>
      <w:pPr>
        <w:adjustRightInd w:val="0"/>
        <w:snapToGrid w:val="0"/>
        <w:spacing w:line="360" w:lineRule="auto"/>
        <w:ind w:firstLine="560" w:firstLineChars="200"/>
        <w:rPr>
          <w:sz w:val="28"/>
          <w:szCs w:val="28"/>
        </w:rPr>
      </w:pPr>
      <w:r>
        <w:rPr>
          <w:sz w:val="28"/>
          <w:szCs w:val="28"/>
        </w:rPr>
        <w:t>1、地震危害</w:t>
      </w: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地震是地壳运动的一种表现形式，是地球内部传播出来的地震波造成的地面震动，破坏性大，影响面广，突发性强，常有明显的区域特征，是影响装置及设备安全运行的事故因素之一。</w:t>
      </w:r>
    </w:p>
    <w:p>
      <w:pPr>
        <w:pStyle w:val="NormalIndent"/>
        <w:adjustRightInd w:val="0"/>
        <w:snapToGrid w:val="0"/>
        <w:spacing w:line="336" w:lineRule="auto"/>
        <w:ind w:firstLine="560" w:firstLineChars="200"/>
        <w:rPr>
          <w:rFonts w:eastAsia="宋体" w:hint="eastAsia"/>
          <w:szCs w:val="28"/>
        </w:rPr>
        <w:sectPr>
          <w:headerReference w:type="default" r:id="rId72"/>
          <w:footerReference w:type="default" r:id="rId73"/>
          <w:type w:val="nextPage"/>
          <w:pgSz w:w="11906" w:h="16838"/>
          <w:pgMar w:top="1418" w:right="1418" w:bottom="1361" w:left="1474" w:header="993" w:footer="980" w:gutter="0"/>
          <w:pgNumType w:start="24"/>
          <w:cols w:space="708"/>
          <w:titlePg w:val="0"/>
          <w:docGrid w:type="lines" w:linePitch="312"/>
        </w:sectPr>
      </w:pP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地震产生地面竖向与横向震动，导致地面开裂、裂缝、塌陷，引发火灾、滑坡等自然灾害。可导致水、电、通讯线路中断，建构筑物倒塌、损坏。</w:t>
      </w:r>
    </w:p>
    <w:p>
      <w:pPr>
        <w:pStyle w:val="NormalIndent"/>
        <w:adjustRightInd w:val="0"/>
        <w:snapToGrid w:val="0"/>
        <w:spacing w:line="336" w:lineRule="auto"/>
        <w:ind w:firstLine="560" w:firstLineChars="200"/>
        <w:rPr>
          <w:rFonts w:eastAsia="宋体"/>
          <w:szCs w:val="28"/>
        </w:rPr>
      </w:pPr>
      <w:r>
        <w:rPr>
          <w:rFonts w:eastAsia="宋体" w:hint="eastAsia"/>
          <w:szCs w:val="28"/>
        </w:rPr>
        <w:t>地震可对本工程的建构筑物及设备、设施等造成威胁及破坏。</w:t>
      </w:r>
    </w:p>
    <w:p>
      <w:pPr>
        <w:adjustRightInd w:val="0"/>
        <w:snapToGrid w:val="0"/>
        <w:spacing w:line="360" w:lineRule="auto"/>
        <w:ind w:firstLine="560" w:firstLineChars="200"/>
        <w:rPr>
          <w:sz w:val="28"/>
          <w:szCs w:val="28"/>
        </w:rPr>
      </w:pPr>
      <w:r>
        <w:rPr>
          <w:sz w:val="28"/>
          <w:szCs w:val="28"/>
        </w:rPr>
        <w:t>2、雷电、雷击</w:t>
      </w:r>
    </w:p>
    <w:p>
      <w:pPr>
        <w:pStyle w:val="NormalIndent"/>
        <w:adjustRightInd w:val="0"/>
        <w:snapToGrid w:val="0"/>
        <w:spacing w:line="336" w:lineRule="auto"/>
        <w:ind w:firstLine="560" w:firstLineChars="200"/>
        <w:rPr>
          <w:rFonts w:eastAsia="宋体"/>
          <w:szCs w:val="28"/>
        </w:rPr>
      </w:pPr>
      <w:r>
        <w:rPr>
          <w:rFonts w:eastAsia="宋体" w:hint="eastAsia"/>
          <w:szCs w:val="28"/>
        </w:rPr>
        <w:t>雷击可造成建构筑物、电气设备及线路损毁、人员伤亡；</w:t>
      </w:r>
    </w:p>
    <w:p>
      <w:pPr>
        <w:adjustRightInd w:val="0"/>
        <w:snapToGrid w:val="0"/>
        <w:spacing w:line="360" w:lineRule="auto"/>
        <w:ind w:firstLine="560" w:firstLineChars="200"/>
        <w:rPr>
          <w:sz w:val="28"/>
          <w:szCs w:val="28"/>
        </w:rPr>
      </w:pPr>
      <w:r>
        <w:rPr>
          <w:sz w:val="28"/>
          <w:szCs w:val="28"/>
        </w:rPr>
        <w:t>3、暴雨和洪水</w:t>
      </w: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项目所在地年平均降水量在580.2mm，强对流天气下排水不畅，有可能产生内涝。</w:t>
      </w: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该项目岩棉夹芯彩钢板（厚度为100mm），极端天气条件下，厂房风载荷设计不足或施工过程偷工减料，大风、强风有可能对厂房造成破坏。</w:t>
      </w:r>
    </w:p>
    <w:p>
      <w:pPr>
        <w:pStyle w:val="NormalIndent"/>
        <w:adjustRightInd w:val="0"/>
        <w:snapToGrid w:val="0"/>
        <w:spacing w:line="336" w:lineRule="auto"/>
        <w:ind w:firstLine="560" w:firstLineChars="200"/>
        <w:rPr>
          <w:rFonts w:eastAsia="宋体"/>
          <w:szCs w:val="28"/>
        </w:rPr>
      </w:pPr>
      <w:r>
        <w:rPr>
          <w:rFonts w:eastAsia="宋体" w:hint="eastAsia"/>
          <w:szCs w:val="28"/>
        </w:rPr>
        <w:t>冬季大雪，屋顶积雪堆积不化，可造成厂房、仓库房屋等面载荷加大，引起屋面、屋架垮塌；雪天道路打滑。</w:t>
      </w:r>
    </w:p>
    <w:p>
      <w:pPr>
        <w:adjustRightInd w:val="0"/>
        <w:snapToGrid w:val="0"/>
        <w:spacing w:line="360" w:lineRule="auto"/>
        <w:ind w:firstLine="560" w:firstLineChars="200"/>
        <w:rPr>
          <w:sz w:val="28"/>
          <w:szCs w:val="28"/>
        </w:rPr>
      </w:pPr>
      <w:r>
        <w:rPr>
          <w:sz w:val="28"/>
          <w:szCs w:val="28"/>
        </w:rPr>
        <w:t>4、高低温</w:t>
      </w: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项目所在区域极端最高气温41.6</w:t>
      </w:r>
      <w:r>
        <w:rPr>
          <w:rFonts w:eastAsia="宋体" w:hint="eastAsia"/>
          <w:szCs w:val="28"/>
        </w:rPr>
        <w:t>℃</w:t>
      </w:r>
      <w:r>
        <w:rPr>
          <w:rFonts w:eastAsia="宋体" w:hint="eastAsia"/>
          <w:szCs w:val="28"/>
        </w:rPr>
        <w:t>。随着温度的升高，高温会引起人员中暑，增加操作失误率，引发操作事故。</w:t>
      </w:r>
    </w:p>
    <w:p>
      <w:pPr>
        <w:pStyle w:val="NormalIndent"/>
        <w:adjustRightInd w:val="0"/>
        <w:snapToGrid w:val="0"/>
        <w:spacing w:line="336" w:lineRule="auto"/>
        <w:ind w:firstLine="560" w:firstLineChars="200"/>
        <w:rPr>
          <w:rFonts w:eastAsia="宋体"/>
          <w:szCs w:val="28"/>
        </w:rPr>
      </w:pPr>
      <w:r>
        <w:rPr>
          <w:rFonts w:eastAsia="宋体" w:hint="eastAsia"/>
          <w:szCs w:val="28"/>
        </w:rPr>
        <w:t>项目所在区域极端最低温度－20.8</w:t>
      </w:r>
      <w:r>
        <w:rPr>
          <w:rFonts w:eastAsia="宋体" w:hint="eastAsia"/>
          <w:szCs w:val="28"/>
        </w:rPr>
        <w:t>℃</w:t>
      </w:r>
      <w:r>
        <w:rPr>
          <w:rFonts w:eastAsia="宋体" w:hint="eastAsia"/>
          <w:szCs w:val="28"/>
        </w:rPr>
        <w:t>，低气温可导致工作人员冻伤。</w:t>
      </w:r>
    </w:p>
    <w:p>
      <w:pPr>
        <w:pStyle w:val="Heading3"/>
        <w:adjustRightInd w:val="0"/>
        <w:snapToGrid w:val="0"/>
        <w:spacing w:before="0" w:beforeLines="0" w:after="0" w:afterLines="0" w:line="360" w:lineRule="auto"/>
        <w:rPr>
          <w:rFonts w:eastAsia="宋体"/>
          <w:szCs w:val="28"/>
        </w:rPr>
      </w:pPr>
      <w:bookmarkStart w:id="158" w:name="_Toc521869708"/>
      <w:bookmarkStart w:id="159" w:name="_Toc13170579"/>
      <w:bookmarkStart w:id="160" w:name="_Toc525723720"/>
      <w:bookmarkStart w:id="161" w:name="_Toc522091598"/>
      <w:r>
        <w:rPr>
          <w:rFonts w:eastAsia="宋体"/>
          <w:szCs w:val="28"/>
        </w:rPr>
        <w:t>3.2.2总平面布置</w:t>
      </w:r>
      <w:bookmarkEnd w:id="161"/>
      <w:bookmarkEnd w:id="158"/>
      <w:bookmarkEnd w:id="159"/>
      <w:bookmarkEnd w:id="160"/>
    </w:p>
    <w:p>
      <w:pPr>
        <w:pStyle w:val="NormalIndent"/>
        <w:adjustRightInd w:val="0"/>
        <w:snapToGrid w:val="0"/>
        <w:spacing w:line="336" w:lineRule="auto"/>
        <w:ind w:firstLine="560" w:firstLineChars="200"/>
        <w:rPr>
          <w:rFonts w:eastAsia="宋体" w:hint="eastAsia"/>
          <w:szCs w:val="28"/>
        </w:rPr>
      </w:pPr>
      <w:r>
        <w:rPr>
          <w:rFonts w:eastAsia="宋体" w:hint="eastAsia"/>
          <w:szCs w:val="28"/>
        </w:rPr>
        <w:t>在总平面布局方面，如果厂房耐火等级、防火间距不符合要求，</w:t>
      </w:r>
      <w:r>
        <w:rPr>
          <w:rFonts w:eastAsia="宋体"/>
          <w:szCs w:val="28"/>
        </w:rPr>
        <w:t>功能分区</w:t>
      </w:r>
      <w:r>
        <w:rPr>
          <w:rFonts w:eastAsia="宋体" w:hint="eastAsia"/>
          <w:szCs w:val="28"/>
        </w:rPr>
        <w:t>不合理，</w:t>
      </w:r>
      <w:r>
        <w:rPr>
          <w:rFonts w:eastAsia="宋体"/>
          <w:szCs w:val="28"/>
        </w:rPr>
        <w:t>各项设施的布置</w:t>
      </w:r>
      <w:r>
        <w:rPr>
          <w:rFonts w:eastAsia="宋体" w:hint="eastAsia"/>
          <w:szCs w:val="28"/>
        </w:rPr>
        <w:t>不合理，</w:t>
      </w:r>
      <w:r>
        <w:rPr>
          <w:rFonts w:eastAsia="宋体"/>
          <w:szCs w:val="28"/>
        </w:rPr>
        <w:t>朝向、采光和自然通风条件</w:t>
      </w:r>
      <w:r>
        <w:rPr>
          <w:rFonts w:eastAsia="宋体" w:hint="eastAsia"/>
          <w:szCs w:val="28"/>
        </w:rPr>
        <w:t>不良，车间安全出口、疏散线路设置缺陷，安全通道设置不合理等情况，都有可能影响安全生产。</w:t>
      </w: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尤其是本项目，属于喷漆车间，如喷漆场所与其他场所未进行有效隔离、喷漆场所耐火等级达不到要求、安全出口不够等因素，均会影响整个项目的安全生产。</w:t>
      </w:r>
    </w:p>
    <w:p>
      <w:pPr>
        <w:pStyle w:val="Heading3"/>
        <w:adjustRightInd w:val="0"/>
        <w:snapToGrid w:val="0"/>
        <w:spacing w:before="0" w:beforeLines="0" w:after="0" w:afterLines="0" w:line="360" w:lineRule="auto"/>
        <w:rPr>
          <w:rFonts w:eastAsia="宋体" w:hint="eastAsia"/>
          <w:szCs w:val="28"/>
        </w:rPr>
      </w:pPr>
      <w:r>
        <w:rPr>
          <w:rFonts w:eastAsia="宋体" w:hint="eastAsia"/>
          <w:szCs w:val="28"/>
        </w:rPr>
        <w:t>3.2.3建构筑物</w:t>
      </w:r>
      <w:r>
        <w:rPr>
          <w:rFonts w:eastAsia="宋体"/>
          <w:szCs w:val="28"/>
        </w:rPr>
        <w:t>有害因素辨识与分析</w:t>
      </w:r>
    </w:p>
    <w:p>
      <w:pPr>
        <w:pStyle w:val="NormalIndent"/>
        <w:adjustRightInd w:val="0"/>
        <w:snapToGrid w:val="0"/>
        <w:spacing w:line="336" w:lineRule="auto"/>
        <w:ind w:firstLine="560" w:firstLineChars="200"/>
        <w:rPr>
          <w:rFonts w:eastAsia="宋体" w:hint="eastAsia"/>
          <w:szCs w:val="28"/>
        </w:rPr>
        <w:sectPr>
          <w:headerReference w:type="default" r:id="rId74"/>
          <w:footerReference w:type="default" r:id="rId75"/>
          <w:type w:val="nextPage"/>
          <w:pgSz w:w="11906" w:h="16838"/>
          <w:pgMar w:top="1418" w:right="1418" w:bottom="1361" w:left="1474" w:header="993" w:footer="980" w:gutter="0"/>
          <w:pgNumType w:start="25"/>
          <w:cols w:space="708"/>
          <w:titlePg w:val="0"/>
          <w:docGrid w:type="lines" w:linePitch="312"/>
        </w:sectPr>
      </w:pP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本项目建筑物的建筑结构设计如设计强度、承载能力、抗震设计、防火设计及建筑防火材料等，如不符合有关技术标准、设计规范的规定，有可能引发事故或扩大事故后果的范围。</w:t>
      </w:r>
    </w:p>
    <w:p>
      <w:pPr>
        <w:pStyle w:val="NormalIndent"/>
        <w:adjustRightInd w:val="0"/>
        <w:snapToGrid w:val="0"/>
        <w:spacing w:line="336" w:lineRule="auto"/>
        <w:ind w:firstLine="560" w:firstLineChars="200"/>
        <w:rPr>
          <w:rFonts w:eastAsia="宋体" w:hint="eastAsia"/>
          <w:szCs w:val="28"/>
        </w:rPr>
      </w:pPr>
      <w:r>
        <w:rPr>
          <w:rFonts w:eastAsia="宋体" w:hint="eastAsia"/>
          <w:szCs w:val="28"/>
        </w:rPr>
        <w:t>此外，若建筑物的配套设施，如电气设施、防雷设施、防静电设施、消防设施和防噪、照明、通风设施等，如不符合有关技术标准、设计规范的规定，会增加发生事故的可能性，或者加大事故后果的严重性。</w:t>
      </w:r>
    </w:p>
    <w:p>
      <w:pPr>
        <w:pStyle w:val="Heading2"/>
        <w:adjustRightInd w:val="0"/>
        <w:snapToGrid w:val="0"/>
        <w:spacing w:before="0" w:after="0" w:line="360" w:lineRule="auto"/>
        <w:rPr>
          <w:rFonts w:ascii="Times New Roman" w:eastAsia="宋体" w:hAnsi="Times New Roman"/>
          <w:sz w:val="28"/>
          <w:szCs w:val="28"/>
        </w:rPr>
      </w:pPr>
      <w:bookmarkStart w:id="162" w:name="_Toc13170580"/>
      <w:bookmarkStart w:id="163" w:name="_Toc352687381"/>
      <w:bookmarkStart w:id="164" w:name="_Toc14347182"/>
      <w:bookmarkStart w:id="165" w:name="_Toc224003807"/>
      <w:r>
        <w:rPr>
          <w:rFonts w:ascii="Times New Roman" w:eastAsia="宋体" w:hAnsi="Times New Roman"/>
          <w:sz w:val="28"/>
          <w:szCs w:val="28"/>
        </w:rPr>
        <w:t>3.3生产过程危险、有害因素识别与分析</w:t>
      </w:r>
      <w:bookmarkEnd w:id="162"/>
      <w:bookmarkEnd w:id="163"/>
      <w:bookmarkEnd w:id="164"/>
      <w:bookmarkEnd w:id="165"/>
    </w:p>
    <w:p>
      <w:pPr>
        <w:adjustRightInd w:val="0"/>
        <w:snapToGrid w:val="0"/>
        <w:spacing w:line="360" w:lineRule="auto"/>
        <w:ind w:firstLine="546" w:firstLineChars="195"/>
        <w:rPr>
          <w:sz w:val="28"/>
          <w:szCs w:val="28"/>
        </w:rPr>
      </w:pPr>
      <w:r>
        <w:rPr>
          <w:rFonts w:hint="eastAsia"/>
          <w:sz w:val="28"/>
          <w:szCs w:val="28"/>
        </w:rPr>
        <w:t>根据《企业职工伤亡事故分类标准》GB6441-1986，综合考虑发生事故的起因物、引起事故的诱导性原因、有害物及伤害方式等，分析上述危险有害因素可能导致的事故类型有：机械伤害、触电、火灾、起重伤害、物体打击、高处坠落、车辆伤害、淹溺、坍塌、噪音等。</w:t>
      </w:r>
    </w:p>
    <w:p>
      <w:pPr>
        <w:pStyle w:val="Heading3"/>
        <w:adjustRightInd w:val="0"/>
        <w:snapToGrid w:val="0"/>
        <w:spacing w:before="0" w:beforeLines="0" w:after="0" w:afterLines="0" w:line="360" w:lineRule="auto"/>
        <w:rPr>
          <w:rFonts w:eastAsia="宋体"/>
          <w:szCs w:val="28"/>
        </w:rPr>
      </w:pPr>
      <w:bookmarkStart w:id="166" w:name="_Toc525723722"/>
      <w:bookmarkStart w:id="167" w:name="_Toc13170581"/>
      <w:r>
        <w:rPr>
          <w:rFonts w:eastAsia="宋体"/>
          <w:szCs w:val="28"/>
        </w:rPr>
        <w:t>3.3.1火灾、爆炸</w:t>
      </w:r>
      <w:bookmarkEnd w:id="166"/>
      <w:bookmarkEnd w:id="167"/>
    </w:p>
    <w:p>
      <w:pPr>
        <w:adjustRightInd w:val="0"/>
        <w:snapToGrid w:val="0"/>
        <w:spacing w:line="360" w:lineRule="auto"/>
        <w:ind w:firstLine="546" w:firstLineChars="195"/>
        <w:rPr>
          <w:rFonts w:hint="eastAsia"/>
          <w:sz w:val="28"/>
          <w:szCs w:val="28"/>
        </w:rPr>
      </w:pPr>
      <w:r>
        <w:rPr>
          <w:rFonts w:hint="eastAsia"/>
          <w:sz w:val="28"/>
          <w:szCs w:val="28"/>
        </w:rPr>
        <w:t>火灾是指火失去控制而形成的灾害性燃烧现象，通常会造成财产损失和人员伤亡。发生火灾的三要素是助燃物、可燃物和点火源。在火灾防治中，如果能够阻断火灾三要素的任何一个就可以扑灭火灾。</w:t>
      </w:r>
    </w:p>
    <w:p>
      <w:pPr>
        <w:adjustRightInd w:val="0"/>
        <w:snapToGrid w:val="0"/>
        <w:spacing w:line="360" w:lineRule="auto"/>
        <w:ind w:firstLine="546" w:firstLineChars="195"/>
        <w:rPr>
          <w:rFonts w:hint="eastAsia"/>
          <w:sz w:val="28"/>
          <w:szCs w:val="28"/>
        </w:rPr>
      </w:pPr>
      <w:r>
        <w:rPr>
          <w:rFonts w:hint="eastAsia"/>
          <w:sz w:val="28"/>
          <w:szCs w:val="28"/>
        </w:rPr>
        <w:t>造成火灾事故的主要原因有：</w:t>
      </w:r>
    </w:p>
    <w:p>
      <w:pPr>
        <w:adjustRightInd w:val="0"/>
        <w:snapToGrid w:val="0"/>
        <w:spacing w:line="360" w:lineRule="auto"/>
        <w:ind w:firstLine="546" w:firstLineChars="195"/>
        <w:rPr>
          <w:rFonts w:hint="eastAsia"/>
          <w:sz w:val="28"/>
          <w:szCs w:val="28"/>
        </w:rPr>
      </w:pPr>
      <w:r>
        <w:rPr>
          <w:rFonts w:hint="eastAsia"/>
          <w:sz w:val="28"/>
          <w:szCs w:val="28"/>
        </w:rPr>
        <w:t>(1)本项目所涉及的原辅料非洲硬杂木、刺槐原木、银口木（白蜡）、木松油、中纤板、热熔胶、吸塑膜、吸塑胶、包装、液压油均属于可燃物质，物料堆放在车间，遇明火易发生火灾事故。</w:t>
      </w:r>
    </w:p>
    <w:p>
      <w:pPr>
        <w:adjustRightInd w:val="0"/>
        <w:snapToGrid w:val="0"/>
        <w:spacing w:line="360" w:lineRule="auto"/>
        <w:ind w:firstLine="546" w:firstLineChars="195"/>
        <w:rPr>
          <w:rFonts w:hint="eastAsia"/>
          <w:sz w:val="28"/>
          <w:szCs w:val="28"/>
        </w:rPr>
      </w:pPr>
      <w:r>
        <w:rPr>
          <w:rFonts w:hint="eastAsia"/>
          <w:sz w:val="28"/>
          <w:szCs w:val="28"/>
        </w:rPr>
        <w:t>(2)本项目涉及电气设施，遍布整个工艺流程，如果发生电器设施超负何运行、接地不良、过热、绝缘损坏等，易发生电气、电缆火灾事故。</w:t>
      </w:r>
    </w:p>
    <w:p>
      <w:pPr>
        <w:adjustRightInd w:val="0"/>
        <w:snapToGrid w:val="0"/>
        <w:spacing w:line="360" w:lineRule="auto"/>
        <w:ind w:firstLine="546" w:firstLineChars="195"/>
        <w:rPr>
          <w:rFonts w:hint="eastAsia"/>
          <w:sz w:val="28"/>
          <w:szCs w:val="28"/>
        </w:rPr>
      </w:pPr>
      <w:r>
        <w:rPr>
          <w:rFonts w:hint="eastAsia"/>
          <w:sz w:val="28"/>
          <w:szCs w:val="28"/>
        </w:rPr>
        <w:t>(3)如地线不良、避雷装置失效可导致雷击或静电伤害，雷电也可能引起火灾、爆炸事故的发生。</w:t>
      </w:r>
    </w:p>
    <w:p>
      <w:pPr>
        <w:adjustRightInd w:val="0"/>
        <w:snapToGrid w:val="0"/>
        <w:spacing w:line="360" w:lineRule="auto"/>
        <w:ind w:firstLine="546" w:firstLineChars="195"/>
        <w:rPr>
          <w:rFonts w:hint="eastAsia"/>
          <w:sz w:val="28"/>
          <w:szCs w:val="28"/>
        </w:rPr>
      </w:pPr>
      <w:r>
        <w:rPr>
          <w:rFonts w:hint="eastAsia"/>
          <w:sz w:val="28"/>
          <w:szCs w:val="28"/>
        </w:rPr>
        <w:t>(4)由于电气设备短路、过载、接触不良、散热不良等原因导致电气设备过热，设备周围如果存在可燃物质，易引起火灾。</w:t>
      </w:r>
    </w:p>
    <w:p>
      <w:pPr>
        <w:adjustRightInd w:val="0"/>
        <w:snapToGrid w:val="0"/>
        <w:spacing w:line="360" w:lineRule="auto"/>
        <w:ind w:firstLine="546" w:firstLineChars="195"/>
        <w:rPr>
          <w:rFonts w:hint="eastAsia"/>
          <w:sz w:val="28"/>
          <w:szCs w:val="28"/>
        </w:rPr>
      </w:pPr>
      <w:r>
        <w:rPr>
          <w:rFonts w:hint="eastAsia"/>
          <w:sz w:val="28"/>
          <w:szCs w:val="28"/>
        </w:rPr>
        <w:t>(5)电缆的各种保护措施不到位、消防设施没有安装或失效，引起电缆火灾或使火灾扩大、蔓延。</w:t>
      </w:r>
    </w:p>
    <w:p>
      <w:pPr>
        <w:adjustRightInd w:val="0"/>
        <w:snapToGrid w:val="0"/>
        <w:spacing w:line="360" w:lineRule="auto"/>
        <w:ind w:firstLine="546" w:firstLineChars="195"/>
        <w:rPr>
          <w:rFonts w:hint="eastAsia"/>
          <w:sz w:val="28"/>
          <w:szCs w:val="28"/>
        </w:rPr>
        <w:sectPr>
          <w:headerReference w:type="default" r:id="rId76"/>
          <w:footerReference w:type="default" r:id="rId77"/>
          <w:type w:val="nextPage"/>
          <w:pgSz w:w="11906" w:h="16838"/>
          <w:pgMar w:top="1418" w:right="1418" w:bottom="1361" w:left="1474" w:header="993" w:footer="980" w:gutter="0"/>
          <w:pgNumType w:start="26"/>
          <w:cols w:space="708"/>
          <w:titlePg w:val="0"/>
          <w:docGrid w:type="lines" w:linePitch="312"/>
        </w:sectPr>
      </w:pPr>
    </w:p>
    <w:p>
      <w:pPr>
        <w:adjustRightInd w:val="0"/>
        <w:snapToGrid w:val="0"/>
        <w:spacing w:line="360" w:lineRule="auto"/>
        <w:ind w:firstLine="546" w:firstLineChars="195"/>
        <w:rPr>
          <w:rFonts w:hint="eastAsia"/>
          <w:sz w:val="28"/>
          <w:szCs w:val="28"/>
        </w:rPr>
      </w:pPr>
      <w:r>
        <w:rPr>
          <w:rFonts w:hint="eastAsia"/>
          <w:sz w:val="28"/>
          <w:szCs w:val="28"/>
        </w:rPr>
        <w:t>（6）对于车间敷设的压缩空气管道，如管道质量达不到承压要求、压缩空气压力表显示故障、安全阀、压力表等安全保护装置失效等原因，均可能引发空压管道物理性爆炸。当受压容器发生爆炸时，冲击波会直接造成人员的伤亡和财产损失。</w:t>
      </w:r>
    </w:p>
    <w:p>
      <w:pPr>
        <w:adjustRightInd w:val="0"/>
        <w:snapToGrid w:val="0"/>
        <w:spacing w:line="360" w:lineRule="auto"/>
        <w:ind w:firstLine="546" w:firstLineChars="195"/>
        <w:rPr>
          <w:sz w:val="28"/>
          <w:szCs w:val="28"/>
        </w:rPr>
      </w:pPr>
      <w:r>
        <w:rPr>
          <w:rFonts w:hint="eastAsia"/>
          <w:sz w:val="28"/>
          <w:szCs w:val="28"/>
        </w:rPr>
        <w:t>（7）本项目的粉尘危害主要存在打磨区，打磨机打磨、砂纸打磨过程，如工位未设置有效的粉尘抽排装置、通风装置效果不良、作业人员未佩戴有效的个体防护用品等情况下，均可遭受粉尘危害。另外，如果存在可能形成爆炸的粉尘，如粉尘场所存在火星或点火源、除尘装置未进行防爆设计等，可能发生粉尘爆炸。</w:t>
      </w:r>
    </w:p>
    <w:p>
      <w:pPr>
        <w:pStyle w:val="Heading3"/>
        <w:adjustRightInd w:val="0"/>
        <w:snapToGrid w:val="0"/>
        <w:spacing w:before="0" w:beforeLines="0" w:after="0" w:afterLines="0" w:line="360" w:lineRule="auto"/>
        <w:rPr>
          <w:rFonts w:eastAsia="宋体"/>
          <w:szCs w:val="28"/>
        </w:rPr>
      </w:pPr>
      <w:bookmarkStart w:id="168" w:name="_Toc525723723"/>
      <w:bookmarkStart w:id="169" w:name="_Toc13170582"/>
      <w:r>
        <w:rPr>
          <w:rFonts w:eastAsia="宋体"/>
          <w:szCs w:val="28"/>
        </w:rPr>
        <w:t>3.3.2</w:t>
      </w:r>
      <w:bookmarkEnd w:id="168"/>
      <w:bookmarkEnd w:id="169"/>
      <w:r>
        <w:rPr>
          <w:rFonts w:eastAsia="宋体"/>
          <w:szCs w:val="28"/>
        </w:rPr>
        <w:t>触电</w:t>
      </w:r>
    </w:p>
    <w:p>
      <w:pPr>
        <w:adjustRightInd w:val="0"/>
        <w:snapToGrid w:val="0"/>
        <w:spacing w:line="360" w:lineRule="auto"/>
        <w:ind w:firstLine="546" w:firstLineChars="195"/>
        <w:rPr>
          <w:rFonts w:hint="eastAsia"/>
          <w:sz w:val="28"/>
          <w:szCs w:val="28"/>
        </w:rPr>
      </w:pPr>
      <w:r>
        <w:rPr>
          <w:rFonts w:hint="eastAsia"/>
          <w:sz w:val="28"/>
          <w:szCs w:val="28"/>
        </w:rPr>
        <w:t>触电事故是由电流及其转换成的其他形式的能量造成的事故，分为电击和电伤。电击是电流直接作用于人体造成的伤害，包括正常状态下的电击和故障状态下的电击以及雷击。电伤分为电弧灼伤、电流灼伤、皮肤金属化、电烙印、机械性损伤、电光眼等伤害。</w:t>
      </w:r>
    </w:p>
    <w:p>
      <w:pPr>
        <w:adjustRightInd w:val="0"/>
        <w:snapToGrid w:val="0"/>
        <w:spacing w:line="360" w:lineRule="auto"/>
        <w:ind w:firstLine="546" w:firstLineChars="195"/>
        <w:rPr>
          <w:rFonts w:hint="eastAsia"/>
          <w:sz w:val="28"/>
          <w:szCs w:val="28"/>
        </w:rPr>
      </w:pPr>
      <w:r>
        <w:rPr>
          <w:rFonts w:hint="eastAsia"/>
          <w:sz w:val="28"/>
          <w:szCs w:val="28"/>
        </w:rPr>
        <w:t>造成触电事故的主要原因包括：</w:t>
      </w:r>
    </w:p>
    <w:p>
      <w:pPr>
        <w:adjustRightInd w:val="0"/>
        <w:snapToGrid w:val="0"/>
        <w:spacing w:line="360" w:lineRule="auto"/>
        <w:ind w:firstLine="546" w:firstLineChars="195"/>
        <w:rPr>
          <w:rFonts w:hint="eastAsia"/>
          <w:sz w:val="28"/>
          <w:szCs w:val="28"/>
        </w:rPr>
      </w:pPr>
      <w:r>
        <w:rPr>
          <w:rFonts w:hint="eastAsia"/>
          <w:sz w:val="28"/>
          <w:szCs w:val="28"/>
        </w:rPr>
        <w:t>(1)供配电设备、设施在生产运行中，由于产品质量不佳、绝缘不好；现场环境恶劣(如高温、潮湿、腐蚀、振动等)、运行不当、机械损伤、维修不善等导致的绝缘老化或放电；</w:t>
      </w:r>
    </w:p>
    <w:p>
      <w:pPr>
        <w:adjustRightInd w:val="0"/>
        <w:snapToGrid w:val="0"/>
        <w:spacing w:line="360" w:lineRule="auto"/>
        <w:ind w:firstLine="546" w:firstLineChars="195"/>
        <w:rPr>
          <w:rFonts w:hint="eastAsia"/>
          <w:sz w:val="28"/>
          <w:szCs w:val="28"/>
        </w:rPr>
      </w:pPr>
      <w:r>
        <w:rPr>
          <w:rFonts w:hint="eastAsia"/>
          <w:sz w:val="28"/>
          <w:szCs w:val="28"/>
        </w:rPr>
        <w:t>(2)设计不合理、安装工艺不规范、各种电气设备安全距离不足；</w:t>
      </w:r>
    </w:p>
    <w:p>
      <w:pPr>
        <w:adjustRightInd w:val="0"/>
        <w:snapToGrid w:val="0"/>
        <w:spacing w:line="360" w:lineRule="auto"/>
        <w:ind w:firstLine="546" w:firstLineChars="195"/>
        <w:rPr>
          <w:rFonts w:hint="eastAsia"/>
          <w:sz w:val="28"/>
          <w:szCs w:val="28"/>
        </w:rPr>
      </w:pPr>
      <w:r>
        <w:rPr>
          <w:rFonts w:hint="eastAsia"/>
          <w:sz w:val="28"/>
          <w:szCs w:val="28"/>
        </w:rPr>
        <w:t>(3)电气设备与人体、大地或其他设备的安全距离不符合要求；</w:t>
      </w:r>
    </w:p>
    <w:p>
      <w:pPr>
        <w:adjustRightInd w:val="0"/>
        <w:snapToGrid w:val="0"/>
        <w:spacing w:line="360" w:lineRule="auto"/>
        <w:ind w:firstLine="546" w:firstLineChars="195"/>
        <w:rPr>
          <w:rFonts w:hint="eastAsia"/>
          <w:sz w:val="28"/>
          <w:szCs w:val="28"/>
        </w:rPr>
      </w:pPr>
      <w:r>
        <w:rPr>
          <w:rFonts w:hint="eastAsia"/>
          <w:sz w:val="28"/>
          <w:szCs w:val="28"/>
        </w:rPr>
        <w:t>(4)电气设备未采取保护措施(电机保护接零或保护接地)，电气设备漏电造成人员触电；</w:t>
      </w:r>
    </w:p>
    <w:p>
      <w:pPr>
        <w:adjustRightInd w:val="0"/>
        <w:snapToGrid w:val="0"/>
        <w:spacing w:line="360" w:lineRule="auto"/>
        <w:ind w:firstLine="546" w:firstLineChars="195"/>
        <w:rPr>
          <w:rFonts w:hint="eastAsia"/>
          <w:sz w:val="28"/>
          <w:szCs w:val="28"/>
        </w:rPr>
      </w:pPr>
      <w:r>
        <w:rPr>
          <w:rFonts w:hint="eastAsia"/>
          <w:sz w:val="28"/>
          <w:szCs w:val="28"/>
        </w:rPr>
        <w:t>(5)电气人员作业时未按照规定采取各种防护措施，违章作业；</w:t>
      </w:r>
    </w:p>
    <w:p>
      <w:pPr>
        <w:adjustRightInd w:val="0"/>
        <w:snapToGrid w:val="0"/>
        <w:spacing w:line="360" w:lineRule="auto"/>
        <w:ind w:firstLine="546" w:firstLineChars="195"/>
        <w:rPr>
          <w:rFonts w:hint="eastAsia"/>
          <w:sz w:val="28"/>
          <w:szCs w:val="28"/>
        </w:rPr>
      </w:pPr>
      <w:r>
        <w:rPr>
          <w:rFonts w:hint="eastAsia"/>
          <w:sz w:val="28"/>
          <w:szCs w:val="28"/>
        </w:rPr>
        <w:t>(6)电气设备的触电保护、漏电保护、短路保护、绝缘、电气隔离、屏护、安全距离不符合要求，而引起的人员触电；</w:t>
      </w:r>
    </w:p>
    <w:p>
      <w:pPr>
        <w:adjustRightInd w:val="0"/>
        <w:snapToGrid w:val="0"/>
        <w:spacing w:line="360" w:lineRule="auto"/>
        <w:ind w:firstLine="546" w:firstLineChars="195"/>
        <w:rPr>
          <w:rFonts w:hint="eastAsia"/>
          <w:sz w:val="28"/>
          <w:szCs w:val="28"/>
        </w:rPr>
        <w:sectPr>
          <w:headerReference w:type="default" r:id="rId78"/>
          <w:footerReference w:type="default" r:id="rId79"/>
          <w:type w:val="nextPage"/>
          <w:pgSz w:w="11906" w:h="16838"/>
          <w:pgMar w:top="1418" w:right="1418" w:bottom="1361" w:left="1474" w:header="993" w:footer="980" w:gutter="0"/>
          <w:pgNumType w:start="27"/>
          <w:cols w:space="708"/>
          <w:titlePg w:val="0"/>
          <w:docGrid w:type="lines" w:linePitch="312"/>
        </w:sectPr>
      </w:pPr>
      <w:r>
        <w:rPr>
          <w:rFonts w:hint="eastAsia"/>
          <w:sz w:val="28"/>
          <w:szCs w:val="28"/>
        </w:rPr>
        <w:t>(7)重要配电设施未设警示标识，造成人员误入而引起触电。电气检修未设警示标识，人员误操作而引起检修人员触电；</w:t>
      </w:r>
    </w:p>
    <w:p>
      <w:pPr>
        <w:adjustRightInd w:val="0"/>
        <w:snapToGrid w:val="0"/>
        <w:spacing w:line="360" w:lineRule="auto"/>
        <w:ind w:firstLine="546" w:firstLineChars="195"/>
        <w:rPr>
          <w:rFonts w:hint="eastAsia"/>
          <w:sz w:val="28"/>
          <w:szCs w:val="28"/>
        </w:rPr>
      </w:pPr>
      <w:r>
        <w:rPr>
          <w:rFonts w:hint="eastAsia"/>
          <w:sz w:val="28"/>
          <w:szCs w:val="28"/>
        </w:rPr>
        <w:t>(8)非电气专业人员私接乱扯电缆电线和违章作业造成触电。</w:t>
      </w:r>
    </w:p>
    <w:p>
      <w:pPr>
        <w:adjustRightInd w:val="0"/>
        <w:snapToGrid w:val="0"/>
        <w:spacing w:line="360" w:lineRule="auto"/>
        <w:ind w:firstLine="546" w:firstLineChars="195"/>
        <w:rPr>
          <w:sz w:val="28"/>
          <w:szCs w:val="28"/>
        </w:rPr>
      </w:pPr>
      <w:r>
        <w:rPr>
          <w:rFonts w:hint="eastAsia"/>
          <w:sz w:val="28"/>
          <w:szCs w:val="28"/>
        </w:rPr>
        <w:t>存在触电危险因素的主要场所为：使用电气设备的所有车间、岗位，电气设备电缆、电线、配电箱以及电工作业、电气检修等过程</w:t>
      </w:r>
      <w:r>
        <w:rPr>
          <w:sz w:val="28"/>
          <w:szCs w:val="28"/>
        </w:rPr>
        <w:t>。</w:t>
      </w:r>
    </w:p>
    <w:p>
      <w:pPr>
        <w:pStyle w:val="Heading3"/>
        <w:adjustRightInd w:val="0"/>
        <w:snapToGrid w:val="0"/>
        <w:spacing w:before="0" w:beforeLines="0" w:after="0" w:afterLines="0" w:line="360" w:lineRule="auto"/>
        <w:rPr>
          <w:rFonts w:eastAsia="宋体"/>
          <w:szCs w:val="28"/>
        </w:rPr>
      </w:pPr>
      <w:bookmarkStart w:id="170" w:name="_Toc525723724"/>
      <w:bookmarkStart w:id="171" w:name="_Toc13170583"/>
      <w:r>
        <w:rPr>
          <w:rFonts w:eastAsia="宋体"/>
          <w:szCs w:val="28"/>
        </w:rPr>
        <w:t>3.3.3</w:t>
      </w:r>
      <w:bookmarkEnd w:id="170"/>
      <w:bookmarkEnd w:id="171"/>
      <w:r>
        <w:rPr>
          <w:rFonts w:eastAsia="宋体"/>
          <w:szCs w:val="28"/>
        </w:rPr>
        <w:t>机械伤害</w:t>
      </w:r>
    </w:p>
    <w:p>
      <w:pPr>
        <w:adjustRightInd w:val="0"/>
        <w:snapToGrid w:val="0"/>
        <w:spacing w:line="360" w:lineRule="auto"/>
        <w:ind w:firstLine="546" w:firstLineChars="195"/>
        <w:rPr>
          <w:rFonts w:hint="eastAsia"/>
          <w:sz w:val="28"/>
          <w:szCs w:val="28"/>
        </w:rPr>
      </w:pPr>
      <w:r>
        <w:rPr>
          <w:rFonts w:hint="eastAsia"/>
          <w:sz w:val="28"/>
          <w:szCs w:val="28"/>
        </w:rPr>
        <w:t>机械伤害是指机械设备运动(静止)部件、工具、加工件直接与人体接触引起的夹击、碰撞、剪切、卷入、绞绕、甩出、切割、切断、刺扎等伤害。</w:t>
      </w:r>
    </w:p>
    <w:p>
      <w:pPr>
        <w:adjustRightInd w:val="0"/>
        <w:snapToGrid w:val="0"/>
        <w:spacing w:line="360" w:lineRule="auto"/>
        <w:ind w:firstLine="546" w:firstLineChars="195"/>
        <w:rPr>
          <w:rFonts w:hint="eastAsia"/>
          <w:sz w:val="28"/>
          <w:szCs w:val="28"/>
        </w:rPr>
      </w:pPr>
      <w:r>
        <w:rPr>
          <w:rFonts w:hint="eastAsia"/>
          <w:sz w:val="28"/>
          <w:szCs w:val="28"/>
        </w:rPr>
        <w:t>造成机械伤害的主要原因是：</w:t>
      </w:r>
    </w:p>
    <w:p>
      <w:pPr>
        <w:adjustRightInd w:val="0"/>
        <w:snapToGrid w:val="0"/>
        <w:spacing w:line="360" w:lineRule="auto"/>
        <w:ind w:firstLine="546" w:firstLineChars="195"/>
        <w:rPr>
          <w:rFonts w:hint="eastAsia"/>
          <w:sz w:val="28"/>
          <w:szCs w:val="28"/>
        </w:rPr>
      </w:pPr>
      <w:r>
        <w:rPr>
          <w:rFonts w:hint="eastAsia"/>
          <w:sz w:val="28"/>
          <w:szCs w:val="28"/>
        </w:rPr>
        <w:t>(1)机械设备老化、损坏，缺乏必要的维护保养；</w:t>
      </w:r>
    </w:p>
    <w:p>
      <w:pPr>
        <w:adjustRightInd w:val="0"/>
        <w:snapToGrid w:val="0"/>
        <w:spacing w:line="360" w:lineRule="auto"/>
        <w:ind w:firstLine="546" w:firstLineChars="195"/>
        <w:rPr>
          <w:rFonts w:hint="eastAsia"/>
          <w:sz w:val="28"/>
          <w:szCs w:val="28"/>
        </w:rPr>
      </w:pPr>
      <w:r>
        <w:rPr>
          <w:rFonts w:hint="eastAsia"/>
          <w:sz w:val="28"/>
          <w:szCs w:val="28"/>
        </w:rPr>
        <w:t>(2)机械设备转动、运动、传动部分缺少安全防护措施或防护措施存在重大缺陷；</w:t>
      </w:r>
    </w:p>
    <w:p>
      <w:pPr>
        <w:adjustRightInd w:val="0"/>
        <w:snapToGrid w:val="0"/>
        <w:spacing w:line="360" w:lineRule="auto"/>
        <w:ind w:firstLine="546" w:firstLineChars="195"/>
        <w:rPr>
          <w:rFonts w:hint="eastAsia"/>
          <w:sz w:val="28"/>
          <w:szCs w:val="28"/>
        </w:rPr>
      </w:pPr>
      <w:r>
        <w:rPr>
          <w:rFonts w:hint="eastAsia"/>
          <w:sz w:val="28"/>
          <w:szCs w:val="28"/>
        </w:rPr>
        <w:t>(3)操作人员违章作业或违犯劳动纪律；</w:t>
      </w:r>
    </w:p>
    <w:p>
      <w:pPr>
        <w:adjustRightInd w:val="0"/>
        <w:snapToGrid w:val="0"/>
        <w:spacing w:line="360" w:lineRule="auto"/>
        <w:ind w:firstLine="546" w:firstLineChars="195"/>
        <w:rPr>
          <w:rFonts w:hint="eastAsia"/>
          <w:sz w:val="28"/>
          <w:szCs w:val="28"/>
        </w:rPr>
      </w:pPr>
      <w:r>
        <w:rPr>
          <w:rFonts w:hint="eastAsia"/>
          <w:sz w:val="28"/>
          <w:szCs w:val="28"/>
        </w:rPr>
        <w:t>(4)机械设备检修时误操作、误合闸造成人员伤害；</w:t>
      </w:r>
    </w:p>
    <w:p>
      <w:pPr>
        <w:adjustRightInd w:val="0"/>
        <w:snapToGrid w:val="0"/>
        <w:spacing w:line="360" w:lineRule="auto"/>
        <w:ind w:firstLine="546" w:firstLineChars="195"/>
        <w:rPr>
          <w:rFonts w:hint="eastAsia"/>
          <w:sz w:val="28"/>
          <w:szCs w:val="28"/>
        </w:rPr>
      </w:pPr>
      <w:r>
        <w:rPr>
          <w:rFonts w:hint="eastAsia"/>
          <w:sz w:val="28"/>
          <w:szCs w:val="28"/>
        </w:rPr>
        <w:t>(5)操作人员精神不集中；</w:t>
      </w:r>
    </w:p>
    <w:p>
      <w:pPr>
        <w:adjustRightInd w:val="0"/>
        <w:snapToGrid w:val="0"/>
        <w:spacing w:line="360" w:lineRule="auto"/>
        <w:ind w:firstLine="546" w:firstLineChars="195"/>
        <w:rPr>
          <w:rFonts w:hint="eastAsia"/>
          <w:sz w:val="28"/>
          <w:szCs w:val="28"/>
        </w:rPr>
      </w:pPr>
      <w:r>
        <w:rPr>
          <w:rFonts w:hint="eastAsia"/>
          <w:sz w:val="28"/>
          <w:szCs w:val="28"/>
        </w:rPr>
        <w:t>(6)机械设备安全防护距离不能满足要求；</w:t>
      </w:r>
    </w:p>
    <w:p>
      <w:pPr>
        <w:adjustRightInd w:val="0"/>
        <w:snapToGrid w:val="0"/>
        <w:spacing w:line="360" w:lineRule="auto"/>
        <w:ind w:firstLine="546" w:firstLineChars="195"/>
        <w:rPr>
          <w:rFonts w:hint="eastAsia"/>
          <w:sz w:val="28"/>
          <w:szCs w:val="28"/>
        </w:rPr>
      </w:pPr>
      <w:r>
        <w:rPr>
          <w:rFonts w:hint="eastAsia"/>
          <w:sz w:val="28"/>
          <w:szCs w:val="28"/>
        </w:rPr>
        <w:t>(7)产品质量制造缺陷。</w:t>
      </w:r>
    </w:p>
    <w:p>
      <w:pPr>
        <w:adjustRightInd w:val="0"/>
        <w:snapToGrid w:val="0"/>
        <w:spacing w:line="360" w:lineRule="auto"/>
        <w:ind w:firstLine="546" w:firstLineChars="195"/>
        <w:rPr>
          <w:sz w:val="28"/>
          <w:szCs w:val="28"/>
        </w:rPr>
      </w:pPr>
      <w:r>
        <w:rPr>
          <w:rFonts w:hint="eastAsia"/>
          <w:sz w:val="28"/>
          <w:szCs w:val="28"/>
        </w:rPr>
        <w:t>机械伤害主要存在位置为电机、切片机等场所。</w:t>
      </w:r>
    </w:p>
    <w:p>
      <w:pPr>
        <w:pStyle w:val="Heading3"/>
        <w:adjustRightInd w:val="0"/>
        <w:snapToGrid w:val="0"/>
        <w:spacing w:before="0" w:beforeLines="0" w:after="0" w:afterLines="0" w:line="360" w:lineRule="auto"/>
        <w:rPr>
          <w:rFonts w:eastAsia="宋体"/>
          <w:szCs w:val="28"/>
        </w:rPr>
      </w:pPr>
      <w:bookmarkStart w:id="172" w:name="_Toc13170584"/>
      <w:bookmarkStart w:id="173" w:name="_Toc525723725"/>
      <w:r>
        <w:rPr>
          <w:rFonts w:eastAsia="宋体"/>
          <w:szCs w:val="28"/>
        </w:rPr>
        <w:t>3.3.4</w:t>
      </w:r>
      <w:bookmarkEnd w:id="172"/>
      <w:bookmarkEnd w:id="173"/>
      <w:r>
        <w:rPr>
          <w:rFonts w:eastAsia="宋体"/>
          <w:szCs w:val="28"/>
        </w:rPr>
        <w:t>物体打击</w:t>
      </w:r>
    </w:p>
    <w:p>
      <w:pPr>
        <w:adjustRightInd w:val="0"/>
        <w:snapToGrid w:val="0"/>
        <w:spacing w:line="360" w:lineRule="auto"/>
        <w:ind w:firstLine="546" w:firstLineChars="195"/>
        <w:rPr>
          <w:rFonts w:hint="eastAsia"/>
          <w:sz w:val="28"/>
          <w:szCs w:val="28"/>
        </w:rPr>
      </w:pPr>
      <w:r>
        <w:rPr>
          <w:rFonts w:hint="eastAsia"/>
          <w:sz w:val="28"/>
          <w:szCs w:val="28"/>
        </w:rPr>
        <w:t>物体打击是指物体在重力或其他外力的作用下产生运动，打击人体而造成人身伤亡事故。不包括主体机械设备、车辆、起重机械、坍塌等引发的物体打击。</w:t>
      </w:r>
    </w:p>
    <w:p>
      <w:pPr>
        <w:adjustRightInd w:val="0"/>
        <w:snapToGrid w:val="0"/>
        <w:spacing w:line="360" w:lineRule="auto"/>
        <w:ind w:firstLine="546" w:firstLineChars="195"/>
        <w:rPr>
          <w:rFonts w:hint="eastAsia"/>
          <w:sz w:val="28"/>
          <w:szCs w:val="28"/>
        </w:rPr>
      </w:pPr>
      <w:r>
        <w:rPr>
          <w:rFonts w:hint="eastAsia"/>
          <w:sz w:val="28"/>
          <w:szCs w:val="28"/>
        </w:rPr>
        <w:t>造成物体打击事故的主要原因有：</w:t>
      </w:r>
    </w:p>
    <w:p>
      <w:pPr>
        <w:adjustRightInd w:val="0"/>
        <w:snapToGrid w:val="0"/>
        <w:spacing w:line="360" w:lineRule="auto"/>
        <w:ind w:firstLine="546" w:firstLineChars="195"/>
        <w:rPr>
          <w:rFonts w:hint="eastAsia"/>
          <w:sz w:val="28"/>
          <w:szCs w:val="28"/>
        </w:rPr>
      </w:pPr>
      <w:r>
        <w:rPr>
          <w:rFonts w:hint="eastAsia"/>
          <w:sz w:val="28"/>
          <w:szCs w:val="28"/>
        </w:rPr>
        <w:t>(1)在设备运行或检修过程中，工作人员没有按操作规程操作或误操作；</w:t>
      </w:r>
    </w:p>
    <w:p>
      <w:pPr>
        <w:adjustRightInd w:val="0"/>
        <w:snapToGrid w:val="0"/>
        <w:spacing w:line="360" w:lineRule="auto"/>
        <w:ind w:firstLine="546" w:firstLineChars="195"/>
        <w:rPr>
          <w:rFonts w:hint="eastAsia"/>
          <w:sz w:val="28"/>
          <w:szCs w:val="28"/>
        </w:rPr>
      </w:pPr>
      <w:r>
        <w:rPr>
          <w:rFonts w:hint="eastAsia"/>
          <w:sz w:val="28"/>
          <w:szCs w:val="28"/>
        </w:rPr>
        <w:t>(2)在设备运行或检修中，工具使用不当；</w:t>
      </w:r>
    </w:p>
    <w:p>
      <w:pPr>
        <w:adjustRightInd w:val="0"/>
        <w:snapToGrid w:val="0"/>
        <w:spacing w:line="360" w:lineRule="auto"/>
        <w:ind w:firstLine="546" w:firstLineChars="195"/>
        <w:rPr>
          <w:rFonts w:hint="eastAsia"/>
          <w:sz w:val="28"/>
          <w:szCs w:val="28"/>
        </w:rPr>
      </w:pPr>
      <w:r>
        <w:rPr>
          <w:rFonts w:hint="eastAsia"/>
          <w:sz w:val="28"/>
          <w:szCs w:val="28"/>
        </w:rPr>
        <w:t>(3)设备安装不合格，零部件该固定的没用固定或固定不牢固，导致零件脱落；</w:t>
      </w:r>
    </w:p>
    <w:p>
      <w:pPr>
        <w:adjustRightInd w:val="0"/>
        <w:snapToGrid w:val="0"/>
        <w:spacing w:line="360" w:lineRule="auto"/>
        <w:ind w:firstLine="546" w:firstLineChars="195"/>
        <w:rPr>
          <w:rFonts w:hint="eastAsia"/>
          <w:sz w:val="28"/>
          <w:szCs w:val="28"/>
        </w:rPr>
        <w:sectPr>
          <w:headerReference w:type="default" r:id="rId80"/>
          <w:footerReference w:type="default" r:id="rId81"/>
          <w:type w:val="nextPage"/>
          <w:pgSz w:w="11906" w:h="16838"/>
          <w:pgMar w:top="1418" w:right="1418" w:bottom="1361" w:left="1474" w:header="993" w:footer="980" w:gutter="0"/>
          <w:pgNumType w:start="28"/>
          <w:cols w:space="708"/>
          <w:titlePg w:val="0"/>
          <w:docGrid w:type="lines" w:linePitch="312"/>
        </w:sectPr>
      </w:pPr>
      <w:r>
        <w:rPr>
          <w:rFonts w:hint="eastAsia"/>
          <w:sz w:val="28"/>
          <w:szCs w:val="28"/>
        </w:rPr>
        <w:t>(4)机械设备没有安全保护措施；</w:t>
      </w:r>
    </w:p>
    <w:p>
      <w:pPr>
        <w:adjustRightInd w:val="0"/>
        <w:snapToGrid w:val="0"/>
        <w:spacing w:line="360" w:lineRule="auto"/>
        <w:ind w:firstLine="546" w:firstLineChars="195"/>
        <w:rPr>
          <w:rFonts w:hint="eastAsia"/>
          <w:sz w:val="28"/>
          <w:szCs w:val="28"/>
        </w:rPr>
      </w:pPr>
      <w:r>
        <w:rPr>
          <w:rFonts w:hint="eastAsia"/>
          <w:sz w:val="28"/>
          <w:szCs w:val="28"/>
        </w:rPr>
        <w:t>(5)事故处理不当；</w:t>
      </w:r>
    </w:p>
    <w:p>
      <w:pPr>
        <w:adjustRightInd w:val="0"/>
        <w:snapToGrid w:val="0"/>
        <w:spacing w:line="360" w:lineRule="auto"/>
        <w:ind w:firstLine="546" w:firstLineChars="195"/>
        <w:rPr>
          <w:rFonts w:hint="eastAsia"/>
          <w:sz w:val="28"/>
          <w:szCs w:val="28"/>
        </w:rPr>
      </w:pPr>
      <w:r>
        <w:rPr>
          <w:rFonts w:hint="eastAsia"/>
          <w:sz w:val="28"/>
          <w:szCs w:val="28"/>
        </w:rPr>
        <w:t>(6)库房违章存放物品，放置位置不当、超高等。</w:t>
      </w:r>
    </w:p>
    <w:p>
      <w:pPr>
        <w:adjustRightInd w:val="0"/>
        <w:snapToGrid w:val="0"/>
        <w:spacing w:line="360" w:lineRule="auto"/>
        <w:ind w:firstLine="546" w:firstLineChars="195"/>
        <w:rPr>
          <w:sz w:val="28"/>
          <w:szCs w:val="28"/>
        </w:rPr>
      </w:pPr>
      <w:r>
        <w:rPr>
          <w:rFonts w:hint="eastAsia"/>
          <w:sz w:val="28"/>
          <w:szCs w:val="28"/>
        </w:rPr>
        <w:t>存在物体打击的主要场所为：车间生产过程、设备检修过程、物品装卸以及运输过程。</w:t>
      </w:r>
    </w:p>
    <w:p>
      <w:pPr>
        <w:pStyle w:val="Heading3"/>
        <w:adjustRightInd w:val="0"/>
        <w:snapToGrid w:val="0"/>
        <w:spacing w:before="0" w:beforeLines="0" w:after="0" w:afterLines="0" w:line="360" w:lineRule="auto"/>
        <w:rPr>
          <w:rFonts w:eastAsia="宋体"/>
          <w:szCs w:val="28"/>
        </w:rPr>
      </w:pPr>
      <w:bookmarkStart w:id="174" w:name="_Toc13170585"/>
      <w:bookmarkStart w:id="175" w:name="_Toc525723726"/>
      <w:r>
        <w:rPr>
          <w:rFonts w:eastAsia="宋体"/>
          <w:szCs w:val="28"/>
        </w:rPr>
        <w:t>3.3.5</w:t>
      </w:r>
      <w:bookmarkEnd w:id="174"/>
      <w:bookmarkEnd w:id="175"/>
      <w:r>
        <w:rPr>
          <w:rFonts w:eastAsia="宋体"/>
          <w:szCs w:val="28"/>
        </w:rPr>
        <w:t>起重伤害</w:t>
      </w:r>
    </w:p>
    <w:p>
      <w:pPr>
        <w:adjustRightInd w:val="0"/>
        <w:snapToGrid w:val="0"/>
        <w:spacing w:line="360" w:lineRule="auto"/>
        <w:ind w:firstLine="546" w:firstLineChars="195"/>
        <w:rPr>
          <w:rFonts w:hint="eastAsia"/>
          <w:sz w:val="28"/>
          <w:szCs w:val="28"/>
        </w:rPr>
      </w:pPr>
      <w:r>
        <w:rPr>
          <w:rFonts w:hint="eastAsia"/>
          <w:sz w:val="28"/>
          <w:szCs w:val="28"/>
        </w:rPr>
        <w:t>起重伤害事故是指在日常起重作业中，脱钩砸人，钢丝绳断裂抽人，移动吊物撞人，坠落事故，该项目使用电动葫芦。</w:t>
      </w:r>
    </w:p>
    <w:p>
      <w:pPr>
        <w:adjustRightInd w:val="0"/>
        <w:snapToGrid w:val="0"/>
        <w:spacing w:line="360" w:lineRule="auto"/>
        <w:ind w:firstLine="546" w:firstLineChars="195"/>
        <w:rPr>
          <w:rFonts w:hint="eastAsia"/>
          <w:sz w:val="28"/>
          <w:szCs w:val="28"/>
        </w:rPr>
      </w:pPr>
      <w:r>
        <w:rPr>
          <w:rFonts w:hint="eastAsia"/>
          <w:sz w:val="28"/>
          <w:szCs w:val="28"/>
        </w:rPr>
        <w:t>起重机在吊装作业过程中，如果操作人员误启动或机械故障可能造成吊物挤撞打击伤害，以及吊钩吊物意外坠落造成伤害等，运行失控、起重过载都可能造成起重机翻车等事故。综观起重伤害死亡和重伤事故的主要原因，大部分是由于违反安全操作规程和劳动纪律所造成，几乎占起重伤害伤亡事故的65％左右。</w:t>
      </w:r>
    </w:p>
    <w:p>
      <w:pPr>
        <w:adjustRightInd w:val="0"/>
        <w:snapToGrid w:val="0"/>
        <w:spacing w:line="360" w:lineRule="auto"/>
        <w:ind w:firstLine="546" w:firstLineChars="195"/>
        <w:rPr>
          <w:rFonts w:hint="eastAsia"/>
          <w:sz w:val="28"/>
          <w:szCs w:val="28"/>
        </w:rPr>
      </w:pPr>
      <w:r>
        <w:rPr>
          <w:rFonts w:hint="eastAsia"/>
          <w:sz w:val="28"/>
          <w:szCs w:val="28"/>
        </w:rPr>
        <w:t>(1)操作因素</w:t>
      </w:r>
    </w:p>
    <w:p>
      <w:pPr>
        <w:adjustRightInd w:val="0"/>
        <w:snapToGrid w:val="0"/>
        <w:spacing w:line="360" w:lineRule="auto"/>
        <w:ind w:firstLine="546" w:firstLineChars="195"/>
        <w:rPr>
          <w:rFonts w:hint="eastAsia"/>
          <w:sz w:val="28"/>
          <w:szCs w:val="28"/>
        </w:rPr>
      </w:pPr>
      <w:r>
        <w:rPr>
          <w:rFonts w:hint="eastAsia"/>
          <w:sz w:val="28"/>
          <w:szCs w:val="28"/>
        </w:rPr>
        <w:t>1)起吊方式不当(如违章斜吊、违章急停等)，造成脱钩或起重物摆动伤人。</w:t>
      </w:r>
    </w:p>
    <w:p>
      <w:pPr>
        <w:adjustRightInd w:val="0"/>
        <w:snapToGrid w:val="0"/>
        <w:spacing w:line="360" w:lineRule="auto"/>
        <w:ind w:firstLine="546" w:firstLineChars="195"/>
        <w:rPr>
          <w:rFonts w:hint="eastAsia"/>
          <w:sz w:val="28"/>
          <w:szCs w:val="28"/>
        </w:rPr>
      </w:pPr>
      <w:r>
        <w:rPr>
          <w:rFonts w:hint="eastAsia"/>
          <w:sz w:val="28"/>
          <w:szCs w:val="28"/>
        </w:rPr>
        <w:t>2)违反操作规程，如超载起重，或人处于危险区工作等。</w:t>
      </w:r>
    </w:p>
    <w:p>
      <w:pPr>
        <w:adjustRightInd w:val="0"/>
        <w:snapToGrid w:val="0"/>
        <w:spacing w:line="360" w:lineRule="auto"/>
        <w:ind w:firstLine="546" w:firstLineChars="195"/>
        <w:rPr>
          <w:rFonts w:hint="eastAsia"/>
          <w:sz w:val="28"/>
          <w:szCs w:val="28"/>
        </w:rPr>
      </w:pPr>
      <w:r>
        <w:rPr>
          <w:rFonts w:hint="eastAsia"/>
          <w:sz w:val="28"/>
          <w:szCs w:val="28"/>
        </w:rPr>
        <w:t>3)操作人员未经正规培训，无证上岗。</w:t>
      </w:r>
    </w:p>
    <w:p>
      <w:pPr>
        <w:adjustRightInd w:val="0"/>
        <w:snapToGrid w:val="0"/>
        <w:spacing w:line="360" w:lineRule="auto"/>
        <w:ind w:firstLine="546" w:firstLineChars="195"/>
        <w:rPr>
          <w:rFonts w:hint="eastAsia"/>
          <w:sz w:val="28"/>
          <w:szCs w:val="28"/>
        </w:rPr>
      </w:pPr>
      <w:r>
        <w:rPr>
          <w:rFonts w:hint="eastAsia"/>
          <w:sz w:val="28"/>
          <w:szCs w:val="28"/>
        </w:rPr>
        <w:t>4)指挥不当，动作不协调等。</w:t>
      </w:r>
    </w:p>
    <w:p>
      <w:pPr>
        <w:adjustRightInd w:val="0"/>
        <w:snapToGrid w:val="0"/>
        <w:spacing w:line="360" w:lineRule="auto"/>
        <w:ind w:firstLine="546" w:firstLineChars="195"/>
        <w:rPr>
          <w:rFonts w:hint="eastAsia"/>
          <w:sz w:val="28"/>
          <w:szCs w:val="28"/>
        </w:rPr>
      </w:pPr>
      <w:r>
        <w:rPr>
          <w:rFonts w:hint="eastAsia"/>
          <w:sz w:val="28"/>
          <w:szCs w:val="28"/>
        </w:rPr>
        <w:t>5)检修起重机械，不按规定悬挂</w:t>
      </w:r>
      <w:r>
        <w:rPr>
          <w:rFonts w:hint="eastAsia"/>
          <w:sz w:val="28"/>
          <w:szCs w:val="28"/>
        </w:rPr>
        <w:t>“</w:t>
      </w:r>
      <w:r>
        <w:rPr>
          <w:rFonts w:hint="eastAsia"/>
          <w:sz w:val="28"/>
          <w:szCs w:val="28"/>
        </w:rPr>
        <w:t>断电作业</w:t>
      </w:r>
      <w:r>
        <w:rPr>
          <w:rFonts w:hint="eastAsia"/>
          <w:sz w:val="28"/>
          <w:szCs w:val="28"/>
        </w:rPr>
        <w:t>”</w:t>
      </w:r>
      <w:r>
        <w:rPr>
          <w:rFonts w:hint="eastAsia"/>
          <w:sz w:val="28"/>
          <w:szCs w:val="28"/>
        </w:rPr>
        <w:t>等安全标示，没有和现场人员沟通等。</w:t>
      </w:r>
    </w:p>
    <w:p>
      <w:pPr>
        <w:adjustRightInd w:val="0"/>
        <w:snapToGrid w:val="0"/>
        <w:spacing w:line="360" w:lineRule="auto"/>
        <w:ind w:firstLine="546" w:firstLineChars="195"/>
        <w:rPr>
          <w:rFonts w:hint="eastAsia"/>
          <w:sz w:val="28"/>
          <w:szCs w:val="28"/>
        </w:rPr>
      </w:pPr>
      <w:r>
        <w:rPr>
          <w:rFonts w:hint="eastAsia"/>
          <w:sz w:val="28"/>
          <w:szCs w:val="28"/>
        </w:rPr>
        <w:t>(2)设备因素</w:t>
      </w:r>
    </w:p>
    <w:p>
      <w:pPr>
        <w:adjustRightInd w:val="0"/>
        <w:snapToGrid w:val="0"/>
        <w:spacing w:line="360" w:lineRule="auto"/>
        <w:ind w:firstLine="546" w:firstLineChars="195"/>
        <w:rPr>
          <w:rFonts w:hint="eastAsia"/>
          <w:sz w:val="28"/>
          <w:szCs w:val="28"/>
        </w:rPr>
      </w:pPr>
      <w:r>
        <w:rPr>
          <w:rFonts w:hint="eastAsia"/>
          <w:sz w:val="28"/>
          <w:szCs w:val="28"/>
        </w:rPr>
        <w:t>1)设备存在事故隐患如安装存在问题、未经定期检测等。</w:t>
      </w:r>
    </w:p>
    <w:p>
      <w:pPr>
        <w:adjustRightInd w:val="0"/>
        <w:snapToGrid w:val="0"/>
        <w:spacing w:line="360" w:lineRule="auto"/>
        <w:ind w:firstLine="546" w:firstLineChars="195"/>
        <w:rPr>
          <w:rFonts w:hint="eastAsia"/>
          <w:sz w:val="28"/>
          <w:szCs w:val="28"/>
        </w:rPr>
      </w:pPr>
      <w:r>
        <w:rPr>
          <w:rFonts w:hint="eastAsia"/>
          <w:sz w:val="28"/>
          <w:szCs w:val="28"/>
        </w:rPr>
        <w:t>2)吊具失效或损坏，如吊钩、钢丝绳、专用吊具等损坏而造成重物坠落。</w:t>
      </w:r>
    </w:p>
    <w:p>
      <w:pPr>
        <w:adjustRightInd w:val="0"/>
        <w:snapToGrid w:val="0"/>
        <w:spacing w:line="360" w:lineRule="auto"/>
        <w:ind w:firstLine="546" w:firstLineChars="195"/>
        <w:rPr>
          <w:rFonts w:hint="eastAsia"/>
          <w:sz w:val="28"/>
          <w:szCs w:val="28"/>
        </w:rPr>
        <w:sectPr>
          <w:headerReference w:type="default" r:id="rId82"/>
          <w:footerReference w:type="default" r:id="rId83"/>
          <w:type w:val="nextPage"/>
          <w:pgSz w:w="11906" w:h="16838"/>
          <w:pgMar w:top="1418" w:right="1418" w:bottom="1361" w:left="1474" w:header="993" w:footer="980" w:gutter="0"/>
          <w:pgNumType w:start="29"/>
          <w:cols w:space="708"/>
          <w:titlePg w:val="0"/>
          <w:docGrid w:type="lines" w:linePitch="312"/>
        </w:sectPr>
      </w:pPr>
      <w:r>
        <w:rPr>
          <w:rFonts w:hint="eastAsia"/>
          <w:sz w:val="28"/>
          <w:szCs w:val="28"/>
        </w:rPr>
        <w:t>3)起重设备的操纵系统失灵或安全装置失效(如限位装置不完善)而引发事故，如制动装置失灵而造成重物的冲击和夹挤。</w:t>
      </w:r>
    </w:p>
    <w:p>
      <w:pPr>
        <w:adjustRightInd w:val="0"/>
        <w:snapToGrid w:val="0"/>
        <w:spacing w:line="360" w:lineRule="auto"/>
        <w:ind w:firstLine="546" w:firstLineChars="195"/>
        <w:rPr>
          <w:rFonts w:hint="eastAsia"/>
          <w:sz w:val="28"/>
          <w:szCs w:val="28"/>
        </w:rPr>
      </w:pPr>
      <w:r>
        <w:rPr>
          <w:rFonts w:hint="eastAsia"/>
          <w:sz w:val="28"/>
          <w:szCs w:val="28"/>
        </w:rPr>
        <w:t>4)构件强度不够。</w:t>
      </w:r>
    </w:p>
    <w:p>
      <w:pPr>
        <w:adjustRightInd w:val="0"/>
        <w:snapToGrid w:val="0"/>
        <w:spacing w:line="360" w:lineRule="auto"/>
        <w:ind w:firstLine="546" w:firstLineChars="195"/>
        <w:rPr>
          <w:rFonts w:hint="eastAsia"/>
          <w:sz w:val="28"/>
          <w:szCs w:val="28"/>
        </w:rPr>
      </w:pPr>
      <w:r>
        <w:rPr>
          <w:rFonts w:hint="eastAsia"/>
          <w:sz w:val="28"/>
          <w:szCs w:val="28"/>
        </w:rPr>
        <w:t>5)电气装置故障或损坏而造成触电事故。</w:t>
      </w:r>
    </w:p>
    <w:p>
      <w:pPr>
        <w:adjustRightInd w:val="0"/>
        <w:snapToGrid w:val="0"/>
        <w:spacing w:line="360" w:lineRule="auto"/>
        <w:ind w:firstLine="546" w:firstLineChars="195"/>
        <w:rPr>
          <w:rFonts w:hint="eastAsia"/>
          <w:sz w:val="28"/>
          <w:szCs w:val="28"/>
        </w:rPr>
      </w:pPr>
      <w:r>
        <w:rPr>
          <w:rFonts w:hint="eastAsia"/>
          <w:sz w:val="28"/>
          <w:szCs w:val="28"/>
        </w:rPr>
        <w:t>6)起重机出轨事故，其原因多数为啃轨现象造成紧固件松动所致。</w:t>
      </w:r>
    </w:p>
    <w:p>
      <w:pPr>
        <w:adjustRightInd w:val="0"/>
        <w:snapToGrid w:val="0"/>
        <w:spacing w:line="360" w:lineRule="auto"/>
        <w:ind w:firstLine="546" w:firstLineChars="195"/>
        <w:rPr>
          <w:rFonts w:hint="eastAsia"/>
          <w:sz w:val="28"/>
          <w:szCs w:val="28"/>
        </w:rPr>
      </w:pPr>
      <w:r>
        <w:rPr>
          <w:rFonts w:hint="eastAsia"/>
          <w:sz w:val="28"/>
          <w:szCs w:val="28"/>
        </w:rPr>
        <w:t>7)生产单位不具备特种设备生产资质。</w:t>
      </w:r>
    </w:p>
    <w:p>
      <w:pPr>
        <w:adjustRightInd w:val="0"/>
        <w:snapToGrid w:val="0"/>
        <w:spacing w:line="360" w:lineRule="auto"/>
        <w:ind w:firstLine="546" w:firstLineChars="195"/>
        <w:rPr>
          <w:rFonts w:hint="eastAsia"/>
          <w:sz w:val="28"/>
          <w:szCs w:val="28"/>
        </w:rPr>
      </w:pPr>
      <w:r>
        <w:rPr>
          <w:rFonts w:hint="eastAsia"/>
          <w:sz w:val="28"/>
          <w:szCs w:val="28"/>
        </w:rPr>
        <w:t>本项目生产设备过程中，要用到起重机，可能因为以上操作原因和设备原因，造成起重伤害。</w:t>
      </w:r>
    </w:p>
    <w:p>
      <w:pPr>
        <w:adjustRightInd w:val="0"/>
        <w:snapToGrid w:val="0"/>
        <w:spacing w:line="360" w:lineRule="auto"/>
        <w:ind w:firstLine="546" w:firstLineChars="195"/>
        <w:rPr>
          <w:sz w:val="28"/>
          <w:szCs w:val="28"/>
        </w:rPr>
      </w:pPr>
      <w:r>
        <w:rPr>
          <w:rFonts w:hint="eastAsia"/>
          <w:sz w:val="28"/>
          <w:szCs w:val="28"/>
        </w:rPr>
        <w:t>存在起重伤害危险因素的主要场所为：生产车间。</w:t>
      </w:r>
    </w:p>
    <w:p>
      <w:pPr>
        <w:pStyle w:val="Heading3"/>
        <w:adjustRightInd w:val="0"/>
        <w:snapToGrid w:val="0"/>
        <w:spacing w:before="0" w:beforeLines="0" w:after="0" w:afterLines="0" w:line="360" w:lineRule="auto"/>
        <w:rPr>
          <w:rFonts w:eastAsia="宋体"/>
          <w:szCs w:val="28"/>
        </w:rPr>
      </w:pPr>
      <w:bookmarkStart w:id="176" w:name="_Toc13170586"/>
      <w:bookmarkStart w:id="177" w:name="_Toc525723728"/>
      <w:r>
        <w:rPr>
          <w:rFonts w:eastAsia="宋体"/>
          <w:szCs w:val="28"/>
        </w:rPr>
        <w:t>3.3.6</w:t>
      </w:r>
      <w:bookmarkEnd w:id="177"/>
      <w:bookmarkEnd w:id="176"/>
      <w:r>
        <w:rPr>
          <w:rFonts w:eastAsia="宋体"/>
          <w:szCs w:val="28"/>
        </w:rPr>
        <w:t>坍塌</w:t>
      </w:r>
    </w:p>
    <w:p>
      <w:pPr>
        <w:adjustRightInd w:val="0"/>
        <w:snapToGrid w:val="0"/>
        <w:spacing w:line="360" w:lineRule="auto"/>
        <w:ind w:firstLine="546" w:firstLineChars="195"/>
        <w:rPr>
          <w:sz w:val="28"/>
          <w:szCs w:val="28"/>
        </w:rPr>
      </w:pPr>
      <w:r>
        <w:rPr>
          <w:rFonts w:hint="eastAsia"/>
          <w:sz w:val="28"/>
          <w:szCs w:val="28"/>
        </w:rPr>
        <w:t>该公司产品码放操作、码放高度超高、若现场堆积不当造成加坍塌，车辆撞击坍塌；设备安装的地基不良导致坍塌；厂房地基处理不当或偷工减料、设计缺陷、遇到极端气候等可能导致坍塌。</w:t>
      </w:r>
    </w:p>
    <w:p>
      <w:pPr>
        <w:pStyle w:val="Heading3"/>
        <w:adjustRightInd w:val="0"/>
        <w:snapToGrid w:val="0"/>
        <w:spacing w:before="0" w:beforeLines="0" w:after="0" w:afterLines="0" w:line="360" w:lineRule="auto"/>
        <w:rPr>
          <w:rFonts w:eastAsia="宋体"/>
          <w:szCs w:val="28"/>
        </w:rPr>
      </w:pPr>
      <w:bookmarkStart w:id="178" w:name="_Toc13170587"/>
      <w:r>
        <w:rPr>
          <w:rFonts w:eastAsia="宋体"/>
          <w:szCs w:val="28"/>
        </w:rPr>
        <w:t>3.3.7</w:t>
      </w:r>
      <w:bookmarkEnd w:id="178"/>
      <w:r>
        <w:rPr>
          <w:rFonts w:eastAsia="宋体"/>
          <w:szCs w:val="28"/>
        </w:rPr>
        <w:t>车辆伤害</w:t>
      </w:r>
    </w:p>
    <w:p>
      <w:pPr>
        <w:adjustRightInd w:val="0"/>
        <w:snapToGrid w:val="0"/>
        <w:spacing w:line="360" w:lineRule="auto"/>
        <w:ind w:firstLine="546" w:firstLineChars="195"/>
        <w:rPr>
          <w:rFonts w:hint="eastAsia"/>
          <w:sz w:val="28"/>
          <w:szCs w:val="28"/>
        </w:rPr>
      </w:pPr>
      <w:r>
        <w:rPr>
          <w:rFonts w:hint="eastAsia"/>
          <w:sz w:val="28"/>
          <w:szCs w:val="28"/>
        </w:rPr>
        <w:t>车辆伤害是指车辆在行驶中引起的人体坠落和物体倒塌、下落、挤压、撞伤人、物，不包括起重提升、牵引车辆和车辆停驶时发生的事故。</w:t>
      </w:r>
    </w:p>
    <w:p>
      <w:pPr>
        <w:adjustRightInd w:val="0"/>
        <w:snapToGrid w:val="0"/>
        <w:spacing w:line="360" w:lineRule="auto"/>
        <w:ind w:firstLine="546" w:firstLineChars="195"/>
        <w:rPr>
          <w:rFonts w:hint="eastAsia"/>
          <w:sz w:val="28"/>
          <w:szCs w:val="28"/>
        </w:rPr>
      </w:pPr>
      <w:r>
        <w:rPr>
          <w:rFonts w:hint="eastAsia"/>
          <w:sz w:val="28"/>
          <w:szCs w:val="28"/>
        </w:rPr>
        <w:t>造成车辆伤害事故的主要原因有：</w:t>
      </w:r>
    </w:p>
    <w:p>
      <w:pPr>
        <w:adjustRightInd w:val="0"/>
        <w:snapToGrid w:val="0"/>
        <w:spacing w:line="360" w:lineRule="auto"/>
        <w:ind w:firstLine="546" w:firstLineChars="195"/>
        <w:rPr>
          <w:rFonts w:hint="eastAsia"/>
          <w:sz w:val="28"/>
          <w:szCs w:val="28"/>
        </w:rPr>
      </w:pPr>
      <w:r>
        <w:rPr>
          <w:rFonts w:hint="eastAsia"/>
          <w:sz w:val="28"/>
          <w:szCs w:val="28"/>
        </w:rPr>
        <w:t>(1)运行中车辆存在机械故障或维护检修不到位；</w:t>
      </w:r>
    </w:p>
    <w:p>
      <w:pPr>
        <w:adjustRightInd w:val="0"/>
        <w:snapToGrid w:val="0"/>
        <w:spacing w:line="360" w:lineRule="auto"/>
        <w:ind w:firstLine="546" w:firstLineChars="195"/>
        <w:rPr>
          <w:rFonts w:hint="eastAsia"/>
          <w:sz w:val="28"/>
          <w:szCs w:val="28"/>
        </w:rPr>
      </w:pPr>
      <w:r>
        <w:rPr>
          <w:rFonts w:hint="eastAsia"/>
          <w:sz w:val="28"/>
          <w:szCs w:val="28"/>
        </w:rPr>
        <w:t>(2)厂区道路不顺畅，路面不平；积雪结冰、存水等；</w:t>
      </w:r>
    </w:p>
    <w:p>
      <w:pPr>
        <w:adjustRightInd w:val="0"/>
        <w:snapToGrid w:val="0"/>
        <w:spacing w:line="360" w:lineRule="auto"/>
        <w:ind w:firstLine="546" w:firstLineChars="195"/>
        <w:rPr>
          <w:rFonts w:hint="eastAsia"/>
          <w:sz w:val="28"/>
          <w:szCs w:val="28"/>
        </w:rPr>
      </w:pPr>
      <w:r>
        <w:rPr>
          <w:rFonts w:hint="eastAsia"/>
          <w:sz w:val="28"/>
          <w:szCs w:val="28"/>
        </w:rPr>
        <w:t>(3)厂区道路转弯半径不足、路面宽度不够；</w:t>
      </w:r>
    </w:p>
    <w:p>
      <w:pPr>
        <w:adjustRightInd w:val="0"/>
        <w:snapToGrid w:val="0"/>
        <w:spacing w:line="360" w:lineRule="auto"/>
        <w:ind w:firstLine="546" w:firstLineChars="195"/>
        <w:rPr>
          <w:rFonts w:hint="eastAsia"/>
          <w:sz w:val="28"/>
          <w:szCs w:val="28"/>
        </w:rPr>
      </w:pPr>
      <w:r>
        <w:rPr>
          <w:rFonts w:hint="eastAsia"/>
          <w:sz w:val="28"/>
          <w:szCs w:val="28"/>
        </w:rPr>
        <w:t>(4)驾驶员麻痹大意、违章操作；</w:t>
      </w:r>
    </w:p>
    <w:p>
      <w:pPr>
        <w:adjustRightInd w:val="0"/>
        <w:snapToGrid w:val="0"/>
        <w:spacing w:line="360" w:lineRule="auto"/>
        <w:ind w:firstLine="546" w:firstLineChars="195"/>
        <w:rPr>
          <w:rFonts w:hint="eastAsia"/>
          <w:sz w:val="28"/>
          <w:szCs w:val="28"/>
        </w:rPr>
      </w:pPr>
      <w:r>
        <w:rPr>
          <w:rFonts w:hint="eastAsia"/>
          <w:sz w:val="28"/>
          <w:szCs w:val="28"/>
        </w:rPr>
        <w:t>(5)人行频率较高路段没有或缺少警示标志和声光报警信号。</w:t>
      </w:r>
    </w:p>
    <w:p>
      <w:pPr>
        <w:adjustRightInd w:val="0"/>
        <w:snapToGrid w:val="0"/>
        <w:spacing w:line="360" w:lineRule="auto"/>
        <w:ind w:firstLine="546" w:firstLineChars="195"/>
        <w:rPr>
          <w:rFonts w:hint="eastAsia"/>
          <w:sz w:val="28"/>
          <w:szCs w:val="28"/>
        </w:rPr>
      </w:pPr>
      <w:r>
        <w:rPr>
          <w:rFonts w:hint="eastAsia"/>
          <w:sz w:val="28"/>
          <w:szCs w:val="28"/>
        </w:rPr>
        <w:t>(6)车间内或车间外进行卸货或者拉货，未看清周围人员，发生车辆伤害。</w:t>
      </w:r>
    </w:p>
    <w:p>
      <w:pPr>
        <w:adjustRightInd w:val="0"/>
        <w:snapToGrid w:val="0"/>
        <w:spacing w:line="360" w:lineRule="auto"/>
        <w:ind w:firstLine="546" w:firstLineChars="195"/>
        <w:rPr>
          <w:sz w:val="28"/>
          <w:szCs w:val="28"/>
        </w:rPr>
      </w:pPr>
      <w:r>
        <w:rPr>
          <w:rFonts w:hint="eastAsia"/>
          <w:sz w:val="28"/>
          <w:szCs w:val="28"/>
        </w:rPr>
        <w:t>存在车辆伤害的主要场所为：厂区叉车堆垛处、车间道路、物料以及成品的运输过程、人员通行的道口。</w:t>
      </w:r>
    </w:p>
    <w:p>
      <w:pPr>
        <w:pStyle w:val="Heading3"/>
        <w:adjustRightInd w:val="0"/>
        <w:snapToGrid w:val="0"/>
        <w:spacing w:before="0" w:beforeLines="0" w:after="0" w:afterLines="0" w:line="360" w:lineRule="auto"/>
        <w:rPr>
          <w:rFonts w:eastAsia="宋体"/>
          <w:szCs w:val="28"/>
        </w:rPr>
      </w:pPr>
      <w:bookmarkStart w:id="179" w:name="_Toc13170588"/>
      <w:r>
        <w:rPr>
          <w:rFonts w:eastAsia="宋体"/>
          <w:szCs w:val="28"/>
        </w:rPr>
        <w:t>3.3.8高处坠落</w:t>
      </w:r>
      <w:bookmarkEnd w:id="179"/>
    </w:p>
    <w:p>
      <w:pPr>
        <w:adjustRightInd w:val="0"/>
        <w:snapToGrid w:val="0"/>
        <w:spacing w:line="360" w:lineRule="auto"/>
        <w:ind w:firstLine="546" w:firstLineChars="195"/>
        <w:rPr>
          <w:rFonts w:hint="eastAsia"/>
          <w:sz w:val="28"/>
          <w:szCs w:val="28"/>
        </w:rPr>
        <w:sectPr>
          <w:headerReference w:type="default" r:id="rId84"/>
          <w:footerReference w:type="default" r:id="rId85"/>
          <w:type w:val="nextPage"/>
          <w:pgSz w:w="11906" w:h="16838"/>
          <w:pgMar w:top="1418" w:right="1418" w:bottom="1361" w:left="1474" w:header="993" w:footer="980" w:gutter="0"/>
          <w:pgNumType w:start="30"/>
          <w:cols w:space="708"/>
          <w:titlePg w:val="0"/>
          <w:docGrid w:type="lines" w:linePitch="312"/>
        </w:sectPr>
      </w:pPr>
    </w:p>
    <w:p>
      <w:pPr>
        <w:adjustRightInd w:val="0"/>
        <w:snapToGrid w:val="0"/>
        <w:spacing w:line="360" w:lineRule="auto"/>
        <w:ind w:firstLine="546" w:firstLineChars="195"/>
        <w:rPr>
          <w:rFonts w:hint="eastAsia"/>
          <w:sz w:val="28"/>
          <w:szCs w:val="28"/>
        </w:rPr>
      </w:pPr>
      <w:r>
        <w:rPr>
          <w:rFonts w:hint="eastAsia"/>
          <w:sz w:val="28"/>
          <w:szCs w:val="28"/>
        </w:rPr>
        <w:t>高处坠落是指在高处作业中发生坠落造成的伤害事故。不包括触电坠落事故。在操作基准面2.0m及其以上的安装、检修和生产作业称做高处作业。</w:t>
      </w:r>
    </w:p>
    <w:p>
      <w:pPr>
        <w:adjustRightInd w:val="0"/>
        <w:snapToGrid w:val="0"/>
        <w:spacing w:line="360" w:lineRule="auto"/>
        <w:ind w:firstLine="546" w:firstLineChars="195"/>
        <w:rPr>
          <w:rFonts w:hint="eastAsia"/>
          <w:sz w:val="28"/>
          <w:szCs w:val="28"/>
        </w:rPr>
      </w:pPr>
      <w:r>
        <w:rPr>
          <w:rFonts w:hint="eastAsia"/>
          <w:sz w:val="28"/>
          <w:szCs w:val="28"/>
        </w:rPr>
        <w:t>本项目中有高处设备、设施，高处作业是难以避免的，职工在处理故障、操作或检修等作业中，有高处坠落的危险。</w:t>
      </w:r>
    </w:p>
    <w:p>
      <w:pPr>
        <w:adjustRightInd w:val="0"/>
        <w:snapToGrid w:val="0"/>
        <w:spacing w:line="360" w:lineRule="auto"/>
        <w:ind w:firstLine="546" w:firstLineChars="195"/>
        <w:rPr>
          <w:rFonts w:hint="eastAsia"/>
          <w:sz w:val="28"/>
          <w:szCs w:val="28"/>
        </w:rPr>
      </w:pPr>
      <w:r>
        <w:rPr>
          <w:rFonts w:hint="eastAsia"/>
          <w:sz w:val="28"/>
          <w:szCs w:val="28"/>
        </w:rPr>
        <w:t>造成高处坠落事故的主要原因有：</w:t>
      </w:r>
    </w:p>
    <w:p>
      <w:pPr>
        <w:adjustRightInd w:val="0"/>
        <w:snapToGrid w:val="0"/>
        <w:spacing w:line="360" w:lineRule="auto"/>
        <w:ind w:firstLine="546" w:firstLineChars="195"/>
        <w:rPr>
          <w:rFonts w:hint="eastAsia"/>
          <w:sz w:val="28"/>
          <w:szCs w:val="28"/>
        </w:rPr>
      </w:pPr>
      <w:r>
        <w:rPr>
          <w:rFonts w:hint="eastAsia"/>
          <w:sz w:val="28"/>
          <w:szCs w:val="28"/>
        </w:rPr>
        <w:t>(1)高处作业处未设置安全防护设施或安全防护设施存在缺陷；</w:t>
      </w:r>
    </w:p>
    <w:p>
      <w:pPr>
        <w:adjustRightInd w:val="0"/>
        <w:snapToGrid w:val="0"/>
        <w:spacing w:line="360" w:lineRule="auto"/>
        <w:ind w:firstLine="546" w:firstLineChars="195"/>
        <w:rPr>
          <w:rFonts w:hint="eastAsia"/>
          <w:sz w:val="28"/>
          <w:szCs w:val="28"/>
        </w:rPr>
      </w:pPr>
      <w:r>
        <w:rPr>
          <w:rFonts w:hint="eastAsia"/>
          <w:sz w:val="28"/>
          <w:szCs w:val="28"/>
        </w:rPr>
        <w:t>(2)高处作业时安全防护设施损坏；</w:t>
      </w:r>
    </w:p>
    <w:p>
      <w:pPr>
        <w:adjustRightInd w:val="0"/>
        <w:snapToGrid w:val="0"/>
        <w:spacing w:line="360" w:lineRule="auto"/>
        <w:ind w:firstLine="546" w:firstLineChars="195"/>
        <w:rPr>
          <w:rFonts w:hint="eastAsia"/>
          <w:sz w:val="28"/>
          <w:szCs w:val="28"/>
        </w:rPr>
      </w:pPr>
      <w:r>
        <w:rPr>
          <w:rFonts w:hint="eastAsia"/>
          <w:sz w:val="28"/>
          <w:szCs w:val="28"/>
        </w:rPr>
        <w:t>(3)高处作业安全管理不到位、作业人员违章操作、错误操作；</w:t>
      </w:r>
    </w:p>
    <w:p>
      <w:pPr>
        <w:adjustRightInd w:val="0"/>
        <w:snapToGrid w:val="0"/>
        <w:spacing w:line="360" w:lineRule="auto"/>
        <w:ind w:firstLine="546" w:firstLineChars="195"/>
        <w:rPr>
          <w:rFonts w:hint="eastAsia"/>
          <w:sz w:val="28"/>
          <w:szCs w:val="28"/>
        </w:rPr>
      </w:pPr>
      <w:r>
        <w:rPr>
          <w:rFonts w:hint="eastAsia"/>
          <w:sz w:val="28"/>
          <w:szCs w:val="28"/>
        </w:rPr>
        <w:t>(4)操作人员没有按要求使用安全带、安全帽，没有按要求穿防滑性能良好的软底鞋等；</w:t>
      </w:r>
    </w:p>
    <w:p>
      <w:pPr>
        <w:adjustRightInd w:val="0"/>
        <w:snapToGrid w:val="0"/>
        <w:spacing w:line="360" w:lineRule="auto"/>
        <w:ind w:firstLine="546" w:firstLineChars="195"/>
        <w:rPr>
          <w:rFonts w:hint="eastAsia"/>
          <w:sz w:val="28"/>
          <w:szCs w:val="28"/>
        </w:rPr>
      </w:pPr>
      <w:r>
        <w:rPr>
          <w:rFonts w:hint="eastAsia"/>
          <w:sz w:val="28"/>
          <w:szCs w:val="28"/>
        </w:rPr>
        <w:t>(5)使用梯子不当；</w:t>
      </w:r>
    </w:p>
    <w:p>
      <w:pPr>
        <w:adjustRightInd w:val="0"/>
        <w:snapToGrid w:val="0"/>
        <w:spacing w:line="360" w:lineRule="auto"/>
        <w:ind w:firstLine="546" w:firstLineChars="195"/>
        <w:rPr>
          <w:rFonts w:hint="eastAsia"/>
          <w:sz w:val="28"/>
          <w:szCs w:val="28"/>
        </w:rPr>
      </w:pPr>
      <w:r>
        <w:rPr>
          <w:rFonts w:hint="eastAsia"/>
          <w:sz w:val="28"/>
          <w:szCs w:val="28"/>
        </w:rPr>
        <w:t>(6)缺乏安全防护意识，主观判断失误。</w:t>
      </w:r>
    </w:p>
    <w:p>
      <w:pPr>
        <w:adjustRightInd w:val="0"/>
        <w:snapToGrid w:val="0"/>
        <w:spacing w:line="360" w:lineRule="auto"/>
        <w:ind w:firstLine="546" w:firstLineChars="195"/>
        <w:rPr>
          <w:sz w:val="28"/>
          <w:szCs w:val="28"/>
        </w:rPr>
      </w:pPr>
      <w:r>
        <w:rPr>
          <w:rFonts w:hint="eastAsia"/>
          <w:sz w:val="28"/>
          <w:szCs w:val="28"/>
        </w:rPr>
        <w:t>存在高处坠落的主要场所为：维修高大设备和电力线路以及建筑物等。</w:t>
      </w:r>
    </w:p>
    <w:p>
      <w:pPr>
        <w:pStyle w:val="Heading3"/>
        <w:adjustRightInd w:val="0"/>
        <w:snapToGrid w:val="0"/>
        <w:spacing w:before="0" w:beforeLines="0" w:after="0" w:afterLines="0" w:line="360" w:lineRule="auto"/>
        <w:rPr>
          <w:rFonts w:eastAsia="宋体"/>
          <w:szCs w:val="28"/>
        </w:rPr>
      </w:pPr>
      <w:bookmarkStart w:id="180" w:name="_Toc13170589"/>
      <w:r>
        <w:rPr>
          <w:rFonts w:eastAsia="宋体"/>
          <w:szCs w:val="28"/>
        </w:rPr>
        <w:t>3.3.9</w:t>
      </w:r>
      <w:bookmarkEnd w:id="180"/>
      <w:r>
        <w:rPr>
          <w:rFonts w:eastAsia="宋体" w:hint="eastAsia"/>
          <w:szCs w:val="28"/>
        </w:rPr>
        <w:t>淹溺</w:t>
      </w:r>
    </w:p>
    <w:p>
      <w:pPr>
        <w:adjustRightInd w:val="0"/>
        <w:snapToGrid w:val="0"/>
        <w:spacing w:line="360" w:lineRule="auto"/>
        <w:ind w:firstLine="560" w:firstLineChars="200"/>
        <w:rPr>
          <w:rFonts w:hint="eastAsia"/>
          <w:kern w:val="0"/>
          <w:sz w:val="28"/>
          <w:szCs w:val="28"/>
        </w:rPr>
      </w:pPr>
      <w:r>
        <w:rPr>
          <w:rFonts w:ascii="宋体" w:cs="宋体" w:hint="eastAsia"/>
          <w:spacing w:val="6"/>
          <w:kern w:val="0"/>
          <w:sz w:val="28"/>
          <w:szCs w:val="28"/>
        </w:rPr>
        <w:t>该拟建项目建设内容包括消防水罐和高位水槽等，当水池周边未设置防护栏杆，或防护栏杆设置不合理，以及照明不良，人员视线受阻或不注意的情况下，可能掉入水池中，发生淹溺事故</w:t>
      </w:r>
      <w:r>
        <w:rPr>
          <w:kern w:val="0"/>
          <w:sz w:val="28"/>
          <w:szCs w:val="28"/>
        </w:rPr>
        <w:t>。</w:t>
      </w:r>
    </w:p>
    <w:p>
      <w:pPr>
        <w:pStyle w:val="Heading3"/>
        <w:adjustRightInd w:val="0"/>
        <w:snapToGrid w:val="0"/>
        <w:spacing w:before="0" w:beforeLines="0" w:after="0" w:afterLines="0" w:line="360" w:lineRule="auto"/>
        <w:rPr>
          <w:rFonts w:eastAsia="宋体"/>
          <w:szCs w:val="28"/>
        </w:rPr>
      </w:pPr>
      <w:r>
        <w:rPr>
          <w:rFonts w:eastAsia="宋体"/>
          <w:szCs w:val="28"/>
        </w:rPr>
        <w:t>3.3.</w:t>
      </w:r>
      <w:r>
        <w:rPr>
          <w:rFonts w:eastAsia="宋体" w:hint="eastAsia"/>
          <w:szCs w:val="28"/>
        </w:rPr>
        <w:t>10</w:t>
      </w:r>
      <w:r>
        <w:rPr>
          <w:rFonts w:eastAsia="宋体"/>
          <w:szCs w:val="28"/>
        </w:rPr>
        <w:t>有限作业空间危险危害辨识</w:t>
      </w:r>
    </w:p>
    <w:p>
      <w:pPr>
        <w:adjustRightInd w:val="0"/>
        <w:snapToGrid w:val="0"/>
        <w:spacing w:line="360" w:lineRule="auto"/>
        <w:ind w:firstLine="560" w:firstLineChars="200"/>
        <w:rPr>
          <w:rFonts w:ascii="宋体" w:cs="宋体"/>
          <w:spacing w:val="6"/>
          <w:kern w:val="0"/>
          <w:sz w:val="28"/>
          <w:szCs w:val="28"/>
        </w:rPr>
      </w:pPr>
      <w:r>
        <w:rPr>
          <w:rFonts w:ascii="宋体" w:cs="宋体"/>
          <w:spacing w:val="6"/>
          <w:kern w:val="0"/>
          <w:sz w:val="28"/>
          <w:szCs w:val="28"/>
        </w:rPr>
        <w:t>有限空间是指封闭或部分封闭，进出口较为狭窄有限，未被设计为固定工作场所，自然通风不良，易造成有毒有害、易燃易爆物质积聚或氧含量不足的空间。有限空间作业是指作业人员进入有限空间实施的作业活动。本项目的有限空间作业包含进入反应釜清理等作业内容。</w:t>
      </w:r>
    </w:p>
    <w:p>
      <w:pPr>
        <w:adjustRightInd w:val="0"/>
        <w:snapToGrid w:val="0"/>
        <w:spacing w:line="360" w:lineRule="auto"/>
        <w:ind w:firstLine="560" w:firstLineChars="200"/>
        <w:rPr>
          <w:rFonts w:ascii="宋体" w:cs="宋体" w:hint="eastAsia"/>
          <w:spacing w:val="6"/>
          <w:kern w:val="0"/>
          <w:sz w:val="28"/>
          <w:szCs w:val="28"/>
        </w:rPr>
        <w:sectPr>
          <w:headerReference w:type="default" r:id="rId86"/>
          <w:footerReference w:type="default" r:id="rId87"/>
          <w:type w:val="nextPage"/>
          <w:pgSz w:w="11906" w:h="16838"/>
          <w:pgMar w:top="1418" w:right="1418" w:bottom="1361" w:left="1474" w:header="993" w:footer="980" w:gutter="0"/>
          <w:pgNumType w:start="31"/>
          <w:cols w:space="708"/>
          <w:titlePg w:val="0"/>
          <w:docGrid w:type="lines" w:linePitch="312"/>
        </w:sectPr>
      </w:pPr>
    </w:p>
    <w:p>
      <w:pPr>
        <w:adjustRightInd w:val="0"/>
        <w:snapToGrid w:val="0"/>
        <w:spacing w:line="360" w:lineRule="auto"/>
        <w:ind w:firstLine="560" w:firstLineChars="200"/>
        <w:rPr>
          <w:rFonts w:ascii="宋体" w:cs="宋体" w:hint="eastAsia"/>
          <w:spacing w:val="6"/>
          <w:kern w:val="0"/>
          <w:sz w:val="28"/>
          <w:szCs w:val="28"/>
        </w:rPr>
      </w:pPr>
      <w:r>
        <w:rPr>
          <w:rFonts w:ascii="宋体" w:cs="宋体"/>
          <w:spacing w:val="6"/>
          <w:kern w:val="0"/>
          <w:sz w:val="28"/>
          <w:szCs w:val="28"/>
        </w:rPr>
        <w:t>生产经营单位应严格执行“先检测、后作业”的原则。检测指标包括氧浓度值、易燃易爆物质（可燃性气体、爆炸性粉尘）浓度值、有毒气体浓度值等。最低限度应检测下列三项：氧浓度（应在19.5-23.5%范围内），易燃/可燃气体浓度（应&lt;最低爆炸极限的10%），一氧化碳浓度（应&lt;25ppm）。未经检测合格，严禁作业人员进入有限空间。</w:t>
      </w:r>
    </w:p>
    <w:p>
      <w:pPr>
        <w:pStyle w:val="Heading2"/>
        <w:adjustRightInd w:val="0"/>
        <w:snapToGrid w:val="0"/>
        <w:spacing w:before="0" w:after="0" w:line="360" w:lineRule="auto"/>
        <w:rPr>
          <w:rFonts w:ascii="Times New Roman" w:eastAsia="宋体" w:hAnsi="Times New Roman"/>
          <w:sz w:val="28"/>
          <w:szCs w:val="28"/>
        </w:rPr>
      </w:pPr>
      <w:bookmarkStart w:id="181" w:name="_Toc14347186"/>
      <w:bookmarkStart w:id="182" w:name="_Toc352687386"/>
      <w:bookmarkStart w:id="183" w:name="_Toc13170595"/>
      <w:r>
        <w:rPr>
          <w:rFonts w:ascii="Times New Roman" w:eastAsia="宋体" w:hAnsi="Times New Roman"/>
          <w:sz w:val="28"/>
          <w:szCs w:val="28"/>
        </w:rPr>
        <w:t>3.</w:t>
      </w:r>
      <w:r>
        <w:rPr>
          <w:rFonts w:ascii="Times New Roman" w:eastAsia="宋体" w:hAnsi="Times New Roman" w:hint="eastAsia"/>
          <w:sz w:val="28"/>
          <w:szCs w:val="28"/>
        </w:rPr>
        <w:t>4</w:t>
      </w:r>
      <w:r>
        <w:rPr>
          <w:rFonts w:ascii="Times New Roman" w:eastAsia="宋体" w:hAnsi="Times New Roman"/>
          <w:sz w:val="28"/>
          <w:szCs w:val="28"/>
        </w:rPr>
        <w:t>危险、有害因素分析综合结果</w:t>
      </w:r>
      <w:bookmarkEnd w:id="181"/>
      <w:bookmarkEnd w:id="182"/>
      <w:bookmarkEnd w:id="183"/>
    </w:p>
    <w:p>
      <w:pPr>
        <w:adjustRightInd w:val="0"/>
        <w:snapToGrid w:val="0"/>
        <w:spacing w:line="360" w:lineRule="auto"/>
        <w:ind w:firstLine="560" w:firstLineChars="200"/>
        <w:rPr>
          <w:sz w:val="28"/>
          <w:szCs w:val="28"/>
        </w:rPr>
      </w:pPr>
      <w:r>
        <w:rPr>
          <w:sz w:val="28"/>
          <w:szCs w:val="28"/>
        </w:rPr>
        <w:t>通过对该公司涉及的物质、生产过程危险有害因素辨识，该公司可能产生的主要危险有害因素有火灾、触电、机械伤害、物体打击、起重伤害、坍塌、车辆伤害、高处坠落</w:t>
      </w:r>
      <w:r>
        <w:rPr>
          <w:rFonts w:hint="eastAsia"/>
          <w:sz w:val="28"/>
          <w:szCs w:val="28"/>
        </w:rPr>
        <w:t>、粉尘爆炸、</w:t>
      </w:r>
      <w:r>
        <w:rPr>
          <w:sz w:val="28"/>
          <w:szCs w:val="28"/>
        </w:rPr>
        <w:t>灼烫等，其在各个作业过程的分布见下表。</w:t>
      </w:r>
    </w:p>
    <w:p>
      <w:pPr>
        <w:adjustRightInd w:val="0"/>
        <w:snapToGrid w:val="0"/>
        <w:spacing w:line="360" w:lineRule="auto"/>
        <w:jc w:val="center"/>
        <w:rPr>
          <w:rFonts w:hint="eastAsia"/>
          <w:b/>
          <w:sz w:val="24"/>
        </w:rPr>
      </w:pPr>
      <w:r>
        <w:rPr>
          <w:b/>
          <w:sz w:val="24"/>
        </w:rPr>
        <w:t>表3-6主要危险有害因素分布表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542"/>
        <w:gridCol w:w="1010"/>
        <w:gridCol w:w="841"/>
        <w:gridCol w:w="1170"/>
        <w:gridCol w:w="1009"/>
        <w:gridCol w:w="1073"/>
        <w:gridCol w:w="1279"/>
        <w:gridCol w:w="1061"/>
      </w:tblGrid>
      <w:tr>
        <w:tblPrEx>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20"/>
          <w:tblHeader/>
          <w:jc w:val="center"/>
        </w:trPr>
        <w:tc>
          <w:tcPr>
            <w:tcW w:w="1542" w:type="dxa"/>
            <w:vMerge w:val="restart"/>
            <w:tcBorders>
              <w:top w:val="single" w:sz="8" w:space="0" w:color="auto"/>
              <w:bottom w:val="single" w:sz="6" w:space="0" w:color="auto"/>
              <w:tl2br w:val="single" w:sz="8" w:space="0" w:color="auto"/>
            </w:tcBorders>
            <w:vAlign w:val="center"/>
          </w:tcPr>
          <w:p>
            <w:pPr>
              <w:spacing w:line="320" w:lineRule="exact"/>
              <w:jc w:val="center"/>
              <w:rPr>
                <w:szCs w:val="21"/>
              </w:rPr>
            </w:pPr>
            <w:r>
              <w:rPr>
                <w:szCs w:val="21"/>
              </w:rPr>
              <w:t>评价系统</w:t>
            </w:r>
          </w:p>
          <w:p>
            <w:pPr>
              <w:spacing w:line="320" w:lineRule="exact"/>
              <w:jc w:val="center"/>
              <w:rPr>
                <w:szCs w:val="21"/>
              </w:rPr>
            </w:pPr>
          </w:p>
          <w:p>
            <w:pPr>
              <w:spacing w:line="320" w:lineRule="exact"/>
              <w:rPr>
                <w:szCs w:val="21"/>
              </w:rPr>
            </w:pPr>
            <w:r>
              <w:rPr>
                <w:szCs w:val="21"/>
              </w:rPr>
              <w:t>危险、</w:t>
            </w:r>
          </w:p>
          <w:p>
            <w:pPr>
              <w:spacing w:line="320" w:lineRule="exact"/>
              <w:rPr>
                <w:szCs w:val="21"/>
              </w:rPr>
            </w:pPr>
            <w:r>
              <w:rPr>
                <w:szCs w:val="21"/>
              </w:rPr>
              <w:t>有害因素</w:t>
            </w:r>
          </w:p>
        </w:tc>
        <w:tc>
          <w:tcPr>
            <w:tcW w:w="1010" w:type="dxa"/>
            <w:vMerge w:val="restart"/>
            <w:tcBorders>
              <w:top w:val="single" w:sz="8" w:space="0" w:color="auto"/>
            </w:tcBorders>
            <w:vAlign w:val="center"/>
          </w:tcPr>
          <w:p>
            <w:pPr>
              <w:spacing w:line="320" w:lineRule="exact"/>
              <w:jc w:val="center"/>
              <w:rPr>
                <w:szCs w:val="21"/>
              </w:rPr>
            </w:pPr>
            <w:r>
              <w:rPr>
                <w:szCs w:val="21"/>
              </w:rPr>
              <w:t>总平面和建构筑物</w:t>
            </w:r>
          </w:p>
        </w:tc>
        <w:tc>
          <w:tcPr>
            <w:tcW w:w="841" w:type="dxa"/>
            <w:vMerge w:val="restart"/>
            <w:tcBorders>
              <w:top w:val="single" w:sz="8" w:space="0" w:color="auto"/>
            </w:tcBorders>
            <w:vAlign w:val="center"/>
          </w:tcPr>
          <w:p>
            <w:pPr>
              <w:spacing w:line="320" w:lineRule="exact"/>
              <w:jc w:val="center"/>
              <w:rPr>
                <w:szCs w:val="21"/>
              </w:rPr>
            </w:pPr>
            <w:r>
              <w:rPr>
                <w:szCs w:val="21"/>
              </w:rPr>
              <w:t>生产</w:t>
            </w:r>
          </w:p>
          <w:p>
            <w:pPr>
              <w:spacing w:line="320" w:lineRule="exact"/>
              <w:jc w:val="center"/>
              <w:rPr>
                <w:szCs w:val="21"/>
              </w:rPr>
            </w:pPr>
            <w:r>
              <w:rPr>
                <w:szCs w:val="21"/>
              </w:rPr>
              <w:t>过程</w:t>
            </w:r>
          </w:p>
        </w:tc>
        <w:tc>
          <w:tcPr>
            <w:tcW w:w="1170" w:type="dxa"/>
            <w:vMerge w:val="restart"/>
            <w:tcBorders>
              <w:top w:val="single" w:sz="8" w:space="0" w:color="auto"/>
            </w:tcBorders>
            <w:vAlign w:val="center"/>
          </w:tcPr>
          <w:p>
            <w:pPr>
              <w:spacing w:line="320" w:lineRule="exact"/>
              <w:jc w:val="center"/>
              <w:rPr>
                <w:szCs w:val="21"/>
              </w:rPr>
            </w:pPr>
            <w:r>
              <w:rPr>
                <w:szCs w:val="21"/>
              </w:rPr>
              <w:t>物料储存及装卸过程</w:t>
            </w:r>
          </w:p>
        </w:tc>
        <w:tc>
          <w:tcPr>
            <w:tcW w:w="3361" w:type="dxa"/>
            <w:gridSpan w:val="3"/>
            <w:tcBorders>
              <w:top w:val="single" w:sz="8" w:space="0" w:color="auto"/>
              <w:right w:val="single" w:sz="4" w:space="0" w:color="auto"/>
            </w:tcBorders>
            <w:vAlign w:val="center"/>
          </w:tcPr>
          <w:p>
            <w:pPr>
              <w:spacing w:line="320" w:lineRule="exact"/>
              <w:jc w:val="center"/>
              <w:rPr>
                <w:szCs w:val="21"/>
              </w:rPr>
            </w:pPr>
            <w:r>
              <w:rPr>
                <w:szCs w:val="21"/>
              </w:rPr>
              <w:t>公用工程及辅助设施</w:t>
            </w:r>
          </w:p>
        </w:tc>
        <w:tc>
          <w:tcPr>
            <w:tcW w:w="1061" w:type="dxa"/>
            <w:vMerge w:val="restart"/>
            <w:tcBorders>
              <w:top w:val="single" w:sz="8" w:space="0" w:color="auto"/>
              <w:left w:val="single" w:sz="4" w:space="0" w:color="auto"/>
              <w:right w:val="single" w:sz="4" w:space="0" w:color="auto"/>
            </w:tcBorders>
            <w:vAlign w:val="center"/>
          </w:tcPr>
          <w:p>
            <w:pPr>
              <w:spacing w:line="320" w:lineRule="exact"/>
              <w:jc w:val="center"/>
              <w:rPr>
                <w:szCs w:val="21"/>
              </w:rPr>
            </w:pPr>
            <w:r>
              <w:rPr>
                <w:szCs w:val="21"/>
              </w:rPr>
              <w:t>检修作业</w:t>
            </w:r>
          </w:p>
        </w:tc>
      </w:tr>
      <w:tr>
        <w:tblPrEx>
          <w:tblW w:w="0" w:type="auto"/>
          <w:jc w:val="center"/>
          <w:tblLayout w:type="fixed"/>
          <w:tblCellMar>
            <w:top w:w="0" w:type="dxa"/>
            <w:left w:w="108" w:type="dxa"/>
            <w:bottom w:w="0" w:type="dxa"/>
            <w:right w:w="108" w:type="dxa"/>
          </w:tblCellMar>
          <w:tblLook w:val="0000"/>
        </w:tblPrEx>
        <w:trPr>
          <w:trHeight w:val="925"/>
          <w:tblHeader/>
          <w:jc w:val="center"/>
        </w:trPr>
        <w:tc>
          <w:tcPr>
            <w:tcW w:w="1542" w:type="dxa"/>
            <w:vMerge/>
            <w:tcBorders>
              <w:top w:val="single" w:sz="6" w:space="0" w:color="auto"/>
              <w:bottom w:val="single" w:sz="6" w:space="0" w:color="auto"/>
            </w:tcBorders>
            <w:vAlign w:val="center"/>
          </w:tcPr>
          <w:p>
            <w:pPr>
              <w:spacing w:line="320" w:lineRule="exact"/>
              <w:jc w:val="center"/>
              <w:rPr>
                <w:szCs w:val="21"/>
              </w:rPr>
            </w:pPr>
          </w:p>
        </w:tc>
        <w:tc>
          <w:tcPr>
            <w:tcW w:w="1010" w:type="dxa"/>
            <w:vMerge/>
            <w:tcBorders>
              <w:bottom w:val="single" w:sz="6" w:space="0" w:color="auto"/>
            </w:tcBorders>
            <w:vAlign w:val="center"/>
          </w:tcPr>
          <w:p>
            <w:pPr>
              <w:spacing w:line="320" w:lineRule="exact"/>
              <w:jc w:val="center"/>
              <w:rPr>
                <w:szCs w:val="21"/>
              </w:rPr>
            </w:pPr>
          </w:p>
        </w:tc>
        <w:tc>
          <w:tcPr>
            <w:tcW w:w="841" w:type="dxa"/>
            <w:vMerge/>
            <w:tcBorders>
              <w:bottom w:val="single" w:sz="6" w:space="0" w:color="auto"/>
            </w:tcBorders>
            <w:vAlign w:val="center"/>
          </w:tcPr>
          <w:p>
            <w:pPr>
              <w:spacing w:line="320" w:lineRule="exact"/>
              <w:jc w:val="center"/>
              <w:rPr>
                <w:szCs w:val="21"/>
              </w:rPr>
            </w:pPr>
          </w:p>
        </w:tc>
        <w:tc>
          <w:tcPr>
            <w:tcW w:w="1170" w:type="dxa"/>
            <w:vMerge/>
            <w:tcBorders>
              <w:bottom w:val="single" w:sz="6" w:space="0" w:color="auto"/>
            </w:tcBorders>
            <w:vAlign w:val="center"/>
          </w:tcPr>
          <w:p>
            <w:pPr>
              <w:spacing w:line="320" w:lineRule="exact"/>
              <w:jc w:val="center"/>
              <w:rPr>
                <w:szCs w:val="21"/>
              </w:rPr>
            </w:pPr>
          </w:p>
        </w:tc>
        <w:tc>
          <w:tcPr>
            <w:tcW w:w="1009" w:type="dxa"/>
            <w:tcBorders>
              <w:bottom w:val="single" w:sz="6" w:space="0" w:color="auto"/>
            </w:tcBorders>
            <w:vAlign w:val="center"/>
          </w:tcPr>
          <w:p>
            <w:pPr>
              <w:spacing w:line="320" w:lineRule="exact"/>
              <w:jc w:val="center"/>
              <w:rPr>
                <w:szCs w:val="21"/>
              </w:rPr>
            </w:pPr>
            <w:r>
              <w:rPr>
                <w:szCs w:val="21"/>
              </w:rPr>
              <w:t>供电</w:t>
            </w:r>
          </w:p>
          <w:p>
            <w:pPr>
              <w:spacing w:line="320" w:lineRule="exact"/>
              <w:jc w:val="center"/>
              <w:rPr>
                <w:szCs w:val="21"/>
              </w:rPr>
            </w:pPr>
            <w:r>
              <w:rPr>
                <w:szCs w:val="21"/>
              </w:rPr>
              <w:t>系统</w:t>
            </w:r>
          </w:p>
        </w:tc>
        <w:tc>
          <w:tcPr>
            <w:tcW w:w="1073" w:type="dxa"/>
            <w:tcBorders>
              <w:bottom w:val="single" w:sz="6" w:space="0" w:color="auto"/>
            </w:tcBorders>
            <w:vAlign w:val="center"/>
          </w:tcPr>
          <w:p>
            <w:pPr>
              <w:spacing w:line="320" w:lineRule="exact"/>
              <w:jc w:val="center"/>
              <w:rPr>
                <w:szCs w:val="21"/>
              </w:rPr>
            </w:pPr>
            <w:r>
              <w:rPr>
                <w:szCs w:val="21"/>
              </w:rPr>
              <w:t>消防</w:t>
            </w:r>
            <w:r>
              <w:rPr>
                <w:rFonts w:hint="eastAsia"/>
                <w:szCs w:val="21"/>
              </w:rPr>
              <w:t>水</w:t>
            </w:r>
            <w:r>
              <w:rPr>
                <w:szCs w:val="21"/>
              </w:rPr>
              <w:t>系统</w:t>
            </w:r>
          </w:p>
        </w:tc>
        <w:tc>
          <w:tcPr>
            <w:tcW w:w="1279" w:type="dxa"/>
            <w:tcBorders>
              <w:bottom w:val="single" w:sz="6" w:space="0" w:color="auto"/>
              <w:right w:val="single" w:sz="4" w:space="0" w:color="auto"/>
            </w:tcBorders>
            <w:vAlign w:val="center"/>
          </w:tcPr>
          <w:p>
            <w:pPr>
              <w:spacing w:line="320" w:lineRule="exact"/>
              <w:jc w:val="center"/>
              <w:rPr>
                <w:szCs w:val="21"/>
              </w:rPr>
            </w:pPr>
            <w:r>
              <w:rPr>
                <w:szCs w:val="21"/>
              </w:rPr>
              <w:t>供热、采暖和通风系统</w:t>
            </w:r>
          </w:p>
        </w:tc>
        <w:tc>
          <w:tcPr>
            <w:tcW w:w="1061" w:type="dxa"/>
            <w:vMerge/>
            <w:tcBorders>
              <w:left w:val="single" w:sz="4" w:space="0" w:color="auto"/>
              <w:bottom w:val="single" w:sz="6" w:space="0" w:color="auto"/>
              <w:right w:val="single" w:sz="4" w:space="0" w:color="auto"/>
            </w:tcBorders>
            <w:vAlign w:val="center"/>
          </w:tcPr>
          <w:p>
            <w:pPr>
              <w:spacing w:line="320" w:lineRule="exact"/>
              <w:jc w:val="center"/>
              <w:rPr>
                <w:szCs w:val="21"/>
              </w:rPr>
            </w:pPr>
          </w:p>
        </w:tc>
      </w:tr>
      <w:tr>
        <w:tblPrEx>
          <w:tblW w:w="0" w:type="auto"/>
          <w:jc w:val="center"/>
          <w:tblLayout w:type="fixed"/>
          <w:tblCellMar>
            <w:top w:w="0" w:type="dxa"/>
            <w:left w:w="108" w:type="dxa"/>
            <w:bottom w:w="0" w:type="dxa"/>
            <w:right w:w="108" w:type="dxa"/>
          </w:tblCellMar>
          <w:tblLook w:val="0000"/>
        </w:tblPrEx>
        <w:trPr>
          <w:trHeight w:val="142"/>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火灾</w:t>
            </w:r>
            <w:r>
              <w:rPr>
                <w:rFonts w:hint="eastAsia"/>
                <w:szCs w:val="21"/>
              </w:rPr>
              <w:t>、</w:t>
            </w:r>
            <w:r>
              <w:rPr>
                <w:szCs w:val="21"/>
              </w:rPr>
              <w:t>爆炸</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trHeight w:val="142"/>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机械伤害</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物体打击</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高处坠落</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车辆伤害</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触电</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起重伤害</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淹溺</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坍塌</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中毒和窒息</w:t>
            </w:r>
          </w:p>
        </w:tc>
        <w:tc>
          <w:tcPr>
            <w:tcW w:w="1010" w:type="dxa"/>
            <w:tcBorders>
              <w:top w:val="single" w:sz="6" w:space="0" w:color="auto"/>
              <w:bottom w:val="single" w:sz="6" w:space="0" w:color="auto"/>
            </w:tcBorders>
            <w:vAlign w:val="center"/>
          </w:tcPr>
          <w:p>
            <w:pPr>
              <w:jc w:val="center"/>
              <w:rPr>
                <w:szCs w:val="21"/>
              </w:rPr>
            </w:pPr>
            <w:r>
              <w:rPr>
                <w:szCs w:val="21"/>
              </w:rPr>
              <w:t>—</w:t>
            </w:r>
          </w:p>
        </w:tc>
        <w:tc>
          <w:tcPr>
            <w:tcW w:w="841" w:type="dxa"/>
            <w:tcBorders>
              <w:top w:val="single" w:sz="6" w:space="0" w:color="auto"/>
              <w:bottom w:val="single" w:sz="6" w:space="0" w:color="auto"/>
            </w:tcBorders>
            <w:vAlign w:val="center"/>
          </w:tcPr>
          <w:p>
            <w:pPr>
              <w:jc w:val="center"/>
            </w:pPr>
            <w:r>
              <w:rPr>
                <w:szCs w:val="21"/>
              </w:rPr>
              <w:t>—</w:t>
            </w:r>
          </w:p>
        </w:tc>
        <w:tc>
          <w:tcPr>
            <w:tcW w:w="1170" w:type="dxa"/>
            <w:tcBorders>
              <w:top w:val="single" w:sz="6" w:space="0" w:color="auto"/>
              <w:bottom w:val="single" w:sz="6" w:space="0" w:color="auto"/>
            </w:tcBorders>
            <w:vAlign w:val="center"/>
          </w:tcPr>
          <w:p>
            <w:pPr>
              <w:jc w:val="center"/>
            </w:pPr>
            <w:r>
              <w:rPr>
                <w:szCs w:val="21"/>
              </w:rPr>
              <w:t>—</w:t>
            </w:r>
          </w:p>
        </w:tc>
        <w:tc>
          <w:tcPr>
            <w:tcW w:w="1009" w:type="dxa"/>
            <w:tcBorders>
              <w:top w:val="single" w:sz="6" w:space="0" w:color="auto"/>
              <w:bottom w:val="single" w:sz="6" w:space="0" w:color="auto"/>
            </w:tcBorders>
            <w:vAlign w:val="center"/>
          </w:tcPr>
          <w:p>
            <w:pPr>
              <w:jc w:val="center"/>
            </w:pPr>
            <w:r>
              <w:rPr>
                <w:szCs w:val="21"/>
              </w:rPr>
              <w:t>—</w:t>
            </w:r>
          </w:p>
        </w:tc>
        <w:tc>
          <w:tcPr>
            <w:tcW w:w="1073" w:type="dxa"/>
            <w:tcBorders>
              <w:top w:val="single" w:sz="6" w:space="0" w:color="auto"/>
              <w:bottom w:val="single" w:sz="6" w:space="0" w:color="auto"/>
            </w:tcBorders>
            <w:vAlign w:val="center"/>
          </w:tcPr>
          <w:p>
            <w:pPr>
              <w:jc w:val="center"/>
            </w:pPr>
            <w:r>
              <w:rPr>
                <w:szCs w:val="21"/>
              </w:rPr>
              <w:t>—</w:t>
            </w:r>
          </w:p>
        </w:tc>
        <w:tc>
          <w:tcPr>
            <w:tcW w:w="1279" w:type="dxa"/>
            <w:tcBorders>
              <w:top w:val="single" w:sz="6" w:space="0" w:color="auto"/>
              <w:bottom w:val="single" w:sz="6" w:space="0" w:color="auto"/>
            </w:tcBorders>
          </w:tcPr>
          <w:p>
            <w:pPr>
              <w:spacing w:line="320" w:lineRule="exact"/>
              <w:jc w:val="cente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542" w:type="dxa"/>
            <w:tcBorders>
              <w:top w:val="single" w:sz="6" w:space="0" w:color="auto"/>
              <w:bottom w:val="single" w:sz="6" w:space="0" w:color="auto"/>
            </w:tcBorders>
            <w:vAlign w:val="center"/>
          </w:tcPr>
          <w:p>
            <w:pPr>
              <w:spacing w:line="320" w:lineRule="exact"/>
              <w:jc w:val="center"/>
              <w:rPr>
                <w:szCs w:val="21"/>
              </w:rPr>
            </w:pPr>
            <w:r>
              <w:rPr>
                <w:szCs w:val="21"/>
              </w:rPr>
              <w:t>噪声与振动</w:t>
            </w:r>
          </w:p>
        </w:tc>
        <w:tc>
          <w:tcPr>
            <w:tcW w:w="101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841"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170"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0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73"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279" w:type="dxa"/>
            <w:tcBorders>
              <w:top w:val="single" w:sz="6" w:space="0" w:color="auto"/>
              <w:bottom w:val="single" w:sz="6" w:space="0" w:color="auto"/>
            </w:tcBorders>
            <w:vAlign w:val="center"/>
          </w:tcPr>
          <w:p>
            <w:pPr>
              <w:spacing w:line="320" w:lineRule="exact"/>
              <w:jc w:val="center"/>
              <w:rPr>
                <w:szCs w:val="21"/>
              </w:rPr>
            </w:pPr>
            <w:r>
              <w:rPr>
                <w:szCs w:val="21"/>
              </w:rPr>
              <w:t>—</w:t>
            </w:r>
          </w:p>
        </w:tc>
        <w:tc>
          <w:tcPr>
            <w:tcW w:w="1061" w:type="dxa"/>
            <w:tcBorders>
              <w:top w:val="single" w:sz="6" w:space="0" w:color="auto"/>
              <w:bottom w:val="single" w:sz="6" w:space="0" w:color="auto"/>
            </w:tcBorders>
            <w:vAlign w:val="center"/>
          </w:tcPr>
          <w:p>
            <w:pPr>
              <w:spacing w:line="320" w:lineRule="exact"/>
              <w:jc w:val="center"/>
              <w:rPr>
                <w:szCs w:val="21"/>
              </w:rPr>
            </w:pPr>
            <w:r>
              <w:rPr>
                <w:szCs w:val="21"/>
              </w:rPr>
              <w:t>△</w:t>
            </w:r>
          </w:p>
        </w:tc>
      </w:tr>
    </w:tbl>
    <w:p>
      <w:pPr>
        <w:adjustRightInd w:val="0"/>
        <w:snapToGrid w:val="0"/>
        <w:spacing w:line="360" w:lineRule="auto"/>
        <w:jc w:val="center"/>
        <w:rPr>
          <w:rFonts w:hint="eastAsia"/>
          <w:b/>
          <w:sz w:val="24"/>
        </w:rPr>
      </w:pPr>
    </w:p>
    <w:p>
      <w:pPr>
        <w:adjustRightInd w:val="0"/>
        <w:snapToGrid w:val="0"/>
        <w:spacing w:line="360" w:lineRule="auto"/>
        <w:jc w:val="center"/>
        <w:rPr>
          <w:rFonts w:hint="eastAsia"/>
          <w:b/>
          <w:sz w:val="24"/>
        </w:rPr>
      </w:pPr>
    </w:p>
    <w:p>
      <w:pPr>
        <w:adjustRightInd w:val="0"/>
        <w:snapToGrid w:val="0"/>
        <w:spacing w:line="360" w:lineRule="auto"/>
        <w:jc w:val="center"/>
        <w:rPr>
          <w:b/>
          <w:sz w:val="24"/>
        </w:rPr>
        <w:sectPr>
          <w:headerReference w:type="default" r:id="rId88"/>
          <w:footerReference w:type="default" r:id="rId89"/>
          <w:type w:val="nextPage"/>
          <w:pgSz w:w="11906" w:h="16838"/>
          <w:pgMar w:top="1418" w:right="1418" w:bottom="1361" w:left="1474" w:header="993" w:footer="980" w:gutter="0"/>
          <w:pgNumType w:start="32"/>
          <w:cols w:space="708"/>
          <w:titlePg w:val="0"/>
          <w:docGrid w:type="lines" w:linePitch="312"/>
        </w:sectPr>
      </w:pPr>
    </w:p>
    <w:p>
      <w:pPr>
        <w:pStyle w:val="Heading1"/>
        <w:adjustRightInd w:val="0"/>
        <w:snapToGrid w:val="0"/>
        <w:spacing w:before="0" w:after="0" w:line="360" w:lineRule="auto"/>
        <w:jc w:val="center"/>
        <w:rPr>
          <w:rFonts w:ascii="Times New Roman" w:eastAsia="黑体" w:hAnsi="Times New Roman"/>
          <w:sz w:val="32"/>
          <w:szCs w:val="32"/>
        </w:rPr>
      </w:pPr>
      <w:bookmarkStart w:id="184" w:name="_Toc14347187"/>
      <w:r>
        <w:rPr>
          <w:rFonts w:ascii="Times New Roman" w:eastAsia="黑体" w:hAnsi="Times New Roman"/>
          <w:sz w:val="32"/>
          <w:szCs w:val="32"/>
        </w:rPr>
        <w:t>4总平面布置和建筑设计</w:t>
      </w:r>
      <w:bookmarkEnd w:id="138"/>
      <w:bookmarkEnd w:id="184"/>
    </w:p>
    <w:p>
      <w:pPr>
        <w:pStyle w:val="Heading2"/>
        <w:adjustRightInd w:val="0"/>
        <w:snapToGrid w:val="0"/>
        <w:spacing w:before="0" w:after="0" w:line="360" w:lineRule="auto"/>
        <w:rPr>
          <w:rFonts w:ascii="Times New Roman" w:eastAsia="楷体" w:hAnsi="Times New Roman"/>
        </w:rPr>
      </w:pPr>
      <w:bookmarkStart w:id="185" w:name="_Toc393547609"/>
      <w:bookmarkStart w:id="186" w:name="_Toc14347188"/>
      <w:r>
        <w:rPr>
          <w:rFonts w:ascii="Times New Roman" w:eastAsia="楷体" w:hAnsi="Times New Roman"/>
        </w:rPr>
        <w:t>4.1建设项目与厂/界外设施的主要间距、标准规范符合性及采取的防护措施</w:t>
      </w:r>
      <w:bookmarkEnd w:id="185"/>
      <w:bookmarkEnd w:id="186"/>
    </w:p>
    <w:p>
      <w:pPr>
        <w:adjustRightInd w:val="0"/>
        <w:snapToGrid w:val="0"/>
        <w:spacing w:line="360" w:lineRule="auto"/>
        <w:ind w:firstLine="560" w:firstLineChars="200"/>
        <w:rPr>
          <w:rFonts w:ascii="宋体" w:hAnsi="宋体" w:cs="宋体" w:hint="eastAsia"/>
          <w:sz w:val="28"/>
          <w:szCs w:val="28"/>
        </w:rPr>
      </w:pPr>
      <w:r>
        <w:rPr>
          <w:rFonts w:hint="eastAsia"/>
          <w:sz w:val="28"/>
          <w:szCs w:val="28"/>
        </w:rPr>
        <w:t>该</w:t>
      </w:r>
      <w:r>
        <w:rPr>
          <w:sz w:val="28"/>
          <w:szCs w:val="28"/>
        </w:rPr>
        <w:t>项目</w:t>
      </w:r>
      <w:r>
        <w:rPr>
          <w:rFonts w:hint="eastAsia"/>
          <w:sz w:val="28"/>
          <w:szCs w:val="28"/>
        </w:rPr>
        <w:t>厂址</w:t>
      </w:r>
      <w:r>
        <w:rPr>
          <w:sz w:val="28"/>
          <w:szCs w:val="28"/>
        </w:rPr>
        <w:t>位于</w:t>
      </w:r>
      <w:r>
        <w:rPr>
          <w:rFonts w:hint="eastAsia"/>
          <w:sz w:val="28"/>
          <w:szCs w:val="28"/>
          <w:lang w:eastAsia="zh-CN"/>
        </w:rPr>
        <w:t>XX</w:t>
      </w:r>
      <w:r>
        <w:rPr>
          <w:rFonts w:hint="eastAsia"/>
          <w:sz w:val="28"/>
          <w:szCs w:val="28"/>
        </w:rPr>
        <w:t>市</w:t>
      </w:r>
      <w:r>
        <w:rPr>
          <w:rFonts w:hint="eastAsia"/>
          <w:sz w:val="28"/>
          <w:szCs w:val="28"/>
          <w:lang w:eastAsia="zh-CN"/>
        </w:rPr>
        <w:t>XX</w:t>
      </w:r>
      <w:r>
        <w:rPr>
          <w:rFonts w:hint="eastAsia"/>
          <w:sz w:val="28"/>
          <w:szCs w:val="28"/>
        </w:rPr>
        <w:t>县</w:t>
      </w:r>
      <w:r>
        <w:rPr>
          <w:rFonts w:hint="eastAsia"/>
          <w:sz w:val="28"/>
          <w:szCs w:val="28"/>
          <w:lang w:eastAsia="zh-CN"/>
        </w:rPr>
        <w:t>XX</w:t>
      </w:r>
      <w:r>
        <w:rPr>
          <w:rFonts w:hint="eastAsia"/>
          <w:sz w:val="28"/>
          <w:szCs w:val="28"/>
        </w:rPr>
        <w:t>镇</w:t>
      </w:r>
      <w:r>
        <w:rPr>
          <w:rFonts w:hint="eastAsia"/>
          <w:sz w:val="28"/>
          <w:szCs w:val="28"/>
          <w:lang w:eastAsia="zh-CN"/>
        </w:rPr>
        <w:t>XXXX</w:t>
      </w:r>
      <w:r>
        <w:rPr>
          <w:rFonts w:hint="eastAsia"/>
          <w:sz w:val="28"/>
          <w:szCs w:val="28"/>
        </w:rPr>
        <w:t>66号</w:t>
      </w:r>
      <w:r>
        <w:rPr>
          <w:sz w:val="28"/>
          <w:szCs w:val="28"/>
        </w:rPr>
        <w:t>，厂区</w:t>
      </w:r>
      <w:r>
        <w:rPr>
          <w:rFonts w:ascii="宋体" w:hAnsi="宋体" w:cs="宋体" w:hint="eastAsia"/>
          <w:sz w:val="28"/>
          <w:szCs w:val="28"/>
        </w:rPr>
        <w:t>东侧为农田；北侧为</w:t>
      </w:r>
      <w:r>
        <w:rPr>
          <w:rFonts w:hAnsi="宋体" w:hint="eastAsia"/>
          <w:sz w:val="28"/>
          <w:szCs w:val="28"/>
        </w:rPr>
        <w:t>生物制造公司厂区</w:t>
      </w:r>
      <w:r>
        <w:rPr>
          <w:rFonts w:ascii="宋体" w:hAnsi="宋体" w:cs="宋体" w:hint="eastAsia"/>
          <w:sz w:val="28"/>
          <w:szCs w:val="28"/>
        </w:rPr>
        <w:t>；西侧为桐林木业公司厂房，生产厂房4西侧为</w:t>
      </w:r>
      <w:r>
        <w:rPr>
          <w:rFonts w:ascii="宋体" w:hAnsi="宋体" w:cs="宋体" w:hint="eastAsia"/>
          <w:sz w:val="28"/>
          <w:szCs w:val="28"/>
          <w:lang w:eastAsia="zh-CN"/>
        </w:rPr>
        <w:t>XX</w:t>
      </w:r>
      <w:r>
        <w:rPr>
          <w:rFonts w:ascii="宋体" w:hAnsi="宋体" w:cs="宋体" w:hint="eastAsia"/>
          <w:sz w:val="28"/>
          <w:szCs w:val="28"/>
        </w:rPr>
        <w:t>鑫峰池机电设备有限公司厂房；南侧为</w:t>
      </w:r>
      <w:r>
        <w:rPr>
          <w:rFonts w:ascii="宋体" w:hAnsi="宋体" w:cs="宋体" w:hint="eastAsia"/>
          <w:sz w:val="28"/>
          <w:szCs w:val="28"/>
          <w:lang w:eastAsia="zh-CN"/>
        </w:rPr>
        <w:t>XX</w:t>
      </w:r>
      <w:r>
        <w:rPr>
          <w:rFonts w:ascii="宋体" w:hAnsi="宋体" w:cs="宋体" w:hint="eastAsia"/>
          <w:sz w:val="28"/>
          <w:szCs w:val="28"/>
        </w:rPr>
        <w:t>村间道路，道路南侧为民房，南侧围墙距离210国道约200m。</w:t>
      </w:r>
    </w:p>
    <w:p>
      <w:pPr>
        <w:adjustRightInd w:val="0"/>
        <w:snapToGrid w:val="0"/>
        <w:spacing w:line="360" w:lineRule="auto"/>
        <w:jc w:val="center"/>
        <w:rPr>
          <w:rFonts w:ascii="宋体" w:hAnsi="宋体" w:cs="宋体" w:hint="eastAsia"/>
          <w:sz w:val="28"/>
          <w:szCs w:val="28"/>
        </w:rPr>
      </w:pPr>
      <w:r>
        <w:rPr>
          <w:rFonts w:ascii="宋体" w:hAnsi="宋体" w:cs="宋体" w:hint="eastAsia"/>
          <w:sz w:val="28"/>
          <w:szCs w:val="28"/>
        </w:rPr>
        <w:t>表4.1.1项目周边四邻情况表</w:t>
      </w:r>
    </w:p>
    <w:tbl>
      <w:tblPr>
        <w:tblStyle w:val="TableNormal"/>
        <w:tblW w:w="912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
      <w:tblGrid>
        <w:gridCol w:w="718"/>
        <w:gridCol w:w="682"/>
        <w:gridCol w:w="1772"/>
        <w:gridCol w:w="1276"/>
        <w:gridCol w:w="2213"/>
        <w:gridCol w:w="1314"/>
        <w:gridCol w:w="1145"/>
      </w:tblGrid>
      <w:tr>
        <w:tblPrEx>
          <w:tblW w:w="912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Ex>
        <w:trPr>
          <w:cantSplit/>
          <w:trHeight w:val="646"/>
          <w:jc w:val="center"/>
        </w:trPr>
        <w:tc>
          <w:tcPr>
            <w:tcW w:w="718" w:type="dxa"/>
            <w:tcBorders>
              <w:top w:val="single" w:sz="4" w:space="0" w:color="auto"/>
              <w:left w:val="single" w:sz="4"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序号</w:t>
            </w:r>
          </w:p>
        </w:tc>
        <w:tc>
          <w:tcPr>
            <w:tcW w:w="682" w:type="dxa"/>
            <w:tcBorders>
              <w:top w:val="single" w:sz="4" w:space="0" w:color="auto"/>
              <w:left w:val="single" w:sz="6"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方位</w:t>
            </w:r>
          </w:p>
        </w:tc>
        <w:tc>
          <w:tcPr>
            <w:tcW w:w="1772" w:type="dxa"/>
            <w:tcBorders>
              <w:top w:val="single" w:sz="4"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周边建(构)筑物名称</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规范要求距离(m)</w:t>
            </w:r>
          </w:p>
        </w:tc>
        <w:tc>
          <w:tcPr>
            <w:tcW w:w="2213"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依据规范及条款</w:t>
            </w:r>
          </w:p>
        </w:tc>
        <w:tc>
          <w:tcPr>
            <w:tcW w:w="1314"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实际距离(m)</w:t>
            </w:r>
          </w:p>
        </w:tc>
        <w:tc>
          <w:tcPr>
            <w:tcW w:w="1145"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是否符合要求</w:t>
            </w:r>
          </w:p>
        </w:tc>
      </w:tr>
      <w:tr>
        <w:tblPrEx>
          <w:tblW w:w="9120" w:type="dxa"/>
          <w:jc w:val="center"/>
          <w:tblLayout w:type="fixed"/>
          <w:tblCellMar>
            <w:top w:w="0" w:type="dxa"/>
            <w:left w:w="85" w:type="dxa"/>
            <w:bottom w:w="0" w:type="dxa"/>
            <w:right w:w="85" w:type="dxa"/>
          </w:tblCellMar>
          <w:tblLook w:val="0000"/>
        </w:tblPrEx>
        <w:trPr>
          <w:cantSplit/>
          <w:trHeight w:val="694"/>
          <w:jc w:val="center"/>
        </w:trPr>
        <w:tc>
          <w:tcPr>
            <w:tcW w:w="718" w:type="dxa"/>
            <w:tcBorders>
              <w:top w:val="single" w:sz="4" w:space="0" w:color="auto"/>
              <w:left w:val="single" w:sz="4"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1</w:t>
            </w:r>
          </w:p>
        </w:tc>
        <w:tc>
          <w:tcPr>
            <w:tcW w:w="682" w:type="dxa"/>
            <w:tcBorders>
              <w:top w:val="single" w:sz="4" w:space="0" w:color="auto"/>
              <w:left w:val="single" w:sz="6"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东</w:t>
            </w:r>
          </w:p>
        </w:tc>
        <w:tc>
          <w:tcPr>
            <w:tcW w:w="1772" w:type="dxa"/>
            <w:tcBorders>
              <w:top w:val="single" w:sz="4"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农田</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w:t>
            </w:r>
          </w:p>
        </w:tc>
        <w:tc>
          <w:tcPr>
            <w:tcW w:w="2213"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《建筑设计防火规范》第3.4.1条</w:t>
            </w:r>
          </w:p>
        </w:tc>
        <w:tc>
          <w:tcPr>
            <w:tcW w:w="1314"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w:t>
            </w:r>
          </w:p>
        </w:tc>
        <w:tc>
          <w:tcPr>
            <w:tcW w:w="1145"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w:t>
            </w:r>
          </w:p>
        </w:tc>
      </w:tr>
      <w:tr>
        <w:tblPrEx>
          <w:tblW w:w="9120" w:type="dxa"/>
          <w:jc w:val="center"/>
          <w:tblLayout w:type="fixed"/>
          <w:tblCellMar>
            <w:top w:w="0" w:type="dxa"/>
            <w:left w:w="85" w:type="dxa"/>
            <w:bottom w:w="0" w:type="dxa"/>
            <w:right w:w="85" w:type="dxa"/>
          </w:tblCellMar>
          <w:tblLook w:val="0000"/>
        </w:tblPrEx>
        <w:trPr>
          <w:cantSplit/>
          <w:trHeight w:val="519"/>
          <w:jc w:val="center"/>
        </w:trPr>
        <w:tc>
          <w:tcPr>
            <w:tcW w:w="718" w:type="dxa"/>
            <w:tcBorders>
              <w:top w:val="single" w:sz="4" w:space="0" w:color="auto"/>
              <w:left w:val="single" w:sz="4"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2</w:t>
            </w:r>
          </w:p>
        </w:tc>
        <w:tc>
          <w:tcPr>
            <w:tcW w:w="682" w:type="dxa"/>
            <w:tcBorders>
              <w:top w:val="single" w:sz="4" w:space="0" w:color="auto"/>
              <w:left w:val="single" w:sz="6"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南</w:t>
            </w:r>
          </w:p>
        </w:tc>
        <w:tc>
          <w:tcPr>
            <w:tcW w:w="1772" w:type="dxa"/>
            <w:tcBorders>
              <w:top w:val="single" w:sz="4"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村道</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w:t>
            </w:r>
          </w:p>
        </w:tc>
        <w:tc>
          <w:tcPr>
            <w:tcW w:w="2213"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《建筑设计防火规范》第3.4.1条</w:t>
            </w:r>
          </w:p>
        </w:tc>
        <w:tc>
          <w:tcPr>
            <w:tcW w:w="1314"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w:t>
            </w:r>
          </w:p>
        </w:tc>
        <w:tc>
          <w:tcPr>
            <w:tcW w:w="1145" w:type="dxa"/>
            <w:tcBorders>
              <w:top w:val="single" w:sz="4"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w:t>
            </w:r>
          </w:p>
        </w:tc>
      </w:tr>
      <w:tr>
        <w:tblPrEx>
          <w:tblW w:w="9120" w:type="dxa"/>
          <w:jc w:val="center"/>
          <w:tblLayout w:type="fixed"/>
          <w:tblCellMar>
            <w:top w:w="0" w:type="dxa"/>
            <w:left w:w="85" w:type="dxa"/>
            <w:bottom w:w="0" w:type="dxa"/>
            <w:right w:w="85" w:type="dxa"/>
          </w:tblCellMar>
          <w:tblLook w:val="0000"/>
        </w:tblPrEx>
        <w:trPr>
          <w:cantSplit/>
          <w:trHeight w:val="835"/>
          <w:jc w:val="center"/>
        </w:trPr>
        <w:tc>
          <w:tcPr>
            <w:tcW w:w="718" w:type="dxa"/>
            <w:tcBorders>
              <w:top w:val="single" w:sz="4" w:space="0" w:color="auto"/>
              <w:left w:val="single" w:sz="4" w:space="0" w:color="auto"/>
              <w:bottom w:val="single" w:sz="6" w:space="0" w:color="auto"/>
              <w:right w:val="single" w:sz="6" w:space="0" w:color="auto"/>
            </w:tcBorders>
            <w:vAlign w:val="center"/>
          </w:tcPr>
          <w:p>
            <w:pPr>
              <w:widowControl/>
              <w:jc w:val="left"/>
              <w:rPr>
                <w:rFonts w:ascii="宋体" w:hAnsi="宋体"/>
                <w:szCs w:val="21"/>
              </w:rPr>
            </w:pPr>
          </w:p>
        </w:tc>
        <w:tc>
          <w:tcPr>
            <w:tcW w:w="682" w:type="dxa"/>
            <w:tcBorders>
              <w:top w:val="single" w:sz="6" w:space="0" w:color="auto"/>
              <w:left w:val="single" w:sz="6"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西</w:t>
            </w:r>
          </w:p>
        </w:tc>
        <w:tc>
          <w:tcPr>
            <w:tcW w:w="1772" w:type="dxa"/>
            <w:tcBorders>
              <w:top w:val="single" w:sz="6"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桐林木业厂区（丙类厂房）</w:t>
            </w:r>
          </w:p>
        </w:tc>
        <w:tc>
          <w:tcPr>
            <w:tcW w:w="1276" w:type="dxa"/>
            <w:tcBorders>
              <w:top w:val="single" w:sz="6"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7.5</w:t>
            </w:r>
          </w:p>
        </w:tc>
        <w:tc>
          <w:tcPr>
            <w:tcW w:w="2213" w:type="dxa"/>
            <w:tcBorders>
              <w:top w:val="single" w:sz="6"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《建筑设计防火规范》第3.4.1条</w:t>
            </w:r>
          </w:p>
        </w:tc>
        <w:tc>
          <w:tcPr>
            <w:tcW w:w="1314" w:type="dxa"/>
            <w:tcBorders>
              <w:top w:val="single" w:sz="6"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10.9</w:t>
            </w:r>
          </w:p>
        </w:tc>
        <w:tc>
          <w:tcPr>
            <w:tcW w:w="1145" w:type="dxa"/>
            <w:tcBorders>
              <w:top w:val="single" w:sz="6"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符合</w:t>
            </w:r>
          </w:p>
        </w:tc>
      </w:tr>
      <w:tr>
        <w:tblPrEx>
          <w:tblW w:w="9120" w:type="dxa"/>
          <w:jc w:val="center"/>
          <w:tblLayout w:type="fixed"/>
          <w:tblCellMar>
            <w:top w:w="0" w:type="dxa"/>
            <w:left w:w="85" w:type="dxa"/>
            <w:bottom w:w="0" w:type="dxa"/>
            <w:right w:w="85" w:type="dxa"/>
          </w:tblCellMar>
          <w:tblLook w:val="0000"/>
        </w:tblPrEx>
        <w:trPr>
          <w:cantSplit/>
          <w:trHeight w:val="739"/>
          <w:jc w:val="center"/>
        </w:trPr>
        <w:tc>
          <w:tcPr>
            <w:tcW w:w="718" w:type="dxa"/>
            <w:tcBorders>
              <w:top w:val="single" w:sz="6" w:space="0" w:color="auto"/>
              <w:left w:val="single" w:sz="4"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4</w:t>
            </w:r>
          </w:p>
        </w:tc>
        <w:tc>
          <w:tcPr>
            <w:tcW w:w="682" w:type="dxa"/>
            <w:tcBorders>
              <w:top w:val="single" w:sz="6" w:space="0" w:color="auto"/>
              <w:left w:val="single" w:sz="6" w:space="0" w:color="auto"/>
              <w:bottom w:val="single" w:sz="6" w:space="0" w:color="auto"/>
              <w:right w:val="single" w:sz="6" w:space="0" w:color="auto"/>
            </w:tcBorders>
            <w:vAlign w:val="center"/>
          </w:tcPr>
          <w:p>
            <w:pPr>
              <w:jc w:val="center"/>
              <w:rPr>
                <w:rFonts w:ascii="宋体" w:hAnsi="宋体"/>
                <w:szCs w:val="21"/>
              </w:rPr>
            </w:pPr>
            <w:r>
              <w:rPr>
                <w:rFonts w:ascii="宋体" w:hAnsi="宋体" w:hint="eastAsia"/>
                <w:szCs w:val="21"/>
              </w:rPr>
              <w:t>北</w:t>
            </w:r>
          </w:p>
        </w:tc>
        <w:tc>
          <w:tcPr>
            <w:tcW w:w="1772" w:type="dxa"/>
            <w:tcBorders>
              <w:top w:val="single" w:sz="6"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生物科技公司（丙类厂房）</w:t>
            </w:r>
          </w:p>
        </w:tc>
        <w:tc>
          <w:tcPr>
            <w:tcW w:w="1276" w:type="dxa"/>
            <w:tcBorders>
              <w:top w:val="single" w:sz="6"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防火墙间距不限</w:t>
            </w:r>
          </w:p>
        </w:tc>
        <w:tc>
          <w:tcPr>
            <w:tcW w:w="2213" w:type="dxa"/>
            <w:tcBorders>
              <w:top w:val="single" w:sz="6" w:space="0" w:color="auto"/>
              <w:left w:val="single" w:sz="6"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《建筑设计防火规范》第3.4.1条</w:t>
            </w:r>
          </w:p>
        </w:tc>
        <w:tc>
          <w:tcPr>
            <w:tcW w:w="1314" w:type="dxa"/>
            <w:tcBorders>
              <w:top w:val="single" w:sz="6"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w:t>
            </w:r>
          </w:p>
        </w:tc>
        <w:tc>
          <w:tcPr>
            <w:tcW w:w="1145" w:type="dxa"/>
            <w:tcBorders>
              <w:top w:val="single" w:sz="6" w:space="0" w:color="auto"/>
              <w:left w:val="single" w:sz="4" w:space="0" w:color="auto"/>
              <w:bottom w:val="single" w:sz="6" w:space="0" w:color="auto"/>
              <w:right w:val="single" w:sz="4" w:space="0" w:color="auto"/>
            </w:tcBorders>
            <w:vAlign w:val="center"/>
          </w:tcPr>
          <w:p>
            <w:pPr>
              <w:jc w:val="center"/>
              <w:rPr>
                <w:rFonts w:ascii="宋体" w:hAnsi="宋体"/>
                <w:szCs w:val="21"/>
              </w:rPr>
            </w:pPr>
            <w:r>
              <w:rPr>
                <w:rFonts w:ascii="宋体" w:hAnsi="宋体" w:hint="eastAsia"/>
                <w:szCs w:val="21"/>
              </w:rPr>
              <w:t>符合</w:t>
            </w:r>
          </w:p>
        </w:tc>
      </w:tr>
    </w:tbl>
    <w:p>
      <w:pPr>
        <w:adjustRightInd w:val="0"/>
        <w:snapToGrid w:val="0"/>
        <w:spacing w:line="360" w:lineRule="auto"/>
        <w:ind w:firstLine="420" w:firstLineChars="200"/>
        <w:rPr>
          <w:sz w:val="28"/>
          <w:szCs w:val="28"/>
        </w:rPr>
      </w:pPr>
      <w:r>
        <w:rPr>
          <w:rFonts w:hint="eastAsia"/>
          <w:szCs w:val="21"/>
        </w:rPr>
        <w:t>注：本表北侧、西侧为丙类厂房，该厂房与本企业相邻的丙类厂房之间根据《建筑设计防火规范》第</w:t>
      </w:r>
      <w:r>
        <w:rPr>
          <w:szCs w:val="21"/>
        </w:rPr>
        <w:t>3.4.1</w:t>
      </w:r>
      <w:r>
        <w:rPr>
          <w:rFonts w:hint="eastAsia"/>
          <w:szCs w:val="21"/>
        </w:rPr>
        <w:t>条注</w:t>
      </w:r>
      <w:r>
        <w:rPr>
          <w:szCs w:val="21"/>
        </w:rPr>
        <w:t>2</w:t>
      </w:r>
      <w:r>
        <w:rPr>
          <w:rFonts w:hint="eastAsia"/>
          <w:szCs w:val="21"/>
        </w:rPr>
        <w:t>可知</w:t>
      </w:r>
      <w:r>
        <w:rPr>
          <w:rFonts w:hint="eastAsia"/>
          <w:szCs w:val="21"/>
        </w:rPr>
        <w:t>“</w:t>
      </w:r>
      <w:r>
        <w:rPr>
          <w:rFonts w:hint="eastAsia"/>
          <w:szCs w:val="21"/>
        </w:rPr>
        <w:t>两座厂房相邻较高一面外墙为防火墙，或相邻两座高度相同的一、二级耐火等级建筑中相邻任一侧为防火墙且屋顶的耐火极限不低于</w:t>
      </w:r>
      <w:r>
        <w:rPr>
          <w:szCs w:val="21"/>
        </w:rPr>
        <w:t>1h</w:t>
      </w:r>
      <w:r>
        <w:rPr>
          <w:rFonts w:hint="eastAsia"/>
          <w:szCs w:val="21"/>
        </w:rPr>
        <w:t>时，其防火间距不限</w:t>
      </w:r>
      <w:r>
        <w:rPr>
          <w:rFonts w:hint="eastAsia"/>
          <w:szCs w:val="21"/>
        </w:rPr>
        <w:t>”</w:t>
      </w:r>
      <w:r>
        <w:rPr>
          <w:rFonts w:hint="eastAsia"/>
          <w:szCs w:val="21"/>
        </w:rPr>
        <w:t>。两座丙、丁、戊类厂房相邻两面外墙为不燃性墙体，当无外露得可燃性屋檐，每面外墙上得门、窗、洞口面积之和各不大于5%，且门、窗、洞门不正对开设时，其防火间距可按本表的规定减少25%。</w:t>
      </w:r>
    </w:p>
    <w:p>
      <w:pPr>
        <w:pStyle w:val="Heading2"/>
        <w:adjustRightInd w:val="0"/>
        <w:snapToGrid w:val="0"/>
        <w:spacing w:before="0" w:after="0" w:line="360" w:lineRule="auto"/>
        <w:rPr>
          <w:rFonts w:ascii="Times New Roman" w:eastAsia="楷体" w:hAnsi="Times New Roman"/>
        </w:rPr>
      </w:pPr>
      <w:bookmarkStart w:id="187" w:name="_Toc393547610"/>
      <w:bookmarkStart w:id="188" w:name="_Toc14347189"/>
      <w:r>
        <w:rPr>
          <w:rFonts w:ascii="Times New Roman" w:eastAsia="楷体" w:hAnsi="Times New Roman"/>
        </w:rPr>
        <w:t>4.2全厂及装置（设施）平面及竖向布置</w:t>
      </w:r>
      <w:bookmarkEnd w:id="187"/>
      <w:bookmarkEnd w:id="188"/>
    </w:p>
    <w:p>
      <w:pPr>
        <w:adjustRightInd w:val="0"/>
        <w:snapToGrid w:val="0"/>
        <w:spacing w:line="348" w:lineRule="auto"/>
        <w:ind w:firstLine="560" w:firstLineChars="200"/>
        <w:jc w:val="left"/>
        <w:rPr>
          <w:rFonts w:hint="eastAsia"/>
          <w:snapToGrid w:val="0"/>
          <w:sz w:val="28"/>
          <w:szCs w:val="28"/>
        </w:rPr>
      </w:pPr>
      <w:r>
        <w:rPr>
          <w:snapToGrid w:val="0"/>
          <w:sz w:val="28"/>
          <w:szCs w:val="28"/>
        </w:rPr>
        <w:t>根据本项目产品方案及生产规模、场地现状，本着合理利用土地资源的原则，场地平面大致呈矩形，</w:t>
      </w:r>
      <w:r>
        <w:rPr>
          <w:rFonts w:ascii="宋体" w:hAnsi="宋体" w:cs="宋体" w:hint="eastAsia"/>
          <w:bCs/>
          <w:sz w:val="28"/>
          <w:szCs w:val="28"/>
          <w:lang w:val="zh-CN"/>
        </w:rPr>
        <w:t>厂区东侧布置从北向</w:t>
      </w:r>
      <w:r>
        <w:rPr>
          <w:rFonts w:ascii="宋体" w:hAnsi="宋体" w:cs="宋体" w:hint="eastAsia"/>
          <w:bCs/>
          <w:sz w:val="28"/>
          <w:szCs w:val="28"/>
        </w:rPr>
        <w:t>南</w:t>
      </w:r>
      <w:r>
        <w:rPr>
          <w:rFonts w:ascii="宋体" w:hAnsi="宋体" w:cs="宋体" w:hint="eastAsia"/>
          <w:bCs/>
          <w:sz w:val="28"/>
          <w:szCs w:val="28"/>
          <w:lang w:val="zh-CN"/>
        </w:rPr>
        <w:t>依次为改建办公楼、1#生产车间、2#生产车间、成品库、原料库、2#生产车间、总经理办公室、车棚、门房，厂区辅助设施从西向东布置有门卫、车棚，从北向南一次为配件库房、洗澡间和职工餐厅</w:t>
      </w:r>
      <w:r>
        <w:rPr>
          <w:snapToGrid w:val="0"/>
          <w:sz w:val="28"/>
          <w:szCs w:val="28"/>
        </w:rPr>
        <w:t>。</w:t>
      </w:r>
    </w:p>
    <w:p>
      <w:pPr>
        <w:adjustRightInd w:val="0"/>
        <w:snapToGrid w:val="0"/>
        <w:spacing w:line="348" w:lineRule="auto"/>
        <w:ind w:firstLine="560" w:firstLineChars="200"/>
        <w:jc w:val="left"/>
        <w:rPr>
          <w:rFonts w:hint="eastAsia"/>
          <w:sz w:val="28"/>
          <w:szCs w:val="28"/>
        </w:rPr>
        <w:sectPr>
          <w:headerReference w:type="default" r:id="rId90"/>
          <w:footerReference w:type="default" r:id="rId91"/>
          <w:type w:val="nextPage"/>
          <w:pgSz w:w="11906" w:h="16838"/>
          <w:pgMar w:top="1418" w:right="1418" w:bottom="1361" w:left="1474" w:header="993" w:footer="980" w:gutter="0"/>
          <w:pgNumType w:start="33"/>
          <w:cols w:space="708"/>
          <w:titlePg w:val="0"/>
          <w:docGrid w:type="lines" w:linePitch="312"/>
        </w:sectPr>
      </w:pPr>
      <w:r>
        <w:rPr>
          <w:rFonts w:hint="eastAsia"/>
          <w:sz w:val="28"/>
          <w:szCs w:val="28"/>
        </w:rPr>
        <w:t>其中</w:t>
      </w:r>
      <w:r>
        <w:rPr>
          <w:sz w:val="28"/>
          <w:szCs w:val="28"/>
        </w:rPr>
        <w:t>1#</w:t>
      </w:r>
      <w:r>
        <w:rPr>
          <w:rFonts w:hint="eastAsia"/>
          <w:sz w:val="28"/>
          <w:szCs w:val="28"/>
        </w:rPr>
        <w:t>生产车间建筑面积</w:t>
      </w:r>
      <w:r>
        <w:rPr>
          <w:sz w:val="28"/>
          <w:szCs w:val="28"/>
        </w:rPr>
        <w:t>700</w:t>
      </w:r>
      <w:r>
        <w:rPr>
          <w:rFonts w:hint="eastAsia"/>
          <w:sz w:val="28"/>
          <w:szCs w:val="28"/>
        </w:rPr>
        <w:t>m</w:t>
      </w:r>
      <w:r>
        <w:rPr>
          <w:rFonts w:hint="eastAsia"/>
          <w:sz w:val="28"/>
          <w:szCs w:val="28"/>
          <w:vertAlign w:val="superscript"/>
        </w:rPr>
        <w:t>2</w:t>
      </w:r>
      <w:r>
        <w:rPr>
          <w:rFonts w:hint="eastAsia"/>
          <w:sz w:val="28"/>
          <w:szCs w:val="28"/>
        </w:rPr>
        <w:t>，主要工艺为下料</w:t>
      </w:r>
      <w:r>
        <w:rPr>
          <w:sz w:val="28"/>
          <w:szCs w:val="28"/>
        </w:rPr>
        <w:t>-</w:t>
      </w:r>
      <w:r>
        <w:rPr>
          <w:rFonts w:hint="eastAsia"/>
          <w:sz w:val="28"/>
          <w:szCs w:val="28"/>
        </w:rPr>
        <w:t>封边</w:t>
      </w:r>
      <w:r>
        <w:rPr>
          <w:sz w:val="28"/>
          <w:szCs w:val="28"/>
        </w:rPr>
        <w:t>-</w:t>
      </w:r>
      <w:r>
        <w:rPr>
          <w:rFonts w:hint="eastAsia"/>
          <w:sz w:val="28"/>
          <w:szCs w:val="28"/>
        </w:rPr>
        <w:t>开孔</w:t>
      </w:r>
      <w:r>
        <w:rPr>
          <w:sz w:val="28"/>
          <w:szCs w:val="28"/>
        </w:rPr>
        <w:t>-</w:t>
      </w:r>
      <w:r>
        <w:rPr>
          <w:rFonts w:hint="eastAsia"/>
          <w:sz w:val="28"/>
          <w:szCs w:val="28"/>
        </w:rPr>
        <w:t>试拼装</w:t>
      </w:r>
      <w:r>
        <w:rPr>
          <w:sz w:val="28"/>
          <w:szCs w:val="28"/>
        </w:rPr>
        <w:t>-</w:t>
      </w:r>
    </w:p>
    <w:p>
      <w:pPr>
        <w:adjustRightInd w:val="0"/>
        <w:snapToGrid w:val="0"/>
        <w:spacing w:line="348" w:lineRule="auto"/>
        <w:ind w:firstLine="560" w:firstLineChars="200"/>
        <w:jc w:val="left"/>
        <w:rPr>
          <w:rFonts w:hint="eastAsia"/>
          <w:sz w:val="28"/>
          <w:szCs w:val="28"/>
        </w:rPr>
      </w:pPr>
      <w:r>
        <w:rPr>
          <w:rFonts w:hint="eastAsia"/>
          <w:sz w:val="28"/>
          <w:szCs w:val="28"/>
        </w:rPr>
        <w:t>包装，车间高度为</w:t>
      </w:r>
      <w:r>
        <w:rPr>
          <w:sz w:val="28"/>
          <w:szCs w:val="28"/>
        </w:rPr>
        <w:t>8m</w:t>
      </w:r>
      <w:r>
        <w:rPr>
          <w:rFonts w:hint="eastAsia"/>
          <w:sz w:val="28"/>
          <w:szCs w:val="28"/>
        </w:rPr>
        <w:t>；</w:t>
      </w:r>
      <w:r>
        <w:rPr>
          <w:snapToGrid w:val="0"/>
          <w:sz w:val="28"/>
          <w:szCs w:val="28"/>
        </w:rPr>
        <w:t>2#</w:t>
      </w:r>
      <w:r>
        <w:rPr>
          <w:rFonts w:hint="eastAsia"/>
          <w:snapToGrid w:val="0"/>
          <w:sz w:val="28"/>
          <w:szCs w:val="28"/>
        </w:rPr>
        <w:t>生产车间建筑面积</w:t>
      </w:r>
      <w:r>
        <w:rPr>
          <w:snapToGrid w:val="0"/>
          <w:sz w:val="28"/>
          <w:szCs w:val="28"/>
        </w:rPr>
        <w:t>5520</w:t>
      </w:r>
      <w:r>
        <w:rPr>
          <w:rFonts w:hint="eastAsia"/>
          <w:sz w:val="28"/>
          <w:szCs w:val="28"/>
        </w:rPr>
        <w:t>m</w:t>
      </w:r>
      <w:r>
        <w:rPr>
          <w:rFonts w:hint="eastAsia"/>
          <w:sz w:val="28"/>
          <w:szCs w:val="28"/>
          <w:vertAlign w:val="superscript"/>
        </w:rPr>
        <w:t>2</w:t>
      </w:r>
      <w:r>
        <w:rPr>
          <w:rFonts w:hint="eastAsia"/>
          <w:snapToGrid w:val="0"/>
          <w:sz w:val="28"/>
          <w:szCs w:val="28"/>
        </w:rPr>
        <w:t>（</w:t>
      </w:r>
      <w:r>
        <w:rPr>
          <w:snapToGrid w:val="0"/>
          <w:sz w:val="28"/>
          <w:szCs w:val="28"/>
        </w:rPr>
        <w:t>1F</w:t>
      </w:r>
      <w:r>
        <w:rPr>
          <w:rFonts w:hint="eastAsia"/>
          <w:snapToGrid w:val="0"/>
          <w:sz w:val="28"/>
          <w:szCs w:val="28"/>
        </w:rPr>
        <w:t>）；主要生产工艺为下料雕刻、铣边</w:t>
      </w:r>
      <w:r>
        <w:rPr>
          <w:snapToGrid w:val="0"/>
          <w:sz w:val="28"/>
          <w:szCs w:val="28"/>
        </w:rPr>
        <w:t>-</w:t>
      </w:r>
      <w:r>
        <w:rPr>
          <w:rFonts w:hint="eastAsia"/>
          <w:snapToGrid w:val="0"/>
          <w:sz w:val="28"/>
          <w:szCs w:val="28"/>
        </w:rPr>
        <w:t>开孔</w:t>
      </w:r>
      <w:r>
        <w:rPr>
          <w:snapToGrid w:val="0"/>
          <w:sz w:val="28"/>
          <w:szCs w:val="28"/>
        </w:rPr>
        <w:t>-</w:t>
      </w:r>
      <w:r>
        <w:rPr>
          <w:rFonts w:hint="eastAsia"/>
          <w:snapToGrid w:val="0"/>
          <w:sz w:val="28"/>
          <w:szCs w:val="28"/>
        </w:rPr>
        <w:t>砂光</w:t>
      </w:r>
      <w:r>
        <w:rPr>
          <w:snapToGrid w:val="0"/>
          <w:sz w:val="28"/>
          <w:szCs w:val="28"/>
        </w:rPr>
        <w:t>-</w:t>
      </w:r>
      <w:r>
        <w:rPr>
          <w:rFonts w:hint="eastAsia"/>
          <w:snapToGrid w:val="0"/>
          <w:sz w:val="28"/>
          <w:szCs w:val="28"/>
        </w:rPr>
        <w:t>喷胶</w:t>
      </w:r>
      <w:r>
        <w:rPr>
          <w:snapToGrid w:val="0"/>
          <w:sz w:val="28"/>
          <w:szCs w:val="28"/>
        </w:rPr>
        <w:t>-</w:t>
      </w:r>
      <w:r>
        <w:rPr>
          <w:rFonts w:hint="eastAsia"/>
          <w:snapToGrid w:val="0"/>
          <w:sz w:val="28"/>
          <w:szCs w:val="28"/>
        </w:rPr>
        <w:t>吸塑</w:t>
      </w:r>
      <w:r>
        <w:rPr>
          <w:snapToGrid w:val="0"/>
          <w:sz w:val="28"/>
          <w:szCs w:val="28"/>
        </w:rPr>
        <w:t>-</w:t>
      </w:r>
      <w:r>
        <w:rPr>
          <w:rFonts w:hint="eastAsia"/>
          <w:snapToGrid w:val="0"/>
          <w:sz w:val="28"/>
          <w:szCs w:val="28"/>
        </w:rPr>
        <w:t>修剪</w:t>
      </w:r>
      <w:r>
        <w:rPr>
          <w:snapToGrid w:val="0"/>
          <w:sz w:val="28"/>
          <w:szCs w:val="28"/>
        </w:rPr>
        <w:t>-</w:t>
      </w:r>
      <w:r>
        <w:rPr>
          <w:rFonts w:hint="eastAsia"/>
          <w:snapToGrid w:val="0"/>
          <w:sz w:val="28"/>
          <w:szCs w:val="28"/>
        </w:rPr>
        <w:t>包装；车间高度为</w:t>
      </w:r>
      <w:r>
        <w:rPr>
          <w:snapToGrid w:val="0"/>
          <w:sz w:val="28"/>
          <w:szCs w:val="28"/>
        </w:rPr>
        <w:t>8m</w:t>
      </w:r>
      <w:r>
        <w:rPr>
          <w:rFonts w:hint="eastAsia"/>
          <w:snapToGrid w:val="0"/>
          <w:sz w:val="28"/>
          <w:szCs w:val="28"/>
        </w:rPr>
        <w:t>。</w:t>
      </w:r>
      <w:r>
        <w:rPr>
          <w:snapToGrid w:val="0"/>
          <w:sz w:val="28"/>
          <w:szCs w:val="28"/>
        </w:rPr>
        <w:t>2#</w:t>
      </w:r>
      <w:r>
        <w:rPr>
          <w:rFonts w:hint="eastAsia"/>
          <w:snapToGrid w:val="0"/>
          <w:sz w:val="28"/>
          <w:szCs w:val="28"/>
        </w:rPr>
        <w:t>生产车间根据使用功能不同，共设置</w:t>
      </w:r>
      <w:r>
        <w:rPr>
          <w:snapToGrid w:val="0"/>
          <w:sz w:val="28"/>
          <w:szCs w:val="28"/>
        </w:rPr>
        <w:t>3</w:t>
      </w:r>
      <w:r>
        <w:rPr>
          <w:rFonts w:hint="eastAsia"/>
          <w:snapToGrid w:val="0"/>
          <w:sz w:val="28"/>
          <w:szCs w:val="28"/>
        </w:rPr>
        <w:t>个生产区，其中南侧生产区的面积为1920</w:t>
      </w:r>
      <w:r>
        <w:rPr>
          <w:rFonts w:hint="eastAsia"/>
          <w:sz w:val="28"/>
          <w:szCs w:val="28"/>
        </w:rPr>
        <w:t>m</w:t>
      </w:r>
      <w:r>
        <w:rPr>
          <w:rFonts w:hint="eastAsia"/>
          <w:sz w:val="28"/>
          <w:szCs w:val="28"/>
          <w:vertAlign w:val="superscript"/>
        </w:rPr>
        <w:t>2</w:t>
      </w:r>
      <w:r>
        <w:rPr>
          <w:rFonts w:hint="eastAsia"/>
          <w:snapToGrid w:val="0"/>
          <w:sz w:val="28"/>
          <w:szCs w:val="28"/>
        </w:rPr>
        <w:t>，北侧生产区的面积为2880</w:t>
      </w:r>
      <w:r>
        <w:rPr>
          <w:rFonts w:hint="eastAsia"/>
          <w:sz w:val="28"/>
          <w:szCs w:val="28"/>
        </w:rPr>
        <w:t>m</w:t>
      </w:r>
      <w:r>
        <w:rPr>
          <w:rFonts w:hint="eastAsia"/>
          <w:sz w:val="28"/>
          <w:szCs w:val="28"/>
          <w:vertAlign w:val="superscript"/>
        </w:rPr>
        <w:t>2</w:t>
      </w:r>
      <w:r>
        <w:rPr>
          <w:rFonts w:hint="eastAsia"/>
          <w:snapToGrid w:val="0"/>
          <w:sz w:val="28"/>
          <w:szCs w:val="28"/>
        </w:rPr>
        <w:t>，中间仓库的面积为720</w:t>
      </w:r>
      <w:r>
        <w:rPr>
          <w:rFonts w:hint="eastAsia"/>
          <w:sz w:val="28"/>
          <w:szCs w:val="28"/>
        </w:rPr>
        <w:t>m</w:t>
      </w:r>
      <w:r>
        <w:rPr>
          <w:rFonts w:hint="eastAsia"/>
          <w:sz w:val="28"/>
          <w:szCs w:val="28"/>
          <w:vertAlign w:val="superscript"/>
        </w:rPr>
        <w:t>2</w:t>
      </w:r>
      <w:r>
        <w:rPr>
          <w:rFonts w:hint="eastAsia"/>
          <w:sz w:val="28"/>
          <w:szCs w:val="28"/>
        </w:rPr>
        <w:t>；</w:t>
      </w:r>
      <w:r>
        <w:rPr>
          <w:rFonts w:hint="eastAsia"/>
          <w:snapToGrid w:val="0"/>
          <w:sz w:val="28"/>
          <w:szCs w:val="28"/>
        </w:rPr>
        <w:t>3#车间、4#车间主要生产设备为雕刻机、封边机、钻孔机、推拉锯等设备，车间高度为</w:t>
      </w:r>
      <w:r>
        <w:rPr>
          <w:snapToGrid w:val="0"/>
          <w:sz w:val="28"/>
          <w:szCs w:val="28"/>
        </w:rPr>
        <w:t>8m，3#</w:t>
      </w:r>
      <w:r>
        <w:rPr>
          <w:rFonts w:hint="eastAsia"/>
          <w:snapToGrid w:val="0"/>
          <w:sz w:val="28"/>
          <w:szCs w:val="28"/>
        </w:rPr>
        <w:t>生产车间建筑面积1150</w:t>
      </w:r>
      <w:r>
        <w:rPr>
          <w:rFonts w:hint="eastAsia"/>
          <w:sz w:val="28"/>
          <w:szCs w:val="28"/>
        </w:rPr>
        <w:t>m</w:t>
      </w:r>
      <w:r>
        <w:rPr>
          <w:rFonts w:hint="eastAsia"/>
          <w:sz w:val="28"/>
          <w:szCs w:val="28"/>
          <w:vertAlign w:val="superscript"/>
        </w:rPr>
        <w:t>2</w:t>
      </w:r>
      <w:r>
        <w:rPr>
          <w:rFonts w:hint="eastAsia"/>
          <w:snapToGrid w:val="0"/>
          <w:sz w:val="28"/>
          <w:szCs w:val="28"/>
        </w:rPr>
        <w:t>，4#车间建筑面积1140</w:t>
      </w:r>
      <w:r>
        <w:rPr>
          <w:rFonts w:hint="eastAsia"/>
          <w:sz w:val="28"/>
          <w:szCs w:val="28"/>
        </w:rPr>
        <w:t>m</w:t>
      </w:r>
      <w:r>
        <w:rPr>
          <w:rFonts w:hint="eastAsia"/>
          <w:sz w:val="28"/>
          <w:szCs w:val="28"/>
          <w:vertAlign w:val="superscript"/>
        </w:rPr>
        <w:t>2</w:t>
      </w:r>
      <w:r>
        <w:rPr>
          <w:rFonts w:hint="eastAsia"/>
          <w:snapToGrid w:val="0"/>
          <w:sz w:val="28"/>
          <w:szCs w:val="28"/>
        </w:rPr>
        <w:t>。办公楼由原厂区实体建筑改建为</w:t>
      </w:r>
      <w:r>
        <w:rPr>
          <w:rFonts w:hint="eastAsia"/>
          <w:sz w:val="28"/>
          <w:szCs w:val="28"/>
        </w:rPr>
        <w:t>一栋二层办公用房，位于</w:t>
      </w:r>
      <w:r>
        <w:rPr>
          <w:sz w:val="28"/>
          <w:szCs w:val="28"/>
        </w:rPr>
        <w:t>1</w:t>
      </w:r>
      <w:r>
        <w:rPr>
          <w:rFonts w:hint="eastAsia"/>
          <w:sz w:val="28"/>
          <w:szCs w:val="28"/>
        </w:rPr>
        <w:t>号生产车间西北侧</w:t>
      </w:r>
      <w:r>
        <w:rPr>
          <w:rFonts w:hint="eastAsia"/>
          <w:snapToGrid w:val="0"/>
          <w:sz w:val="28"/>
          <w:szCs w:val="28"/>
        </w:rPr>
        <w:t>；总经理办公室为一栋二层钢筋混泥土结构独立建筑；变压器及总配电室设置厂区外围</w:t>
      </w:r>
      <w:r>
        <w:rPr>
          <w:snapToGrid w:val="0"/>
          <w:sz w:val="28"/>
          <w:szCs w:val="28"/>
        </w:rPr>
        <w:t>1km</w:t>
      </w:r>
      <w:r>
        <w:rPr>
          <w:rFonts w:hint="eastAsia"/>
          <w:snapToGrid w:val="0"/>
          <w:sz w:val="28"/>
          <w:szCs w:val="28"/>
        </w:rPr>
        <w:t>处，两间辅房面积约</w:t>
      </w:r>
      <w:r>
        <w:rPr>
          <w:snapToGrid w:val="0"/>
          <w:sz w:val="28"/>
          <w:szCs w:val="28"/>
        </w:rPr>
        <w:t>40</w:t>
      </w:r>
      <w:r>
        <w:rPr>
          <w:rFonts w:hint="eastAsia"/>
          <w:sz w:val="28"/>
          <w:szCs w:val="28"/>
        </w:rPr>
        <w:t>m</w:t>
      </w:r>
      <w:r>
        <w:rPr>
          <w:rFonts w:hint="eastAsia"/>
          <w:sz w:val="28"/>
          <w:szCs w:val="28"/>
          <w:vertAlign w:val="superscript"/>
        </w:rPr>
        <w:t>2</w:t>
      </w:r>
      <w:r>
        <w:rPr>
          <w:rFonts w:hint="eastAsia"/>
          <w:sz w:val="28"/>
          <w:szCs w:val="28"/>
        </w:rPr>
        <w:t>。</w:t>
      </w:r>
    </w:p>
    <w:p>
      <w:pPr>
        <w:adjustRightInd w:val="0"/>
        <w:snapToGrid w:val="0"/>
        <w:spacing w:line="348" w:lineRule="auto"/>
        <w:ind w:firstLine="560" w:firstLineChars="200"/>
        <w:jc w:val="center"/>
        <w:rPr>
          <w:rFonts w:ascii="宋体" w:hAnsi="宋体" w:cs="宋体" w:hint="eastAsia"/>
          <w:sz w:val="28"/>
          <w:szCs w:val="28"/>
        </w:rPr>
      </w:pPr>
      <w:r>
        <w:rPr>
          <w:rFonts w:ascii="宋体" w:hAnsi="宋体" w:cs="宋体" w:hint="eastAsia"/>
          <w:sz w:val="28"/>
          <w:szCs w:val="28"/>
        </w:rPr>
        <w:t>表4.1.2项目内部各建筑单体之间防火距离检查表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Look w:val="0000"/>
      </w:tblPr>
      <w:tblGrid>
        <w:gridCol w:w="1408"/>
        <w:gridCol w:w="1855"/>
        <w:gridCol w:w="910"/>
        <w:gridCol w:w="1383"/>
        <w:gridCol w:w="2304"/>
        <w:gridCol w:w="1370"/>
      </w:tblGrid>
      <w:tr>
        <w:tblPrEx>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Look w:val="0000"/>
        </w:tblPrEx>
        <w:trPr>
          <w:tblHeader/>
          <w:jc w:val="center"/>
        </w:trPr>
        <w:tc>
          <w:tcPr>
            <w:tcW w:w="763" w:type="pct"/>
            <w:vAlign w:val="center"/>
          </w:tcPr>
          <w:p>
            <w:pPr>
              <w:adjustRightInd w:val="0"/>
              <w:snapToGrid w:val="0"/>
              <w:jc w:val="center"/>
              <w:rPr>
                <w:rFonts w:ascii="宋体" w:hAnsi="宋体" w:hint="eastAsia"/>
                <w:b/>
                <w:bCs/>
                <w:snapToGrid w:val="0"/>
                <w:kern w:val="0"/>
                <w:szCs w:val="21"/>
              </w:rPr>
            </w:pPr>
            <w:r>
              <w:rPr>
                <w:rFonts w:ascii="宋体" w:hAnsi="宋体" w:hint="eastAsia"/>
                <w:b/>
                <w:bCs/>
                <w:snapToGrid w:val="0"/>
                <w:kern w:val="0"/>
                <w:szCs w:val="21"/>
              </w:rPr>
              <w:t>建筑物</w:t>
            </w:r>
          </w:p>
        </w:tc>
        <w:tc>
          <w:tcPr>
            <w:tcW w:w="1005" w:type="pct"/>
            <w:vAlign w:val="center"/>
          </w:tcPr>
          <w:p>
            <w:pPr>
              <w:adjustRightInd w:val="0"/>
              <w:snapToGrid w:val="0"/>
              <w:jc w:val="center"/>
              <w:rPr>
                <w:rFonts w:ascii="宋体" w:hAnsi="宋体" w:hint="eastAsia"/>
                <w:b/>
                <w:bCs/>
                <w:snapToGrid w:val="0"/>
                <w:kern w:val="0"/>
                <w:szCs w:val="21"/>
              </w:rPr>
            </w:pPr>
            <w:r>
              <w:rPr>
                <w:rFonts w:ascii="宋体" w:hAnsi="宋体" w:hint="eastAsia"/>
                <w:b/>
                <w:bCs/>
                <w:snapToGrid w:val="0"/>
                <w:kern w:val="0"/>
                <w:szCs w:val="21"/>
              </w:rPr>
              <w:t>相邻建(构)筑物</w:t>
            </w:r>
          </w:p>
        </w:tc>
        <w:tc>
          <w:tcPr>
            <w:tcW w:w="493" w:type="pct"/>
            <w:vAlign w:val="center"/>
          </w:tcPr>
          <w:p>
            <w:pPr>
              <w:adjustRightInd w:val="0"/>
              <w:snapToGrid w:val="0"/>
              <w:jc w:val="center"/>
              <w:rPr>
                <w:rFonts w:ascii="宋体" w:hAnsi="宋体" w:hint="eastAsia"/>
                <w:b/>
                <w:bCs/>
                <w:snapToGrid w:val="0"/>
                <w:kern w:val="0"/>
                <w:szCs w:val="21"/>
              </w:rPr>
            </w:pPr>
            <w:r>
              <w:rPr>
                <w:rFonts w:ascii="宋体" w:hAnsi="宋体" w:hint="eastAsia"/>
                <w:b/>
                <w:bCs/>
                <w:snapToGrid w:val="0"/>
                <w:kern w:val="0"/>
                <w:szCs w:val="21"/>
              </w:rPr>
              <w:t>距离(m)</w:t>
            </w:r>
          </w:p>
        </w:tc>
        <w:tc>
          <w:tcPr>
            <w:tcW w:w="749" w:type="pct"/>
            <w:vAlign w:val="center"/>
          </w:tcPr>
          <w:p>
            <w:pPr>
              <w:adjustRightInd w:val="0"/>
              <w:snapToGrid w:val="0"/>
              <w:jc w:val="center"/>
              <w:rPr>
                <w:rFonts w:ascii="宋体" w:hAnsi="宋体" w:hint="eastAsia"/>
                <w:b/>
                <w:bCs/>
                <w:snapToGrid w:val="0"/>
                <w:kern w:val="0"/>
                <w:szCs w:val="21"/>
              </w:rPr>
            </w:pPr>
            <w:r>
              <w:rPr>
                <w:rFonts w:ascii="宋体" w:hAnsi="宋体" w:hint="eastAsia"/>
                <w:b/>
                <w:bCs/>
                <w:snapToGrid w:val="0"/>
                <w:kern w:val="0"/>
                <w:szCs w:val="21"/>
              </w:rPr>
              <w:t>规范要求的距离(m)</w:t>
            </w:r>
          </w:p>
        </w:tc>
        <w:tc>
          <w:tcPr>
            <w:tcW w:w="1248" w:type="pct"/>
            <w:vAlign w:val="center"/>
          </w:tcPr>
          <w:p>
            <w:pPr>
              <w:adjustRightInd w:val="0"/>
              <w:snapToGrid w:val="0"/>
              <w:jc w:val="center"/>
              <w:rPr>
                <w:rFonts w:ascii="宋体" w:hAnsi="宋体" w:hint="eastAsia"/>
                <w:b/>
                <w:bCs/>
                <w:snapToGrid w:val="0"/>
                <w:kern w:val="0"/>
                <w:szCs w:val="21"/>
              </w:rPr>
            </w:pPr>
            <w:r>
              <w:rPr>
                <w:rFonts w:ascii="宋体" w:hAnsi="宋体" w:hint="eastAsia"/>
                <w:b/>
                <w:bCs/>
                <w:snapToGrid w:val="0"/>
                <w:kern w:val="0"/>
                <w:szCs w:val="21"/>
              </w:rPr>
              <w:t>依据规范</w:t>
            </w:r>
          </w:p>
          <w:p>
            <w:pPr>
              <w:adjustRightInd w:val="0"/>
              <w:snapToGrid w:val="0"/>
              <w:jc w:val="center"/>
              <w:rPr>
                <w:rFonts w:ascii="宋体" w:hAnsi="宋体" w:hint="eastAsia"/>
                <w:b/>
                <w:bCs/>
                <w:snapToGrid w:val="0"/>
                <w:kern w:val="0"/>
                <w:szCs w:val="21"/>
              </w:rPr>
            </w:pPr>
            <w:r>
              <w:rPr>
                <w:rFonts w:ascii="宋体" w:hAnsi="宋体" w:hint="eastAsia"/>
                <w:b/>
                <w:bCs/>
                <w:snapToGrid w:val="0"/>
                <w:kern w:val="0"/>
                <w:szCs w:val="21"/>
              </w:rPr>
              <w:t>名称及条款</w:t>
            </w:r>
          </w:p>
        </w:tc>
        <w:tc>
          <w:tcPr>
            <w:tcW w:w="742" w:type="pct"/>
            <w:vAlign w:val="center"/>
          </w:tcPr>
          <w:p>
            <w:pPr>
              <w:adjustRightInd w:val="0"/>
              <w:snapToGrid w:val="0"/>
              <w:jc w:val="center"/>
              <w:rPr>
                <w:rFonts w:ascii="宋体" w:hAnsi="宋体" w:hint="eastAsia"/>
                <w:b/>
                <w:bCs/>
                <w:snapToGrid w:val="0"/>
                <w:kern w:val="0"/>
                <w:szCs w:val="21"/>
              </w:rPr>
            </w:pPr>
            <w:r>
              <w:rPr>
                <w:rFonts w:ascii="宋体" w:hAnsi="宋体" w:hint="eastAsia"/>
                <w:b/>
                <w:bCs/>
                <w:snapToGrid w:val="0"/>
                <w:kern w:val="0"/>
                <w:szCs w:val="21"/>
              </w:rPr>
              <w:t>结论</w:t>
            </w:r>
          </w:p>
        </w:tc>
      </w:tr>
      <w:tr>
        <w:tblPrEx>
          <w:tblW w:w="5000" w:type="pct"/>
          <w:jc w:val="center"/>
          <w:tblCellMar>
            <w:top w:w="0" w:type="dxa"/>
            <w:left w:w="108" w:type="dxa"/>
            <w:bottom w:w="0" w:type="dxa"/>
            <w:right w:w="108" w:type="dxa"/>
          </w:tblCellMar>
          <w:tblLook w:val="0000"/>
        </w:tblPrEx>
        <w:trPr>
          <w:tblHeader/>
          <w:jc w:val="center"/>
        </w:trPr>
        <w:tc>
          <w:tcPr>
            <w:tcW w:w="763"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厂房</w:t>
            </w:r>
          </w:p>
        </w:tc>
        <w:tc>
          <w:tcPr>
            <w:tcW w:w="1005"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办公楼</w:t>
            </w:r>
          </w:p>
        </w:tc>
        <w:tc>
          <w:tcPr>
            <w:tcW w:w="493" w:type="pct"/>
            <w:vAlign w:val="center"/>
          </w:tcPr>
          <w:p>
            <w:pPr>
              <w:adjustRightInd w:val="0"/>
              <w:snapToGrid w:val="0"/>
              <w:jc w:val="center"/>
              <w:rPr>
                <w:rFonts w:ascii="宋体" w:hAnsi="宋体"/>
                <w:snapToGrid w:val="0"/>
                <w:kern w:val="0"/>
                <w:szCs w:val="21"/>
              </w:rPr>
            </w:pPr>
            <w:r>
              <w:rPr>
                <w:rFonts w:ascii="宋体" w:hAnsi="宋体" w:hint="eastAsia"/>
                <w:snapToGrid w:val="0"/>
                <w:kern w:val="0"/>
                <w:szCs w:val="21"/>
              </w:rPr>
              <w:t>--</w:t>
            </w:r>
          </w:p>
        </w:tc>
        <w:tc>
          <w:tcPr>
            <w:tcW w:w="749" w:type="pct"/>
            <w:vAlign w:val="center"/>
          </w:tcPr>
          <w:p>
            <w:pPr>
              <w:adjustRightInd w:val="0"/>
              <w:snapToGrid w:val="0"/>
              <w:jc w:val="center"/>
              <w:rPr>
                <w:rFonts w:ascii="宋体" w:hAnsi="宋体"/>
                <w:snapToGrid w:val="0"/>
                <w:kern w:val="0"/>
                <w:szCs w:val="21"/>
              </w:rPr>
            </w:pPr>
            <w:r>
              <w:rPr>
                <w:rFonts w:ascii="宋体" w:hAnsi="宋体" w:hint="eastAsia"/>
                <w:snapToGrid w:val="0"/>
                <w:kern w:val="0"/>
                <w:szCs w:val="21"/>
              </w:rPr>
              <w:t>--</w:t>
            </w:r>
          </w:p>
        </w:tc>
        <w:tc>
          <w:tcPr>
            <w:tcW w:w="1248"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《建规》第3.4.1条</w:t>
            </w:r>
          </w:p>
        </w:tc>
        <w:tc>
          <w:tcPr>
            <w:tcW w:w="742"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符合要求</w:t>
            </w:r>
          </w:p>
        </w:tc>
      </w:tr>
      <w:tr>
        <w:tblPrEx>
          <w:tblW w:w="5000" w:type="pct"/>
          <w:jc w:val="center"/>
          <w:tblCellMar>
            <w:top w:w="0" w:type="dxa"/>
            <w:left w:w="108" w:type="dxa"/>
            <w:bottom w:w="0" w:type="dxa"/>
            <w:right w:w="108" w:type="dxa"/>
          </w:tblCellMar>
          <w:tblLook w:val="0000"/>
        </w:tblPrEx>
        <w:trPr>
          <w:tblHeader/>
          <w:jc w:val="center"/>
        </w:trPr>
        <w:tc>
          <w:tcPr>
            <w:tcW w:w="763"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厂房</w:t>
            </w:r>
          </w:p>
        </w:tc>
        <w:tc>
          <w:tcPr>
            <w:tcW w:w="1005"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总经理办公室</w:t>
            </w:r>
          </w:p>
        </w:tc>
        <w:tc>
          <w:tcPr>
            <w:tcW w:w="493"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w:t>
            </w:r>
          </w:p>
        </w:tc>
        <w:tc>
          <w:tcPr>
            <w:tcW w:w="749" w:type="pct"/>
            <w:vAlign w:val="center"/>
          </w:tcPr>
          <w:p>
            <w:pPr>
              <w:adjustRightInd w:val="0"/>
              <w:snapToGrid w:val="0"/>
              <w:jc w:val="center"/>
              <w:rPr>
                <w:rFonts w:ascii="宋体" w:hAnsi="宋体" w:hint="eastAsia"/>
                <w:snapToGrid w:val="0"/>
                <w:kern w:val="0"/>
                <w:szCs w:val="21"/>
              </w:rPr>
            </w:pPr>
            <w:r>
              <w:rPr>
                <w:rFonts w:ascii="宋体" w:hAnsi="宋体" w:hint="eastAsia"/>
                <w:snapToGrid w:val="0"/>
                <w:kern w:val="0"/>
                <w:szCs w:val="21"/>
              </w:rPr>
              <w:t>--</w:t>
            </w:r>
          </w:p>
        </w:tc>
        <w:tc>
          <w:tcPr>
            <w:tcW w:w="1248" w:type="pct"/>
            <w:vAlign w:val="center"/>
          </w:tcPr>
          <w:p>
            <w:pPr>
              <w:adjustRightInd w:val="0"/>
              <w:snapToGrid w:val="0"/>
              <w:jc w:val="center"/>
              <w:rPr>
                <w:rFonts w:ascii="宋体" w:hAnsi="宋体" w:hint="eastAsia"/>
                <w:snapToGrid w:val="0"/>
                <w:kern w:val="0"/>
                <w:szCs w:val="21"/>
              </w:rPr>
            </w:pPr>
          </w:p>
        </w:tc>
        <w:tc>
          <w:tcPr>
            <w:tcW w:w="742" w:type="pct"/>
            <w:vAlign w:val="center"/>
          </w:tcPr>
          <w:p>
            <w:pPr>
              <w:adjustRightInd w:val="0"/>
              <w:snapToGrid w:val="0"/>
              <w:jc w:val="center"/>
              <w:rPr>
                <w:rFonts w:ascii="宋体" w:hAnsi="宋体" w:hint="eastAsia"/>
                <w:snapToGrid w:val="0"/>
                <w:kern w:val="0"/>
                <w:szCs w:val="21"/>
              </w:rPr>
            </w:pPr>
          </w:p>
        </w:tc>
      </w:tr>
    </w:tbl>
    <w:p>
      <w:pPr>
        <w:adjustRightInd w:val="0"/>
        <w:snapToGrid w:val="0"/>
        <w:spacing w:line="348" w:lineRule="auto"/>
        <w:ind w:firstLine="420" w:firstLineChars="200"/>
        <w:jc w:val="left"/>
        <w:rPr>
          <w:rFonts w:hint="eastAsia"/>
          <w:szCs w:val="21"/>
        </w:rPr>
      </w:pPr>
      <w:r>
        <w:rPr>
          <w:rFonts w:hint="eastAsia"/>
          <w:szCs w:val="21"/>
        </w:rPr>
        <w:t>注：本表北侧、西侧为丙类厂房，该厂房与本企业相邻的丙类厂房之间根据《建筑设计防火规范》第</w:t>
      </w:r>
      <w:r>
        <w:rPr>
          <w:szCs w:val="21"/>
        </w:rPr>
        <w:t>3.4.5</w:t>
      </w:r>
      <w:r>
        <w:rPr>
          <w:rFonts w:hint="eastAsia"/>
          <w:szCs w:val="21"/>
        </w:rPr>
        <w:t>第</w:t>
      </w:r>
      <w:r>
        <w:rPr>
          <w:szCs w:val="21"/>
        </w:rPr>
        <w:t>1</w:t>
      </w:r>
      <w:r>
        <w:rPr>
          <w:rFonts w:hint="eastAsia"/>
          <w:szCs w:val="21"/>
        </w:rPr>
        <w:t>条可知相邻较高一面外墙为无门、窗、洞口的防火墙，或比相邻较低一座建筑屋面高15m及以下范围内的外墙为无门、窗、洞口的防火墙时，其防火间距不限。本厂房面朝办公楼和总经理办公室的墙为防火墙，故防火间距不限。</w:t>
      </w:r>
    </w:p>
    <w:p>
      <w:pPr>
        <w:pStyle w:val="Heading2"/>
        <w:adjustRightInd w:val="0"/>
        <w:snapToGrid w:val="0"/>
        <w:spacing w:before="0" w:after="0" w:line="360" w:lineRule="auto"/>
        <w:rPr>
          <w:rFonts w:ascii="Times New Roman" w:eastAsia="楷体" w:hAnsi="Times New Roman"/>
        </w:rPr>
      </w:pPr>
      <w:bookmarkStart w:id="189" w:name="_Toc393547612"/>
      <w:bookmarkStart w:id="190" w:name="_Toc14347190"/>
      <w:r>
        <w:rPr>
          <w:rFonts w:ascii="Times New Roman" w:eastAsia="楷体" w:hAnsi="Times New Roman"/>
        </w:rPr>
        <w:t>4.3厂区消防道路、安全疏散通道及出口的设置</w:t>
      </w:r>
      <w:bookmarkEnd w:id="189"/>
      <w:bookmarkEnd w:id="190"/>
    </w:p>
    <w:p>
      <w:pPr>
        <w:adjustRightInd w:val="0"/>
        <w:snapToGrid w:val="0"/>
        <w:spacing w:line="360" w:lineRule="auto"/>
        <w:ind w:firstLine="560" w:firstLineChars="200"/>
        <w:jc w:val="left"/>
        <w:rPr>
          <w:rFonts w:hint="eastAsia"/>
          <w:snapToGrid w:val="0"/>
          <w:sz w:val="28"/>
          <w:szCs w:val="28"/>
        </w:rPr>
      </w:pPr>
      <w:r>
        <w:rPr>
          <w:snapToGrid w:val="0"/>
          <w:sz w:val="28"/>
          <w:szCs w:val="28"/>
        </w:rPr>
        <w:t>该公司厂区道路布置主干道宽度6m，</w:t>
      </w:r>
      <w:r>
        <w:rPr>
          <w:rFonts w:hint="eastAsia"/>
          <w:sz w:val="28"/>
          <w:szCs w:val="28"/>
        </w:rPr>
        <w:t>转弯半径为</w:t>
      </w:r>
      <w:r>
        <w:rPr>
          <w:sz w:val="28"/>
          <w:szCs w:val="28"/>
        </w:rPr>
        <w:t>9-12m</w:t>
      </w:r>
      <w:r>
        <w:rPr>
          <w:rFonts w:hint="eastAsia"/>
          <w:sz w:val="28"/>
          <w:szCs w:val="28"/>
        </w:rPr>
        <w:t>，可满足运输以及消防的要求</w:t>
      </w:r>
      <w:r>
        <w:rPr>
          <w:snapToGrid w:val="0"/>
          <w:sz w:val="28"/>
          <w:szCs w:val="28"/>
        </w:rPr>
        <w:t>。</w:t>
      </w:r>
    </w:p>
    <w:p>
      <w:pPr>
        <w:adjustRightInd w:val="0"/>
        <w:snapToGrid w:val="0"/>
        <w:spacing w:line="360" w:lineRule="auto"/>
        <w:ind w:firstLine="560" w:firstLineChars="200"/>
        <w:jc w:val="left"/>
        <w:rPr>
          <w:rFonts w:hint="eastAsia"/>
          <w:snapToGrid w:val="0"/>
          <w:sz w:val="28"/>
          <w:szCs w:val="28"/>
        </w:rPr>
      </w:pPr>
      <w:r>
        <w:rPr>
          <w:rFonts w:hint="eastAsia"/>
          <w:snapToGrid w:val="0"/>
          <w:sz w:val="28"/>
          <w:szCs w:val="28"/>
        </w:rPr>
        <w:t>1#、2#生产车间是在原厂区钢筋混泥土结构厂房的基础上改建而成，</w:t>
      </w:r>
    </w:p>
    <w:p>
      <w:pPr>
        <w:adjustRightInd w:val="0"/>
        <w:snapToGrid w:val="0"/>
        <w:spacing w:line="360" w:lineRule="auto"/>
        <w:ind w:firstLine="560" w:firstLineChars="200"/>
        <w:jc w:val="left"/>
        <w:rPr>
          <w:rFonts w:hint="eastAsia"/>
          <w:snapToGrid w:val="0"/>
          <w:sz w:val="28"/>
          <w:szCs w:val="28"/>
        </w:rPr>
      </w:pPr>
      <w:r>
        <w:rPr>
          <w:rFonts w:ascii="宋体" w:hAnsi="宋体" w:cs="宋体" w:hint="eastAsia"/>
          <w:bCs/>
          <w:sz w:val="28"/>
          <w:szCs w:val="28"/>
          <w:lang w:val="zh-CN"/>
        </w:rPr>
        <w:t>生产车间1</w:t>
      </w:r>
      <w:r>
        <w:rPr>
          <w:snapToGrid w:val="0"/>
          <w:sz w:val="28"/>
          <w:szCs w:val="28"/>
        </w:rPr>
        <w:t>厂房</w:t>
      </w:r>
      <w:r>
        <w:rPr>
          <w:sz w:val="28"/>
          <w:szCs w:val="28"/>
        </w:rPr>
        <w:t>全长29m，宽24m，根据车间的耐火等级以及火灾危险性等级，在车间设置1个疏散</w:t>
      </w:r>
      <w:r>
        <w:rPr>
          <w:rFonts w:hint="eastAsia"/>
          <w:sz w:val="28"/>
          <w:szCs w:val="28"/>
        </w:rPr>
        <w:t>门</w:t>
      </w:r>
      <w:r>
        <w:rPr>
          <w:sz w:val="28"/>
          <w:szCs w:val="28"/>
        </w:rPr>
        <w:t>直接通往外部。</w:t>
      </w:r>
    </w:p>
    <w:p>
      <w:pPr>
        <w:adjustRightInd w:val="0"/>
        <w:snapToGrid w:val="0"/>
        <w:spacing w:line="360" w:lineRule="auto"/>
        <w:ind w:firstLine="560" w:firstLineChars="200"/>
        <w:jc w:val="left"/>
        <w:rPr>
          <w:rFonts w:hint="eastAsia"/>
          <w:snapToGrid w:val="0"/>
          <w:sz w:val="28"/>
          <w:szCs w:val="28"/>
        </w:rPr>
      </w:pPr>
      <w:r>
        <w:rPr>
          <w:rFonts w:ascii="宋体" w:hAnsi="宋体" w:cs="宋体" w:hint="eastAsia"/>
          <w:bCs/>
          <w:sz w:val="28"/>
          <w:szCs w:val="28"/>
          <w:lang w:val="zh-CN"/>
        </w:rPr>
        <w:t>生产车间2南侧</w:t>
      </w:r>
      <w:r>
        <w:rPr>
          <w:snapToGrid w:val="0"/>
          <w:sz w:val="28"/>
          <w:szCs w:val="28"/>
        </w:rPr>
        <w:t>厂房</w:t>
      </w:r>
      <w:r>
        <w:rPr>
          <w:sz w:val="28"/>
          <w:szCs w:val="28"/>
        </w:rPr>
        <w:t>长60m，宽32m，根据车间的耐火等级以及火灾危险性等级，在车间设置2个疏散们直接通往外部。</w:t>
      </w:r>
      <w:r>
        <w:rPr>
          <w:rFonts w:hint="eastAsia"/>
          <w:sz w:val="28"/>
          <w:szCs w:val="28"/>
        </w:rPr>
        <w:t>北侧厂房</w:t>
      </w:r>
      <w:r>
        <w:rPr>
          <w:sz w:val="28"/>
          <w:szCs w:val="28"/>
        </w:rPr>
        <w:t>长60m，宽48m，在车间设置2个疏散</w:t>
      </w:r>
      <w:r>
        <w:rPr>
          <w:rFonts w:hint="eastAsia"/>
          <w:sz w:val="28"/>
          <w:szCs w:val="28"/>
        </w:rPr>
        <w:t>门</w:t>
      </w:r>
      <w:r>
        <w:rPr>
          <w:sz w:val="28"/>
          <w:szCs w:val="28"/>
        </w:rPr>
        <w:t>直接通往外部</w:t>
      </w:r>
      <w:r>
        <w:rPr>
          <w:rFonts w:hint="eastAsia"/>
          <w:sz w:val="28"/>
          <w:szCs w:val="28"/>
        </w:rPr>
        <w:t>。</w:t>
      </w:r>
    </w:p>
    <w:p>
      <w:pPr>
        <w:adjustRightInd w:val="0"/>
        <w:snapToGrid w:val="0"/>
        <w:spacing w:line="360" w:lineRule="auto"/>
        <w:ind w:firstLine="560" w:firstLineChars="200"/>
        <w:jc w:val="left"/>
        <w:rPr>
          <w:rFonts w:hint="eastAsia"/>
          <w:sz w:val="28"/>
          <w:szCs w:val="28"/>
        </w:rPr>
        <w:sectPr>
          <w:headerReference w:type="default" r:id="rId92"/>
          <w:footerReference w:type="default" r:id="rId93"/>
          <w:type w:val="nextPage"/>
          <w:pgSz w:w="11906" w:h="16838"/>
          <w:pgMar w:top="1418" w:right="1418" w:bottom="1361" w:left="1474" w:header="993" w:footer="980" w:gutter="0"/>
          <w:pgNumType w:start="34"/>
          <w:cols w:space="708"/>
          <w:titlePg w:val="0"/>
          <w:docGrid w:type="lines" w:linePitch="312"/>
        </w:sectPr>
      </w:pPr>
      <w:r>
        <w:rPr>
          <w:rFonts w:ascii="宋体" w:hAnsi="宋体" w:cs="宋体" w:hint="eastAsia"/>
          <w:bCs/>
          <w:sz w:val="28"/>
          <w:szCs w:val="28"/>
          <w:lang w:val="zh-CN"/>
        </w:rPr>
        <w:t>生产车间3</w:t>
      </w:r>
      <w:r>
        <w:rPr>
          <w:snapToGrid w:val="0"/>
          <w:sz w:val="28"/>
          <w:szCs w:val="28"/>
        </w:rPr>
        <w:t>厂房</w:t>
      </w:r>
      <w:r>
        <w:rPr>
          <w:sz w:val="28"/>
          <w:szCs w:val="28"/>
        </w:rPr>
        <w:t>全长48m，宽24m，根据车间的耐火等级以及火灾危险性等级，在车间设置2个疏散</w:t>
      </w:r>
      <w:r>
        <w:rPr>
          <w:rFonts w:hint="eastAsia"/>
          <w:sz w:val="28"/>
          <w:szCs w:val="28"/>
        </w:rPr>
        <w:t>门</w:t>
      </w:r>
      <w:r>
        <w:rPr>
          <w:sz w:val="28"/>
          <w:szCs w:val="28"/>
        </w:rPr>
        <w:t>直接通往外部。</w:t>
      </w:r>
    </w:p>
    <w:p>
      <w:pPr>
        <w:adjustRightInd w:val="0"/>
        <w:snapToGrid w:val="0"/>
        <w:spacing w:line="360" w:lineRule="auto"/>
        <w:ind w:firstLine="560" w:firstLineChars="200"/>
        <w:jc w:val="left"/>
        <w:rPr>
          <w:rFonts w:hint="eastAsia"/>
          <w:sz w:val="28"/>
          <w:szCs w:val="28"/>
        </w:rPr>
      </w:pPr>
      <w:r>
        <w:rPr>
          <w:rFonts w:ascii="宋体" w:hAnsi="宋体" w:cs="宋体" w:hint="eastAsia"/>
          <w:bCs/>
          <w:sz w:val="28"/>
          <w:szCs w:val="28"/>
          <w:lang w:val="zh-CN"/>
        </w:rPr>
        <w:t>生产车间4</w:t>
      </w:r>
      <w:r>
        <w:rPr>
          <w:snapToGrid w:val="0"/>
          <w:sz w:val="28"/>
          <w:szCs w:val="28"/>
        </w:rPr>
        <w:t>厂房</w:t>
      </w:r>
      <w:r>
        <w:rPr>
          <w:sz w:val="28"/>
          <w:szCs w:val="28"/>
        </w:rPr>
        <w:t>全长64m，宽22.5m，根据车间的耐火等级以及火灾危险性等级，在车间设置2个疏散</w:t>
      </w:r>
      <w:r>
        <w:rPr>
          <w:rFonts w:hint="eastAsia"/>
          <w:sz w:val="28"/>
          <w:szCs w:val="28"/>
        </w:rPr>
        <w:t>门</w:t>
      </w:r>
      <w:r>
        <w:rPr>
          <w:sz w:val="28"/>
          <w:szCs w:val="28"/>
        </w:rPr>
        <w:t>直接通往外部。</w:t>
      </w:r>
    </w:p>
    <w:p>
      <w:pPr>
        <w:adjustRightInd w:val="0"/>
        <w:snapToGrid w:val="0"/>
        <w:spacing w:line="360" w:lineRule="auto"/>
        <w:ind w:firstLine="560" w:firstLineChars="200"/>
        <w:jc w:val="left"/>
        <w:rPr>
          <w:rFonts w:hint="eastAsia"/>
          <w:sz w:val="28"/>
          <w:szCs w:val="28"/>
        </w:rPr>
      </w:pPr>
      <w:r>
        <w:rPr>
          <w:rFonts w:ascii="宋体" w:hAnsi="宋体" w:cs="宋体" w:hint="eastAsia"/>
          <w:bCs/>
          <w:sz w:val="28"/>
          <w:szCs w:val="28"/>
          <w:lang w:val="zh-CN"/>
        </w:rPr>
        <w:t>成品原料库</w:t>
      </w:r>
      <w:r>
        <w:rPr>
          <w:snapToGrid w:val="0"/>
          <w:sz w:val="28"/>
          <w:szCs w:val="28"/>
        </w:rPr>
        <w:t>厂房</w:t>
      </w:r>
      <w:r>
        <w:rPr>
          <w:sz w:val="28"/>
          <w:szCs w:val="28"/>
        </w:rPr>
        <w:t>全长60m，宽12m，根据车间的耐火等级以及火灾危险性等级，在车间设置4个疏散</w:t>
      </w:r>
      <w:r>
        <w:rPr>
          <w:rFonts w:hint="eastAsia"/>
          <w:sz w:val="28"/>
          <w:szCs w:val="28"/>
        </w:rPr>
        <w:t>门</w:t>
      </w:r>
      <w:r>
        <w:rPr>
          <w:sz w:val="28"/>
          <w:szCs w:val="28"/>
        </w:rPr>
        <w:t>直接通往外部。</w:t>
      </w:r>
    </w:p>
    <w:p>
      <w:pPr>
        <w:adjustRightInd w:val="0"/>
        <w:snapToGrid w:val="0"/>
        <w:spacing w:line="360" w:lineRule="auto"/>
        <w:ind w:firstLine="560" w:firstLineChars="200"/>
        <w:rPr>
          <w:rFonts w:hint="eastAsia"/>
          <w:sz w:val="28"/>
          <w:szCs w:val="28"/>
        </w:rPr>
      </w:pPr>
      <w:r>
        <w:rPr>
          <w:sz w:val="28"/>
          <w:szCs w:val="28"/>
        </w:rPr>
        <w:t>疏散距离满足《建筑设计防火规范》（GB50016-2014）（2018版）第3.7.4条规定，厂房内最远工作点到最近安全出口的最大距离满足规范均不超过80m的距离要求。</w:t>
      </w:r>
    </w:p>
    <w:p>
      <w:pPr>
        <w:adjustRightInd w:val="0"/>
        <w:snapToGrid w:val="0"/>
        <w:spacing w:line="360" w:lineRule="auto"/>
        <w:ind w:firstLine="560" w:firstLineChars="200"/>
        <w:rPr>
          <w:rFonts w:hint="eastAsia"/>
          <w:sz w:val="28"/>
          <w:szCs w:val="28"/>
        </w:rPr>
      </w:pPr>
      <w:r>
        <w:rPr>
          <w:rFonts w:ascii="宋体" w:hAnsi="宋体" w:cs="宋体" w:hint="eastAsia"/>
          <w:bCs/>
          <w:sz w:val="28"/>
          <w:szCs w:val="28"/>
          <w:lang w:val="zh-CN"/>
        </w:rPr>
        <w:t>办公楼为2层建筑，</w:t>
      </w:r>
      <w:r>
        <w:rPr>
          <w:rFonts w:hint="eastAsia"/>
          <w:snapToGrid w:val="0"/>
          <w:sz w:val="28"/>
          <w:szCs w:val="28"/>
        </w:rPr>
        <w:t>由原厂区实体建筑改建而成</w:t>
      </w:r>
      <w:r>
        <w:rPr>
          <w:rFonts w:hint="eastAsia"/>
          <w:sz w:val="28"/>
          <w:szCs w:val="28"/>
        </w:rPr>
        <w:t>，</w:t>
      </w:r>
      <w:r>
        <w:rPr>
          <w:sz w:val="28"/>
          <w:szCs w:val="28"/>
        </w:rPr>
        <w:t>长</w:t>
      </w:r>
      <w:r>
        <w:rPr>
          <w:rFonts w:hint="eastAsia"/>
          <w:sz w:val="28"/>
          <w:szCs w:val="28"/>
        </w:rPr>
        <w:t>23</w:t>
      </w:r>
      <w:r>
        <w:rPr>
          <w:sz w:val="28"/>
          <w:szCs w:val="28"/>
        </w:rPr>
        <w:t>m，宽</w:t>
      </w:r>
      <w:r>
        <w:rPr>
          <w:rFonts w:hint="eastAsia"/>
          <w:sz w:val="28"/>
          <w:szCs w:val="28"/>
        </w:rPr>
        <w:t>16.8</w:t>
      </w:r>
      <w:r>
        <w:rPr>
          <w:sz w:val="28"/>
          <w:szCs w:val="28"/>
        </w:rPr>
        <w:t>m，根据车间的耐火等级以及火灾危险性等级，设置2个疏散</w:t>
      </w:r>
      <w:r>
        <w:rPr>
          <w:rFonts w:hint="eastAsia"/>
          <w:sz w:val="28"/>
          <w:szCs w:val="28"/>
        </w:rPr>
        <w:t>楼梯</w:t>
      </w:r>
      <w:r>
        <w:rPr>
          <w:sz w:val="28"/>
          <w:szCs w:val="28"/>
        </w:rPr>
        <w:t>直接通往外部。</w:t>
      </w:r>
    </w:p>
    <w:p>
      <w:pPr>
        <w:adjustRightInd w:val="0"/>
        <w:snapToGrid w:val="0"/>
        <w:spacing w:line="360" w:lineRule="auto"/>
        <w:ind w:firstLine="560" w:firstLineChars="200"/>
        <w:rPr>
          <w:rFonts w:hint="eastAsia"/>
          <w:sz w:val="28"/>
          <w:szCs w:val="28"/>
        </w:rPr>
      </w:pPr>
      <w:r>
        <w:rPr>
          <w:rFonts w:hint="eastAsia"/>
          <w:snapToGrid w:val="0"/>
          <w:sz w:val="28"/>
          <w:szCs w:val="28"/>
        </w:rPr>
        <w:t>总经理办公室为一栋二层钢筋混泥土结构独立建筑，</w:t>
      </w:r>
      <w:r>
        <w:rPr>
          <w:sz w:val="28"/>
          <w:szCs w:val="28"/>
        </w:rPr>
        <w:t>长</w:t>
      </w:r>
      <w:r>
        <w:rPr>
          <w:rFonts w:hint="eastAsia"/>
          <w:sz w:val="28"/>
          <w:szCs w:val="28"/>
        </w:rPr>
        <w:t>11</w:t>
      </w:r>
      <w:r>
        <w:rPr>
          <w:sz w:val="28"/>
          <w:szCs w:val="28"/>
        </w:rPr>
        <w:t>m，宽1</w:t>
      </w:r>
      <w:r>
        <w:rPr>
          <w:rFonts w:hint="eastAsia"/>
          <w:sz w:val="28"/>
          <w:szCs w:val="28"/>
        </w:rPr>
        <w:t>1</w:t>
      </w:r>
      <w:r>
        <w:rPr>
          <w:sz w:val="28"/>
          <w:szCs w:val="28"/>
        </w:rPr>
        <w:t>m，根据车间的耐火等级以及火灾危险性等级，设置1个疏散</w:t>
      </w:r>
      <w:r>
        <w:rPr>
          <w:rFonts w:hint="eastAsia"/>
          <w:sz w:val="28"/>
          <w:szCs w:val="28"/>
        </w:rPr>
        <w:t>楼梯</w:t>
      </w:r>
      <w:r>
        <w:rPr>
          <w:sz w:val="28"/>
          <w:szCs w:val="28"/>
        </w:rPr>
        <w:t>直接通往外部。</w:t>
      </w:r>
    </w:p>
    <w:p>
      <w:pPr>
        <w:adjustRightInd w:val="0"/>
        <w:snapToGrid w:val="0"/>
        <w:spacing w:line="360" w:lineRule="auto"/>
        <w:ind w:firstLine="560" w:firstLineChars="200"/>
        <w:rPr>
          <w:sz w:val="28"/>
          <w:szCs w:val="28"/>
        </w:rPr>
      </w:pPr>
      <w:r>
        <w:rPr>
          <w:rFonts w:hint="eastAsia"/>
          <w:sz w:val="28"/>
          <w:szCs w:val="28"/>
        </w:rPr>
        <w:t>安全疏散</w:t>
      </w:r>
      <w:r>
        <w:rPr>
          <w:sz w:val="28"/>
          <w:szCs w:val="28"/>
        </w:rPr>
        <w:t>满足《建筑设计防火规范》（GB50016-2014）（2018版）第5.5.8</w:t>
      </w:r>
      <w:r>
        <w:rPr>
          <w:rFonts w:hint="eastAsia"/>
          <w:sz w:val="28"/>
          <w:szCs w:val="28"/>
        </w:rPr>
        <w:t>条</w:t>
      </w:r>
      <w:r>
        <w:rPr>
          <w:sz w:val="28"/>
          <w:szCs w:val="28"/>
        </w:rPr>
        <w:t>规定，</w:t>
      </w:r>
      <w:r>
        <w:rPr>
          <w:rFonts w:hint="eastAsia"/>
          <w:sz w:val="28"/>
          <w:szCs w:val="28"/>
        </w:rPr>
        <w:t>单层建筑面积不大于200m</w:t>
      </w:r>
      <w:r>
        <w:rPr>
          <w:rFonts w:hint="eastAsia"/>
          <w:sz w:val="28"/>
          <w:szCs w:val="28"/>
          <w:vertAlign w:val="superscript"/>
        </w:rPr>
        <w:t>2</w:t>
      </w:r>
      <w:r>
        <w:rPr>
          <w:rFonts w:hint="eastAsia"/>
          <w:sz w:val="28"/>
          <w:szCs w:val="28"/>
        </w:rPr>
        <w:t>的公共建筑，可设一个疏散楼梯</w:t>
      </w:r>
      <w:r>
        <w:rPr>
          <w:sz w:val="28"/>
          <w:szCs w:val="28"/>
        </w:rPr>
        <w:t>。</w:t>
      </w:r>
    </w:p>
    <w:p>
      <w:pPr>
        <w:pStyle w:val="Heading2"/>
        <w:adjustRightInd w:val="0"/>
        <w:snapToGrid w:val="0"/>
        <w:spacing w:before="0" w:after="0" w:line="360" w:lineRule="auto"/>
        <w:rPr>
          <w:rFonts w:ascii="Times New Roman" w:eastAsia="楷体" w:hAnsi="Times New Roman"/>
        </w:rPr>
      </w:pPr>
      <w:bookmarkStart w:id="191" w:name="_Toc14347191"/>
      <w:bookmarkStart w:id="192" w:name="_Toc393547613"/>
      <w:r>
        <w:rPr>
          <w:rFonts w:ascii="Times New Roman" w:eastAsia="楷体" w:hAnsi="Times New Roman"/>
        </w:rPr>
        <w:t>4.</w:t>
      </w:r>
      <w:r>
        <w:rPr>
          <w:rFonts w:ascii="Times New Roman" w:eastAsia="楷体" w:hAnsi="Times New Roman" w:hint="eastAsia"/>
        </w:rPr>
        <w:t>4</w:t>
      </w:r>
      <w:r>
        <w:rPr>
          <w:rFonts w:ascii="Times New Roman" w:eastAsia="楷体" w:hAnsi="Times New Roman"/>
        </w:rPr>
        <w:t>建筑设计安全措施</w:t>
      </w:r>
      <w:bookmarkEnd w:id="191"/>
      <w:bookmarkEnd w:id="192"/>
    </w:p>
    <w:p>
      <w:pPr>
        <w:adjustRightInd w:val="0"/>
        <w:snapToGrid w:val="0"/>
        <w:spacing w:line="360" w:lineRule="auto"/>
        <w:ind w:firstLine="560" w:firstLineChars="200"/>
        <w:jc w:val="left"/>
        <w:rPr>
          <w:snapToGrid w:val="0"/>
          <w:sz w:val="28"/>
          <w:szCs w:val="28"/>
        </w:rPr>
      </w:pPr>
      <w:r>
        <w:rPr>
          <w:snapToGrid w:val="0"/>
          <w:sz w:val="28"/>
          <w:szCs w:val="28"/>
        </w:rPr>
        <w:t>（1）建筑防雷情况</w:t>
      </w:r>
    </w:p>
    <w:p>
      <w:pPr>
        <w:adjustRightInd w:val="0"/>
        <w:snapToGrid w:val="0"/>
        <w:spacing w:line="360" w:lineRule="auto"/>
        <w:ind w:firstLine="560" w:firstLineChars="200"/>
        <w:jc w:val="left"/>
        <w:rPr>
          <w:snapToGrid w:val="0"/>
          <w:sz w:val="28"/>
          <w:szCs w:val="28"/>
        </w:rPr>
      </w:pPr>
      <w:r>
        <w:rPr>
          <w:snapToGrid w:val="0"/>
          <w:sz w:val="28"/>
          <w:szCs w:val="28"/>
        </w:rPr>
        <w:t>该公司厂房为第三类防雷建筑。厂房以彩钢屋面做防直击雷的接闪器，利用结构钢柱作引下线，利用结构基础钢筋网作接地体。建筑物内防雷、低压配电系统、弱电系统采用联合接地体，</w:t>
      </w:r>
      <w:r>
        <w:rPr>
          <w:rFonts w:hint="eastAsia"/>
          <w:snapToGrid w:val="0"/>
          <w:sz w:val="28"/>
          <w:szCs w:val="28"/>
        </w:rPr>
        <w:t>共用</w:t>
      </w:r>
      <w:r>
        <w:rPr>
          <w:snapToGrid w:val="0"/>
          <w:sz w:val="28"/>
          <w:szCs w:val="28"/>
        </w:rPr>
        <w:t>接地电阻≤4Ω。</w:t>
      </w:r>
    </w:p>
    <w:p>
      <w:pPr>
        <w:adjustRightInd w:val="0"/>
        <w:snapToGrid w:val="0"/>
        <w:spacing w:line="360" w:lineRule="auto"/>
        <w:ind w:firstLine="560" w:firstLineChars="200"/>
        <w:jc w:val="left"/>
        <w:rPr>
          <w:snapToGrid w:val="0"/>
          <w:sz w:val="28"/>
          <w:szCs w:val="28"/>
        </w:rPr>
      </w:pPr>
      <w:r>
        <w:rPr>
          <w:snapToGrid w:val="0"/>
          <w:sz w:val="28"/>
          <w:szCs w:val="28"/>
        </w:rPr>
        <w:t>（2）建筑结构</w:t>
      </w:r>
    </w:p>
    <w:p>
      <w:pPr>
        <w:adjustRightInd w:val="0"/>
        <w:snapToGrid w:val="0"/>
        <w:spacing w:line="360" w:lineRule="auto"/>
        <w:ind w:firstLine="560" w:firstLineChars="200"/>
        <w:jc w:val="left"/>
        <w:rPr>
          <w:rFonts w:hint="eastAsia"/>
          <w:snapToGrid w:val="0"/>
          <w:sz w:val="28"/>
          <w:szCs w:val="28"/>
        </w:rPr>
      </w:pPr>
      <w:r>
        <w:rPr>
          <w:snapToGrid w:val="0"/>
          <w:sz w:val="28"/>
          <w:szCs w:val="28"/>
        </w:rPr>
        <w:t>生产主厂房为门式框架结构，耐火等级二级，火灾危险性为丁类，生产主厂房建筑结构、耐火等级等均可以满足新型建材装饰材料生产项目生产需要。</w:t>
      </w:r>
    </w:p>
    <w:p>
      <w:pPr>
        <w:adjustRightInd w:val="0"/>
        <w:snapToGrid w:val="0"/>
        <w:spacing w:line="360" w:lineRule="auto"/>
        <w:ind w:firstLine="560" w:firstLineChars="200"/>
        <w:jc w:val="left"/>
        <w:rPr>
          <w:rFonts w:hint="eastAsia"/>
          <w:snapToGrid w:val="0"/>
          <w:sz w:val="28"/>
          <w:szCs w:val="28"/>
        </w:rPr>
      </w:pPr>
      <w:r>
        <w:rPr>
          <w:rFonts w:hint="eastAsia"/>
          <w:snapToGrid w:val="0"/>
          <w:sz w:val="28"/>
          <w:szCs w:val="28"/>
        </w:rPr>
        <w:t>（3）防火分区</w:t>
      </w:r>
    </w:p>
    <w:p>
      <w:pPr>
        <w:adjustRightInd w:val="0"/>
        <w:snapToGrid w:val="0"/>
        <w:spacing w:line="360" w:lineRule="auto"/>
        <w:ind w:firstLine="420" w:firstLineChars="200"/>
        <w:jc w:val="left"/>
        <w:rPr>
          <w:szCs w:val="28"/>
        </w:rPr>
        <w:sectPr>
          <w:headerReference w:type="default" r:id="rId94"/>
          <w:footerReference w:type="default" r:id="rId95"/>
          <w:type w:val="nextPage"/>
          <w:pgSz w:w="11906" w:h="16838"/>
          <w:pgMar w:top="1418" w:right="1418" w:bottom="1361" w:left="1474" w:header="993" w:footer="980" w:gutter="0"/>
          <w:pgNumType w:start="35"/>
          <w:cols w:space="708"/>
          <w:titlePg w:val="0"/>
          <w:docGrid w:type="lines" w:linePitch="312"/>
        </w:sectPr>
      </w:pPr>
    </w:p>
    <w:p>
      <w:pPr>
        <w:adjustRightInd w:val="0"/>
        <w:snapToGrid w:val="0"/>
        <w:spacing w:line="360" w:lineRule="auto"/>
        <w:ind w:firstLine="560" w:firstLineChars="200"/>
        <w:jc w:val="left"/>
        <w:rPr>
          <w:szCs w:val="28"/>
        </w:rPr>
      </w:pPr>
      <w:r>
        <w:rPr>
          <w:rFonts w:hint="eastAsia"/>
          <w:spacing w:val="10"/>
          <w:sz w:val="28"/>
          <w:szCs w:val="28"/>
        </w:rPr>
        <w:t>本项目厂房为丙类生产性质，主体为钢架结构和混凝土框架结构厂房，为二级耐火等级，2#生产车间设置三个防火分区，北侧生产厂房为一个防火分区，中间成品库、原料库为单独一个防火分区，南侧生产车间为一个防火分区，3#、4#生产车间各为一个独立防火分区；平面上每2个疏散出口之间的疏散距离均大于5米。</w:t>
      </w:r>
    </w:p>
    <w:p>
      <w:pPr>
        <w:pStyle w:val="Heading1"/>
        <w:adjustRightInd w:val="0"/>
        <w:snapToGrid w:val="0"/>
        <w:spacing w:before="156" w:beforeLines="50" w:after="0" w:line="360" w:lineRule="auto"/>
        <w:jc w:val="center"/>
        <w:rPr>
          <w:rFonts w:ascii="Times New Roman" w:eastAsia="黑体" w:hAnsi="Times New Roman"/>
          <w:sz w:val="32"/>
          <w:szCs w:val="32"/>
        </w:rPr>
        <w:sectPr>
          <w:headerReference w:type="default" r:id="rId96"/>
          <w:footerReference w:type="default" r:id="rId97"/>
          <w:type w:val="nextPage"/>
          <w:pgSz w:w="11906" w:h="16838"/>
          <w:pgMar w:top="1418" w:right="1418" w:bottom="1361" w:left="1474" w:header="993" w:footer="980" w:gutter="0"/>
          <w:pgNumType w:start="36"/>
          <w:cols w:space="708"/>
          <w:titlePg w:val="0"/>
          <w:docGrid w:type="lines" w:linePitch="312"/>
        </w:sectPr>
      </w:pPr>
      <w:bookmarkStart w:id="193" w:name="_Toc393547614"/>
    </w:p>
    <w:p>
      <w:pPr>
        <w:pStyle w:val="Heading1"/>
        <w:adjustRightInd w:val="0"/>
        <w:snapToGrid w:val="0"/>
        <w:spacing w:before="156" w:beforeLines="50" w:after="0" w:line="360" w:lineRule="auto"/>
        <w:jc w:val="center"/>
        <w:rPr>
          <w:rFonts w:ascii="Times New Roman" w:eastAsia="黑体" w:hAnsi="Times New Roman"/>
          <w:sz w:val="32"/>
          <w:szCs w:val="32"/>
        </w:rPr>
      </w:pPr>
      <w:bookmarkStart w:id="194" w:name="_Toc14347192"/>
      <w:r>
        <w:rPr>
          <w:rFonts w:ascii="Times New Roman" w:eastAsia="黑体" w:hAnsi="Times New Roman"/>
          <w:sz w:val="32"/>
          <w:szCs w:val="32"/>
        </w:rPr>
        <w:t>5重大危险源分析与辨识</w:t>
      </w:r>
      <w:bookmarkEnd w:id="193"/>
      <w:bookmarkEnd w:id="194"/>
    </w:p>
    <w:p>
      <w:pPr>
        <w:pStyle w:val="Heading2"/>
        <w:adjustRightInd w:val="0"/>
        <w:snapToGrid w:val="0"/>
        <w:spacing w:before="0" w:after="0" w:line="360" w:lineRule="auto"/>
        <w:rPr>
          <w:rFonts w:ascii="Times New Roman" w:eastAsia="楷体" w:hAnsi="Times New Roman"/>
        </w:rPr>
      </w:pPr>
      <w:bookmarkStart w:id="195" w:name="_Toc14347193"/>
      <w:bookmarkStart w:id="196" w:name="_Toc340737186"/>
      <w:r>
        <w:rPr>
          <w:rFonts w:ascii="Times New Roman" w:eastAsia="楷体" w:hAnsi="Times New Roman"/>
        </w:rPr>
        <w:t>5.1重大危险源辨识依据</w:t>
      </w:r>
      <w:bookmarkEnd w:id="195"/>
      <w:bookmarkEnd w:id="196"/>
    </w:p>
    <w:p>
      <w:pPr>
        <w:adjustRightInd w:val="0"/>
        <w:snapToGrid w:val="0"/>
        <w:spacing w:line="360" w:lineRule="auto"/>
        <w:ind w:firstLine="567"/>
        <w:rPr>
          <w:sz w:val="28"/>
          <w:szCs w:val="28"/>
        </w:rPr>
      </w:pPr>
      <w:r>
        <w:rPr>
          <w:sz w:val="28"/>
          <w:szCs w:val="28"/>
        </w:rPr>
        <w:t>《危险化学品重大危险源》（GB18218-2018）对危险化学品重大危险源进行了定义，即长期地或临时地生产、储存、使用和经营危险化学品，且危险化学品的数量等于或超过临界量的单元。</w:t>
      </w:r>
    </w:p>
    <w:p>
      <w:pPr>
        <w:adjustRightInd w:val="0"/>
        <w:snapToGrid w:val="0"/>
        <w:spacing w:line="360" w:lineRule="auto"/>
        <w:ind w:firstLine="567"/>
        <w:rPr>
          <w:sz w:val="28"/>
          <w:szCs w:val="28"/>
        </w:rPr>
      </w:pPr>
      <w:r>
        <w:rPr>
          <w:sz w:val="28"/>
          <w:szCs w:val="28"/>
        </w:rPr>
        <w:t>生产单元指危险化学品的生产、加工及使用等的装置及设施，当装置及设施之间有切断阀时，以切断阀作为分隔界限划分独立的单元。</w:t>
      </w:r>
    </w:p>
    <w:p>
      <w:pPr>
        <w:adjustRightInd w:val="0"/>
        <w:snapToGrid w:val="0"/>
        <w:spacing w:line="360" w:lineRule="auto"/>
        <w:ind w:firstLine="567"/>
        <w:rPr>
          <w:sz w:val="28"/>
          <w:szCs w:val="28"/>
        </w:rPr>
      </w:pPr>
      <w:r>
        <w:rPr>
          <w:sz w:val="28"/>
          <w:szCs w:val="28"/>
        </w:rPr>
        <w:t>储存单元指用于储存危险化学品的储罐或仓库组成的相对独立的区域，储罐区以罐区防火堤为界限划分为独立的单元，仓库以独立库房（独立建筑物）为界限划分为独立的单元。</w:t>
      </w:r>
    </w:p>
    <w:p>
      <w:pPr>
        <w:adjustRightInd w:val="0"/>
        <w:snapToGrid w:val="0"/>
        <w:spacing w:line="360" w:lineRule="auto"/>
        <w:ind w:firstLine="567"/>
        <w:rPr>
          <w:sz w:val="28"/>
          <w:szCs w:val="28"/>
        </w:rPr>
      </w:pPr>
      <w:r>
        <w:rPr>
          <w:sz w:val="28"/>
          <w:szCs w:val="28"/>
        </w:rPr>
        <w:t>1、辨识依据</w:t>
      </w:r>
    </w:p>
    <w:p>
      <w:pPr>
        <w:adjustRightInd w:val="0"/>
        <w:snapToGrid w:val="0"/>
        <w:spacing w:line="360" w:lineRule="auto"/>
        <w:ind w:firstLine="567"/>
        <w:rPr>
          <w:sz w:val="28"/>
          <w:szCs w:val="28"/>
        </w:rPr>
      </w:pPr>
      <w:r>
        <w:rPr>
          <w:sz w:val="28"/>
          <w:szCs w:val="28"/>
        </w:rPr>
        <w:t>危险化学品重大危险源的辨识依据是危险化学品的危险特性及其数量，具体见GB18218-2018中的表1和表2。</w:t>
      </w:r>
    </w:p>
    <w:p>
      <w:pPr>
        <w:adjustRightInd w:val="0"/>
        <w:snapToGrid w:val="0"/>
        <w:spacing w:line="360" w:lineRule="auto"/>
        <w:ind w:firstLine="567"/>
        <w:rPr>
          <w:sz w:val="28"/>
          <w:szCs w:val="28"/>
        </w:rPr>
      </w:pPr>
      <w:r>
        <w:rPr>
          <w:sz w:val="28"/>
          <w:szCs w:val="28"/>
        </w:rPr>
        <w:t>危险化学品临界量的确定方法如下：</w:t>
      </w:r>
    </w:p>
    <w:p>
      <w:pPr>
        <w:adjustRightInd w:val="0"/>
        <w:snapToGrid w:val="0"/>
        <w:spacing w:line="360" w:lineRule="auto"/>
        <w:ind w:firstLine="567"/>
        <w:rPr>
          <w:sz w:val="28"/>
          <w:szCs w:val="28"/>
        </w:rPr>
      </w:pPr>
      <w:r>
        <w:rPr>
          <w:sz w:val="28"/>
          <w:szCs w:val="28"/>
        </w:rPr>
        <w:t>a）在表1范围内的危险化学品，其临界量按表1确定；</w:t>
      </w:r>
    </w:p>
    <w:p>
      <w:pPr>
        <w:adjustRightInd w:val="0"/>
        <w:snapToGrid w:val="0"/>
        <w:spacing w:line="360" w:lineRule="auto"/>
        <w:ind w:firstLine="567"/>
        <w:rPr>
          <w:sz w:val="28"/>
          <w:szCs w:val="28"/>
        </w:rPr>
      </w:pPr>
      <w:r>
        <w:rPr>
          <w:sz w:val="28"/>
          <w:szCs w:val="28"/>
        </w:rPr>
        <w:t>b）未在表1范围内的危险化学品，依据其危险性，按表2确定临界量；若一种危险化学品具有多种危险性，按其中最低的临界量确定。</w:t>
      </w:r>
    </w:p>
    <w:p>
      <w:pPr>
        <w:adjustRightInd w:val="0"/>
        <w:snapToGrid w:val="0"/>
        <w:spacing w:line="360" w:lineRule="auto"/>
        <w:ind w:firstLine="567"/>
        <w:rPr>
          <w:sz w:val="28"/>
          <w:szCs w:val="28"/>
        </w:rPr>
      </w:pPr>
      <w:r>
        <w:rPr>
          <w:sz w:val="28"/>
          <w:szCs w:val="28"/>
        </w:rPr>
        <w:t>2、重大危险源的辨识指标</w:t>
      </w:r>
    </w:p>
    <w:p>
      <w:pPr>
        <w:adjustRightInd w:val="0"/>
        <w:snapToGrid w:val="0"/>
        <w:spacing w:line="360" w:lineRule="auto"/>
        <w:ind w:firstLine="567"/>
        <w:rPr>
          <w:sz w:val="28"/>
          <w:szCs w:val="28"/>
        </w:rPr>
      </w:pPr>
      <w:r>
        <w:rPr>
          <w:sz w:val="28"/>
          <w:szCs w:val="28"/>
        </w:rPr>
        <w:t>生产单元、储存单元内存在危险化学品的数量等于或超过表1、表2规定的临界量，即被定为重大危险源。单元内存在的危险化学品的数量根据处理危险化学品种类的多少区分为以下两种情况：</w:t>
      </w:r>
    </w:p>
    <w:p>
      <w:pPr>
        <w:adjustRightInd w:val="0"/>
        <w:snapToGrid w:val="0"/>
        <w:spacing w:line="360" w:lineRule="auto"/>
        <w:ind w:firstLine="567"/>
        <w:rPr>
          <w:sz w:val="28"/>
          <w:szCs w:val="28"/>
        </w:rPr>
      </w:pPr>
      <w:r>
        <w:rPr>
          <w:sz w:val="28"/>
          <w:szCs w:val="28"/>
        </w:rPr>
        <w:t>生产单元、储存单元内存在的危险化学品为单一品种，则该危险化学品的数量即为单元内危险化学品的总量，若等于或超过相应的临界量，则定为重大危险源。</w:t>
      </w:r>
    </w:p>
    <w:p>
      <w:pPr>
        <w:adjustRightInd w:val="0"/>
        <w:snapToGrid w:val="0"/>
        <w:spacing w:line="360" w:lineRule="auto"/>
        <w:ind w:firstLine="567"/>
        <w:rPr>
          <w:sz w:val="28"/>
          <w:szCs w:val="28"/>
        </w:rPr>
        <w:sectPr>
          <w:headerReference w:type="default" r:id="rId98"/>
          <w:footerReference w:type="default" r:id="rId99"/>
          <w:type w:val="nextPage"/>
          <w:pgSz w:w="11906" w:h="16838"/>
          <w:pgMar w:top="1418" w:right="1418" w:bottom="1361" w:left="1474" w:header="993" w:footer="980" w:gutter="0"/>
          <w:pgNumType w:start="37"/>
          <w:cols w:space="708"/>
          <w:titlePg w:val="0"/>
          <w:docGrid w:type="lines" w:linePitch="312"/>
        </w:sectPr>
      </w:pPr>
    </w:p>
    <w:p>
      <w:pPr>
        <w:adjustRightInd w:val="0"/>
        <w:snapToGrid w:val="0"/>
        <w:spacing w:line="360" w:lineRule="auto"/>
        <w:ind w:firstLine="567"/>
        <w:rPr>
          <w:sz w:val="28"/>
          <w:szCs w:val="28"/>
        </w:rPr>
      </w:pPr>
      <w:r>
        <w:rPr>
          <w:sz w:val="28"/>
          <w:szCs w:val="28"/>
        </w:rPr>
        <w:t>生产单元、储存单元内存在的危险化学品为多品种时，则按下式计算，若满足下式，则定为重大危险源：</w:t>
      </w:r>
    </w:p>
    <w:p>
      <w:pPr>
        <w:adjustRightInd w:val="0"/>
        <w:snapToGrid w:val="0"/>
        <w:spacing w:line="360" w:lineRule="auto"/>
        <w:ind w:firstLine="1406" w:firstLineChars="502"/>
        <w:rPr>
          <w:sz w:val="28"/>
          <w:szCs w:val="28"/>
        </w:rPr>
      </w:pPr>
      <w:r>
        <w:rPr>
          <w:sz w:val="28"/>
          <w:szCs w:val="28"/>
        </w:rPr>
        <w:t>S=q</w:t>
      </w:r>
      <w:r>
        <w:rPr>
          <w:sz w:val="28"/>
          <w:szCs w:val="28"/>
          <w:vertAlign w:val="subscript"/>
        </w:rPr>
        <w:t>1</w:t>
      </w:r>
      <w:r>
        <w:rPr>
          <w:sz w:val="28"/>
          <w:szCs w:val="28"/>
        </w:rPr>
        <w:t>/Q</w:t>
      </w:r>
      <w:r>
        <w:rPr>
          <w:sz w:val="28"/>
          <w:szCs w:val="28"/>
          <w:vertAlign w:val="subscript"/>
        </w:rPr>
        <w:t>1</w:t>
      </w:r>
      <w:r>
        <w:rPr>
          <w:sz w:val="28"/>
          <w:szCs w:val="28"/>
        </w:rPr>
        <w:t>+q</w:t>
      </w:r>
      <w:r>
        <w:rPr>
          <w:sz w:val="28"/>
          <w:szCs w:val="28"/>
          <w:vertAlign w:val="subscript"/>
        </w:rPr>
        <w:t>2</w:t>
      </w:r>
      <w:r>
        <w:rPr>
          <w:sz w:val="28"/>
          <w:szCs w:val="28"/>
        </w:rPr>
        <w:t>/Q</w:t>
      </w:r>
      <w:r>
        <w:rPr>
          <w:sz w:val="28"/>
          <w:szCs w:val="28"/>
          <w:vertAlign w:val="subscript"/>
        </w:rPr>
        <w:t>2</w:t>
      </w:r>
      <w:r>
        <w:rPr>
          <w:sz w:val="28"/>
          <w:szCs w:val="28"/>
        </w:rPr>
        <w:t>+…+q</w:t>
      </w:r>
      <w:r>
        <w:rPr>
          <w:sz w:val="28"/>
          <w:szCs w:val="28"/>
          <w:vertAlign w:val="subscript"/>
        </w:rPr>
        <w:t>n</w:t>
      </w:r>
      <w:r>
        <w:rPr>
          <w:sz w:val="28"/>
          <w:szCs w:val="28"/>
        </w:rPr>
        <w:t>/Q</w:t>
      </w:r>
      <w:r>
        <w:rPr>
          <w:sz w:val="28"/>
          <w:szCs w:val="28"/>
          <w:vertAlign w:val="subscript"/>
        </w:rPr>
        <w:t>n</w:t>
      </w:r>
      <w:r>
        <w:rPr>
          <w:sz w:val="28"/>
          <w:szCs w:val="28"/>
        </w:rPr>
        <w:t>≥1</w:t>
      </w:r>
    </w:p>
    <w:p>
      <w:pPr>
        <w:adjustRightInd w:val="0"/>
        <w:snapToGrid w:val="0"/>
        <w:spacing w:line="360" w:lineRule="auto"/>
        <w:ind w:firstLine="567"/>
        <w:rPr>
          <w:sz w:val="28"/>
          <w:szCs w:val="28"/>
        </w:rPr>
      </w:pPr>
      <w:r>
        <w:rPr>
          <w:sz w:val="28"/>
          <w:szCs w:val="28"/>
        </w:rPr>
        <w:t>式中：q</w:t>
      </w:r>
      <w:r>
        <w:rPr>
          <w:sz w:val="28"/>
          <w:szCs w:val="28"/>
          <w:vertAlign w:val="subscript"/>
        </w:rPr>
        <w:t>1</w:t>
      </w:r>
      <w:r>
        <w:rPr>
          <w:sz w:val="28"/>
          <w:szCs w:val="28"/>
        </w:rPr>
        <w:t>,q</w:t>
      </w:r>
      <w:r>
        <w:rPr>
          <w:sz w:val="28"/>
          <w:szCs w:val="28"/>
          <w:vertAlign w:val="subscript"/>
        </w:rPr>
        <w:t>2</w:t>
      </w:r>
      <w:r>
        <w:rPr>
          <w:sz w:val="28"/>
          <w:szCs w:val="28"/>
        </w:rPr>
        <w:t>,…,q</w:t>
      </w:r>
      <w:r>
        <w:rPr>
          <w:sz w:val="28"/>
          <w:szCs w:val="28"/>
          <w:vertAlign w:val="subscript"/>
        </w:rPr>
        <w:t>n</w:t>
      </w:r>
      <w:r>
        <w:rPr>
          <w:sz w:val="28"/>
          <w:szCs w:val="28"/>
        </w:rPr>
        <w:t>—每种危险化学品实际存在量，单位为吨（t）；</w:t>
      </w:r>
    </w:p>
    <w:p>
      <w:pPr>
        <w:adjustRightInd w:val="0"/>
        <w:snapToGrid w:val="0"/>
        <w:spacing w:line="360" w:lineRule="auto"/>
        <w:ind w:firstLine="567"/>
        <w:rPr>
          <w:sz w:val="28"/>
          <w:szCs w:val="28"/>
        </w:rPr>
      </w:pPr>
      <w:r>
        <w:rPr>
          <w:sz w:val="28"/>
          <w:szCs w:val="28"/>
        </w:rPr>
        <w:t>Q</w:t>
      </w:r>
      <w:r>
        <w:rPr>
          <w:sz w:val="28"/>
          <w:szCs w:val="28"/>
          <w:vertAlign w:val="subscript"/>
        </w:rPr>
        <w:t>1</w:t>
      </w:r>
      <w:r>
        <w:rPr>
          <w:sz w:val="28"/>
          <w:szCs w:val="28"/>
        </w:rPr>
        <w:t>,Q</w:t>
      </w:r>
      <w:r>
        <w:rPr>
          <w:sz w:val="28"/>
          <w:szCs w:val="28"/>
          <w:vertAlign w:val="subscript"/>
        </w:rPr>
        <w:t>2</w:t>
      </w:r>
      <w:r>
        <w:rPr>
          <w:sz w:val="28"/>
          <w:szCs w:val="28"/>
        </w:rPr>
        <w:t>,…,Q</w:t>
      </w:r>
      <w:r>
        <w:rPr>
          <w:sz w:val="28"/>
          <w:szCs w:val="28"/>
          <w:vertAlign w:val="subscript"/>
        </w:rPr>
        <w:t>n</w:t>
      </w:r>
      <w:r>
        <w:rPr>
          <w:sz w:val="28"/>
          <w:szCs w:val="28"/>
        </w:rPr>
        <w:t>—与各危险化学品相对应的临界量，单位为吨（t）。</w:t>
      </w:r>
    </w:p>
    <w:p>
      <w:pPr>
        <w:pStyle w:val="Heading2"/>
        <w:adjustRightInd w:val="0"/>
        <w:snapToGrid w:val="0"/>
        <w:spacing w:before="0" w:after="0" w:line="360" w:lineRule="auto"/>
        <w:rPr>
          <w:rFonts w:ascii="Times New Roman" w:eastAsia="楷体" w:hAnsi="Times New Roman"/>
        </w:rPr>
      </w:pPr>
      <w:bookmarkStart w:id="197" w:name="_Toc14347194"/>
      <w:r>
        <w:rPr>
          <w:rFonts w:ascii="Times New Roman" w:eastAsia="楷体" w:hAnsi="Times New Roman"/>
        </w:rPr>
        <w:t>5.2重大危险源辨识过程</w:t>
      </w:r>
      <w:bookmarkEnd w:id="197"/>
    </w:p>
    <w:p>
      <w:pPr>
        <w:adjustRightInd w:val="0"/>
        <w:snapToGrid w:val="0"/>
        <w:spacing w:line="360" w:lineRule="auto"/>
        <w:ind w:firstLine="560" w:firstLineChars="200"/>
        <w:rPr>
          <w:sz w:val="28"/>
          <w:szCs w:val="28"/>
        </w:rPr>
      </w:pPr>
      <w:r>
        <w:rPr>
          <w:sz w:val="28"/>
          <w:szCs w:val="28"/>
        </w:rPr>
        <w:t>根据《危险化学品重大危险源辨识》（GB18218-2018），生产过程中的吸塑胶属于易燃、易爆的危险化学品物质，是构成危险化学品重大危险源的物质。</w:t>
      </w:r>
    </w:p>
    <w:p>
      <w:pPr>
        <w:adjustRightInd w:val="0"/>
        <w:snapToGrid w:val="0"/>
        <w:spacing w:line="360" w:lineRule="auto"/>
        <w:ind w:firstLine="480" w:firstLineChars="200"/>
        <w:jc w:val="center"/>
        <w:rPr>
          <w:b/>
          <w:sz w:val="24"/>
        </w:rPr>
      </w:pPr>
      <w:r>
        <w:rPr>
          <w:b/>
          <w:sz w:val="24"/>
        </w:rPr>
        <w:t>表</w:t>
      </w:r>
      <w:r>
        <w:rPr>
          <w:rFonts w:hint="eastAsia"/>
          <w:b/>
          <w:sz w:val="24"/>
        </w:rPr>
        <w:t>5-1</w:t>
      </w:r>
      <w:r>
        <w:rPr>
          <w:b/>
          <w:sz w:val="24"/>
        </w:rPr>
        <w:t>危险物质临界量</w:t>
      </w:r>
    </w:p>
    <w:tbl>
      <w:tblPr>
        <w:tblStyle w:val="TableNorm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73"/>
        <w:gridCol w:w="6751"/>
        <w:gridCol w:w="1521"/>
      </w:tblGrid>
      <w:tr>
        <w:tblPrEx>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97"/>
          <w:jc w:val="center"/>
        </w:trPr>
        <w:tc>
          <w:tcPr>
            <w:tcW w:w="773" w:type="dxa"/>
            <w:vAlign w:val="center"/>
          </w:tcPr>
          <w:p>
            <w:pPr>
              <w:adjustRightInd w:val="0"/>
              <w:snapToGrid w:val="0"/>
              <w:jc w:val="center"/>
              <w:rPr>
                <w:sz w:val="24"/>
              </w:rPr>
            </w:pPr>
            <w:r>
              <w:rPr>
                <w:sz w:val="24"/>
              </w:rPr>
              <w:t>序号</w:t>
            </w:r>
          </w:p>
        </w:tc>
        <w:tc>
          <w:tcPr>
            <w:tcW w:w="6751" w:type="dxa"/>
            <w:vAlign w:val="center"/>
          </w:tcPr>
          <w:p>
            <w:pPr>
              <w:pStyle w:val="cjh"/>
              <w:keepLines w:val="0"/>
              <w:suppressLineNumbers w:val="0"/>
              <w:suppressAutoHyphens w:val="0"/>
              <w:adjustRightInd w:val="0"/>
              <w:snapToGrid w:val="0"/>
              <w:ind w:firstLine="480"/>
              <w:outlineLvl w:val="9"/>
              <w:rPr>
                <w:rFonts w:ascii="Times New Roman"/>
                <w:kern w:val="2"/>
                <w:sz w:val="24"/>
                <w:szCs w:val="24"/>
              </w:rPr>
            </w:pPr>
            <w:bookmarkStart w:id="198" w:name="_Toc525723734"/>
            <w:bookmarkStart w:id="199" w:name="_Toc522091609"/>
            <w:bookmarkStart w:id="200" w:name="_Toc14347195"/>
            <w:r>
              <w:rPr>
                <w:rFonts w:ascii="Times New Roman"/>
                <w:kern w:val="2"/>
                <w:sz w:val="24"/>
                <w:szCs w:val="24"/>
              </w:rPr>
              <w:t>物质名称</w:t>
            </w:r>
            <w:bookmarkEnd w:id="198"/>
            <w:bookmarkEnd w:id="199"/>
            <w:bookmarkEnd w:id="200"/>
          </w:p>
        </w:tc>
        <w:tc>
          <w:tcPr>
            <w:tcW w:w="1521" w:type="dxa"/>
            <w:vAlign w:val="center"/>
          </w:tcPr>
          <w:p>
            <w:pPr>
              <w:adjustRightInd w:val="0"/>
              <w:snapToGrid w:val="0"/>
              <w:jc w:val="center"/>
              <w:rPr>
                <w:sz w:val="24"/>
              </w:rPr>
            </w:pPr>
            <w:r>
              <w:rPr>
                <w:sz w:val="24"/>
              </w:rPr>
              <w:t>临界量/t</w:t>
            </w:r>
          </w:p>
        </w:tc>
      </w:tr>
      <w:tr>
        <w:tblPrEx>
          <w:tblW w:w="4900" w:type="pct"/>
          <w:jc w:val="center"/>
          <w:tblCellMar>
            <w:top w:w="0" w:type="dxa"/>
            <w:left w:w="108" w:type="dxa"/>
            <w:bottom w:w="0" w:type="dxa"/>
            <w:right w:w="108" w:type="dxa"/>
          </w:tblCellMar>
          <w:tblLook w:val="0000"/>
        </w:tblPrEx>
        <w:trPr>
          <w:cantSplit/>
          <w:trHeight w:val="397"/>
          <w:jc w:val="center"/>
        </w:trPr>
        <w:tc>
          <w:tcPr>
            <w:tcW w:w="730" w:type="dxa"/>
            <w:vAlign w:val="center"/>
          </w:tcPr>
          <w:p>
            <w:pPr>
              <w:adjustRightInd w:val="0"/>
              <w:snapToGrid w:val="0"/>
              <w:jc w:val="center"/>
              <w:rPr>
                <w:sz w:val="24"/>
              </w:rPr>
            </w:pPr>
            <w:r>
              <w:rPr>
                <w:rFonts w:hint="eastAsia"/>
                <w:sz w:val="24"/>
              </w:rPr>
              <w:t>1</w:t>
            </w:r>
          </w:p>
        </w:tc>
        <w:tc>
          <w:tcPr>
            <w:tcW w:w="6379" w:type="dxa"/>
            <w:vAlign w:val="center"/>
          </w:tcPr>
          <w:p>
            <w:pPr>
              <w:adjustRightInd w:val="0"/>
              <w:snapToGrid w:val="0"/>
              <w:jc w:val="center"/>
              <w:rPr>
                <w:sz w:val="24"/>
              </w:rPr>
            </w:pPr>
            <w:r>
              <w:rPr>
                <w:sz w:val="24"/>
              </w:rPr>
              <w:t>吸塑胶</w:t>
            </w:r>
          </w:p>
        </w:tc>
        <w:tc>
          <w:tcPr>
            <w:tcW w:w="1437" w:type="dxa"/>
            <w:vAlign w:val="center"/>
          </w:tcPr>
          <w:p>
            <w:pPr>
              <w:adjustRightInd w:val="0"/>
              <w:snapToGrid w:val="0"/>
              <w:jc w:val="center"/>
              <w:rPr>
                <w:sz w:val="24"/>
              </w:rPr>
            </w:pPr>
            <w:r>
              <w:rPr>
                <w:sz w:val="24"/>
              </w:rPr>
              <w:t>5000</w:t>
            </w:r>
          </w:p>
        </w:tc>
      </w:tr>
    </w:tbl>
    <w:p>
      <w:pPr>
        <w:adjustRightInd w:val="0"/>
        <w:snapToGrid w:val="0"/>
        <w:spacing w:line="360" w:lineRule="auto"/>
        <w:ind w:firstLine="560" w:firstLineChars="200"/>
        <w:rPr>
          <w:sz w:val="28"/>
          <w:szCs w:val="28"/>
        </w:rPr>
      </w:pPr>
      <w:r>
        <w:rPr>
          <w:sz w:val="28"/>
          <w:szCs w:val="28"/>
        </w:rPr>
        <w:t>以下主要计算上述物质的量：</w:t>
      </w:r>
    </w:p>
    <w:p>
      <w:pPr>
        <w:adjustRightInd w:val="0"/>
        <w:snapToGrid w:val="0"/>
        <w:spacing w:line="360" w:lineRule="auto"/>
        <w:ind w:firstLine="480" w:firstLineChars="200"/>
        <w:jc w:val="center"/>
        <w:rPr>
          <w:b/>
          <w:sz w:val="24"/>
        </w:rPr>
      </w:pPr>
      <w:r>
        <w:rPr>
          <w:b/>
          <w:sz w:val="24"/>
        </w:rPr>
        <w:t>表</w:t>
      </w:r>
      <w:r>
        <w:rPr>
          <w:rFonts w:hint="eastAsia"/>
          <w:b/>
          <w:sz w:val="24"/>
        </w:rPr>
        <w:t>5-2</w:t>
      </w:r>
      <w:r>
        <w:rPr>
          <w:b/>
          <w:sz w:val="24"/>
        </w:rPr>
        <w:t>危险化学品存在量</w:t>
      </w:r>
    </w:p>
    <w:tbl>
      <w:tblPr>
        <w:tblStyle w:val="TableNorm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984"/>
        <w:gridCol w:w="848"/>
        <w:gridCol w:w="1268"/>
        <w:gridCol w:w="4945"/>
      </w:tblGrid>
      <w:tr>
        <w:tblPrEx>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570"/>
          <w:tblHeader/>
          <w:jc w:val="center"/>
        </w:trPr>
        <w:tc>
          <w:tcPr>
            <w:tcW w:w="1097" w:type="pct"/>
            <w:vAlign w:val="center"/>
          </w:tcPr>
          <w:p>
            <w:pPr>
              <w:autoSpaceDE w:val="0"/>
              <w:autoSpaceDN w:val="0"/>
              <w:adjustRightInd w:val="0"/>
              <w:snapToGrid w:val="0"/>
              <w:jc w:val="center"/>
              <w:rPr>
                <w:sz w:val="24"/>
              </w:rPr>
            </w:pPr>
            <w:r>
              <w:rPr>
                <w:sz w:val="24"/>
                <w:lang w:val="zh-CN"/>
              </w:rPr>
              <w:t>主要危险化学品名称</w:t>
            </w:r>
          </w:p>
        </w:tc>
        <w:tc>
          <w:tcPr>
            <w:tcW w:w="469" w:type="pct"/>
            <w:vAlign w:val="center"/>
          </w:tcPr>
          <w:p>
            <w:pPr>
              <w:autoSpaceDE w:val="0"/>
              <w:autoSpaceDN w:val="0"/>
              <w:adjustRightInd w:val="0"/>
              <w:snapToGrid w:val="0"/>
              <w:jc w:val="center"/>
              <w:rPr>
                <w:sz w:val="24"/>
              </w:rPr>
            </w:pPr>
            <w:r>
              <w:rPr>
                <w:sz w:val="24"/>
                <w:lang w:val="zh-CN"/>
              </w:rPr>
              <w:t>临界量，</w:t>
            </w:r>
            <w:r>
              <w:rPr>
                <w:sz w:val="24"/>
              </w:rPr>
              <w:t>t</w:t>
            </w:r>
          </w:p>
        </w:tc>
        <w:tc>
          <w:tcPr>
            <w:tcW w:w="701" w:type="pct"/>
            <w:vAlign w:val="center"/>
          </w:tcPr>
          <w:p>
            <w:pPr>
              <w:autoSpaceDE w:val="0"/>
              <w:autoSpaceDN w:val="0"/>
              <w:adjustRightInd w:val="0"/>
              <w:snapToGrid w:val="0"/>
              <w:jc w:val="center"/>
              <w:rPr>
                <w:sz w:val="24"/>
              </w:rPr>
            </w:pPr>
            <w:r>
              <w:rPr>
                <w:sz w:val="24"/>
                <w:lang w:val="zh-CN"/>
              </w:rPr>
              <w:t>危险化学品的量</w:t>
            </w:r>
            <w:r>
              <w:rPr>
                <w:sz w:val="24"/>
              </w:rPr>
              <w:t>，t</w:t>
            </w:r>
          </w:p>
        </w:tc>
        <w:tc>
          <w:tcPr>
            <w:tcW w:w="2733" w:type="pct"/>
            <w:vAlign w:val="center"/>
          </w:tcPr>
          <w:p>
            <w:pPr>
              <w:autoSpaceDE w:val="0"/>
              <w:autoSpaceDN w:val="0"/>
              <w:adjustRightInd w:val="0"/>
              <w:snapToGrid w:val="0"/>
              <w:jc w:val="center"/>
              <w:rPr>
                <w:sz w:val="24"/>
              </w:rPr>
            </w:pPr>
            <w:r>
              <w:rPr>
                <w:sz w:val="24"/>
                <w:lang w:val="zh-CN"/>
              </w:rPr>
              <w:t>是否构成危险化学品重大危险源</w:t>
            </w:r>
          </w:p>
        </w:tc>
      </w:tr>
      <w:tr>
        <w:tblPrEx>
          <w:tblW w:w="4900" w:type="pct"/>
          <w:jc w:val="center"/>
          <w:tblCellMar>
            <w:top w:w="0" w:type="dxa"/>
            <w:left w:w="108" w:type="dxa"/>
            <w:bottom w:w="0" w:type="dxa"/>
            <w:right w:w="108" w:type="dxa"/>
          </w:tblCellMar>
          <w:tblLook w:val="0000"/>
        </w:tblPrEx>
        <w:trPr>
          <w:cantSplit/>
          <w:trHeight w:val="606"/>
          <w:jc w:val="center"/>
        </w:trPr>
        <w:tc>
          <w:tcPr>
            <w:tcW w:w="1097" w:type="pct"/>
            <w:vAlign w:val="center"/>
          </w:tcPr>
          <w:p>
            <w:pPr>
              <w:adjustRightInd w:val="0"/>
              <w:snapToGrid w:val="0"/>
              <w:jc w:val="center"/>
              <w:rPr>
                <w:sz w:val="24"/>
              </w:rPr>
            </w:pPr>
            <w:r>
              <w:rPr>
                <w:sz w:val="24"/>
              </w:rPr>
              <w:t>吸塑胶</w:t>
            </w:r>
          </w:p>
        </w:tc>
        <w:tc>
          <w:tcPr>
            <w:tcW w:w="469" w:type="pct"/>
            <w:vAlign w:val="center"/>
          </w:tcPr>
          <w:p>
            <w:pPr>
              <w:adjustRightInd w:val="0"/>
              <w:snapToGrid w:val="0"/>
              <w:jc w:val="center"/>
              <w:rPr>
                <w:sz w:val="24"/>
              </w:rPr>
            </w:pPr>
            <w:r>
              <w:rPr>
                <w:sz w:val="24"/>
              </w:rPr>
              <w:t>5000</w:t>
            </w:r>
          </w:p>
        </w:tc>
        <w:tc>
          <w:tcPr>
            <w:tcW w:w="701" w:type="pct"/>
            <w:vAlign w:val="center"/>
          </w:tcPr>
          <w:p>
            <w:pPr>
              <w:adjustRightInd w:val="0"/>
              <w:snapToGrid w:val="0"/>
              <w:jc w:val="center"/>
              <w:rPr>
                <w:sz w:val="24"/>
              </w:rPr>
            </w:pPr>
            <w:r>
              <w:rPr>
                <w:sz w:val="24"/>
              </w:rPr>
              <w:t>0.8</w:t>
            </w:r>
          </w:p>
        </w:tc>
        <w:tc>
          <w:tcPr>
            <w:tcW w:w="2733" w:type="pct"/>
            <w:vAlign w:val="center"/>
          </w:tcPr>
          <w:p>
            <w:pPr>
              <w:autoSpaceDE w:val="0"/>
              <w:autoSpaceDN w:val="0"/>
              <w:adjustRightInd w:val="0"/>
              <w:snapToGrid w:val="0"/>
              <w:jc w:val="center"/>
              <w:rPr>
                <w:i/>
                <w:sz w:val="24"/>
              </w:rPr>
            </w:pPr>
          </w:p>
        </w:tc>
      </w:tr>
    </w:tbl>
    <w:p>
      <w:pPr>
        <w:adjustRightInd w:val="0"/>
        <w:snapToGrid w:val="0"/>
        <w:spacing w:line="360" w:lineRule="auto"/>
        <w:ind w:firstLine="560" w:firstLineChars="200"/>
        <w:rPr>
          <w:sz w:val="28"/>
          <w:szCs w:val="28"/>
        </w:rPr>
      </w:pPr>
      <w:r>
        <w:rPr>
          <w:sz w:val="28"/>
          <w:szCs w:val="28"/>
        </w:rPr>
        <w:t>由上表可知，厂区储存的化学品不构成危险化学品重大危险源。</w:t>
      </w:r>
    </w:p>
    <w:p>
      <w:pPr>
        <w:pStyle w:val="Heading2"/>
        <w:adjustRightInd w:val="0"/>
        <w:snapToGrid w:val="0"/>
        <w:spacing w:before="0" w:after="0" w:line="360" w:lineRule="auto"/>
        <w:rPr>
          <w:rFonts w:ascii="Times New Roman" w:eastAsia="楷体" w:hAnsi="Times New Roman"/>
        </w:rPr>
      </w:pPr>
      <w:bookmarkStart w:id="201" w:name="_Toc521869720"/>
      <w:bookmarkStart w:id="202" w:name="_Toc360976336"/>
      <w:bookmarkStart w:id="203" w:name="_Toc522091610"/>
      <w:bookmarkStart w:id="204" w:name="_Toc14347196"/>
      <w:r>
        <w:rPr>
          <w:rFonts w:ascii="Times New Roman" w:eastAsia="楷体" w:hAnsi="Times New Roman"/>
        </w:rPr>
        <w:t>5.3辨识结果</w:t>
      </w:r>
      <w:bookmarkEnd w:id="201"/>
      <w:bookmarkEnd w:id="202"/>
      <w:bookmarkEnd w:id="203"/>
      <w:bookmarkEnd w:id="204"/>
    </w:p>
    <w:p>
      <w:pPr>
        <w:adjustRightInd w:val="0"/>
        <w:snapToGrid w:val="0"/>
        <w:spacing w:line="360" w:lineRule="auto"/>
        <w:ind w:firstLine="560" w:firstLineChars="200"/>
        <w:rPr>
          <w:sz w:val="28"/>
          <w:szCs w:val="28"/>
        </w:rPr>
      </w:pPr>
      <w:r>
        <w:rPr>
          <w:sz w:val="28"/>
          <w:szCs w:val="28"/>
        </w:rPr>
        <w:t>该项目吸塑胶等物料的储存量远小于《危险化学品重大危险源辨识》（GB18218-2018）规定的临界量，不构成危险化学品重大危险源。</w:t>
      </w:r>
      <w:r>
        <w:rPr>
          <w:sz w:val="28"/>
          <w:szCs w:val="28"/>
        </w:rPr>
        <w:br/>
      </w:r>
      <w:r>
        <w:rPr>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0" w:history="1">
        <w:r>
          <w:rPr>
            <w:rFonts w:ascii="SimSun" w:eastAsia="SimSun" w:hAnsi="SimSun" w:cs="SimSun"/>
            <w:b/>
            <w:bCs/>
            <w:color w:val="0000EE"/>
            <w:kern w:val="0"/>
            <w:sz w:val="30"/>
            <w:szCs w:val="30"/>
            <w:u w:val="single" w:color="0000EE"/>
          </w:rPr>
          <w:t>https://d.book118.com/618027063063006023</w:t>
        </w:r>
      </w:hyperlink>
    </w:p>
    <w:p>
      <w:pPr>
        <w:adjustRightInd w:val="0"/>
        <w:snapToGrid w:val="0"/>
        <w:spacing w:line="360" w:lineRule="auto"/>
        <w:ind w:firstLine="560" w:firstLineChars="200"/>
        <w:rPr>
          <w:sz w:val="28"/>
          <w:szCs w:val="28"/>
        </w:rPr>
      </w:pPr>
    </w:p>
    <w:sectPr>
      <w:headerReference w:type="default" r:id="rId101"/>
      <w:footerReference w:type="default" r:id="rId102"/>
      <w:type w:val="nextPage"/>
      <w:pgSz w:w="11906" w:h="16838"/>
      <w:pgMar w:top="1418" w:right="1418" w:bottom="1361" w:left="1474" w:header="993" w:footer="980" w:gutter="0"/>
      <w:pgNumType w:start="3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auto"/>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font-weight : 400">
    <w:altName w:val="Courier New"/>
    <w:panose1 w:val="00000000000000000000"/>
    <w:charset w:val="00"/>
    <w:family w:val="auto"/>
    <w:pitch w:val="default"/>
    <w:sig w:usb0="00000003"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rPr>
        <w:lang w:val="zh-CN"/>
      </w:rPr>
      <w:t>I</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rPr>
        <w:lang w:val="zh-CN"/>
      </w:rPr>
      <w:t>II</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rPr>
        <w:lang w:val="zh-CN"/>
      </w:rPr>
      <w:t>I</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rPr>
        <w:lang w:val="zh-CN"/>
      </w:rPr>
      <w:t>II</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rPr>
        <w:lang w:val="zh-CN"/>
      </w:rPr>
      <w:t>III</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4</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5</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5</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6</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7</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8</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9</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11</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11</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13</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13</w:t>
    </w:r>
    <w: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14</w:t>
    </w:r>
    <w: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15</w:t>
    </w:r>
    <w: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16</w:t>
    </w:r>
    <w: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17</w:t>
    </w:r>
    <w: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19</w:t>
    </w:r>
    <w: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19</w:t>
    </w:r>
    <w: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20</w:t>
    </w:r>
    <w: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21</w:t>
    </w:r>
    <w: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22</w:t>
    </w:r>
    <w:r>
      <w:fldChar w:fldCharType="end"/>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23</w:t>
    </w:r>
    <w: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24</w:t>
    </w:r>
    <w: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25</w:t>
    </w:r>
    <w: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27</w:t>
    </w:r>
    <w:r>
      <w:fldChar w:fldCharType="end"/>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28</w:t>
    </w:r>
    <w: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28</w:t>
    </w:r>
    <w:r>
      <w:fldChar w:fldCharType="end"/>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29</w:t>
    </w:r>
    <w: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30</w:t>
    </w:r>
    <w:r>
      <w:fldChar w:fldCharType="end"/>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31</w:t>
    </w:r>
    <w:r>
      <w:fldChar w:fldCharType="end"/>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32</w:t>
    </w:r>
    <w:r>
      <w:fldChar w:fldCharType="end"/>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33</w:t>
    </w:r>
    <w: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34</w:t>
    </w:r>
    <w:r>
      <w:fldChar w:fldCharType="end"/>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35</w:t>
    </w:r>
    <w:r>
      <w:fldChar w:fldCharType="end"/>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36</w:t>
    </w:r>
    <w:r>
      <w:fldChar w:fldCharType="end"/>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37</w:t>
    </w:r>
    <w:r>
      <w:fldChar w:fldCharType="end"/>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rFonts w:hint="eastAsia"/>
        <w:lang w:eastAsia="zh-CN"/>
      </w:rPr>
      <w:t>XX</w:t>
    </w:r>
    <w:r>
      <w:rPr>
        <w:rFonts w:hint="eastAsia"/>
      </w:rPr>
      <w:t>宇泰建筑设计有限公司</w:t>
    </w:r>
    <w:r>
      <w:fldChar w:fldCharType="begin"/>
    </w:r>
    <w:r>
      <w:instrText xml:space="preserve"> PAGE   \* MERGEFORMAT </w:instrText>
    </w:r>
    <w:r>
      <w:fldChar w:fldCharType="separate"/>
    </w:r>
    <w:r>
      <w:t>38</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XX家具有限公司</w:t>
    </w:r>
    <w:r>
      <w:rPr>
        <w:rFonts w:hint="eastAsia"/>
      </w:rPr>
      <w:t>年产10万套木质家具生产线建设项目安全设施设计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221FB"/>
    <w:multiLevelType w:val="multilevel"/>
    <w:tmpl w:val="54F221FB"/>
    <w:lvl w:ilvl="0">
      <w:start w:val="1"/>
      <w:numFmt w:val="decimal"/>
      <w:suff w:val="nothing"/>
      <w:lvlText w:val="%1"/>
      <w:lvlJc w:val="center"/>
      <w:pPr>
        <w:ind w:left="0" w:firstLine="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379"/>
    <w:rsid w:val="00001875"/>
    <w:rsid w:val="000050DC"/>
    <w:rsid w:val="00005944"/>
    <w:rsid w:val="00005A32"/>
    <w:rsid w:val="000105C4"/>
    <w:rsid w:val="00010CFB"/>
    <w:rsid w:val="00011389"/>
    <w:rsid w:val="000117EB"/>
    <w:rsid w:val="000126D9"/>
    <w:rsid w:val="00013C50"/>
    <w:rsid w:val="0001509C"/>
    <w:rsid w:val="00015DA3"/>
    <w:rsid w:val="00016511"/>
    <w:rsid w:val="000168DE"/>
    <w:rsid w:val="000168FB"/>
    <w:rsid w:val="0001789E"/>
    <w:rsid w:val="000200D1"/>
    <w:rsid w:val="000201D2"/>
    <w:rsid w:val="00020606"/>
    <w:rsid w:val="00020789"/>
    <w:rsid w:val="00020940"/>
    <w:rsid w:val="00020A44"/>
    <w:rsid w:val="00023CAA"/>
    <w:rsid w:val="000244E0"/>
    <w:rsid w:val="00024540"/>
    <w:rsid w:val="00024961"/>
    <w:rsid w:val="00025BA4"/>
    <w:rsid w:val="000269CF"/>
    <w:rsid w:val="000273D8"/>
    <w:rsid w:val="000276DC"/>
    <w:rsid w:val="00027BD1"/>
    <w:rsid w:val="00030FDC"/>
    <w:rsid w:val="00031143"/>
    <w:rsid w:val="00031259"/>
    <w:rsid w:val="00031C84"/>
    <w:rsid w:val="000357BA"/>
    <w:rsid w:val="00035999"/>
    <w:rsid w:val="00035AFD"/>
    <w:rsid w:val="00036A46"/>
    <w:rsid w:val="00036DAB"/>
    <w:rsid w:val="00037660"/>
    <w:rsid w:val="000417F9"/>
    <w:rsid w:val="00043A81"/>
    <w:rsid w:val="000451F6"/>
    <w:rsid w:val="0004596F"/>
    <w:rsid w:val="0004769B"/>
    <w:rsid w:val="0004778E"/>
    <w:rsid w:val="00050DBC"/>
    <w:rsid w:val="00052910"/>
    <w:rsid w:val="0005412D"/>
    <w:rsid w:val="000550BA"/>
    <w:rsid w:val="00055A5E"/>
    <w:rsid w:val="0005684A"/>
    <w:rsid w:val="0006054E"/>
    <w:rsid w:val="00060DBA"/>
    <w:rsid w:val="000621B2"/>
    <w:rsid w:val="00062E12"/>
    <w:rsid w:val="00062EB2"/>
    <w:rsid w:val="000648D8"/>
    <w:rsid w:val="00065774"/>
    <w:rsid w:val="00066498"/>
    <w:rsid w:val="000664DC"/>
    <w:rsid w:val="0006690B"/>
    <w:rsid w:val="00070902"/>
    <w:rsid w:val="00070A43"/>
    <w:rsid w:val="00072403"/>
    <w:rsid w:val="000731A5"/>
    <w:rsid w:val="000734D3"/>
    <w:rsid w:val="00073DBA"/>
    <w:rsid w:val="00074816"/>
    <w:rsid w:val="00076519"/>
    <w:rsid w:val="00080804"/>
    <w:rsid w:val="00083BF8"/>
    <w:rsid w:val="00083E74"/>
    <w:rsid w:val="00084075"/>
    <w:rsid w:val="000843F3"/>
    <w:rsid w:val="00084676"/>
    <w:rsid w:val="000848EF"/>
    <w:rsid w:val="0008522A"/>
    <w:rsid w:val="0008574A"/>
    <w:rsid w:val="000863CE"/>
    <w:rsid w:val="00086DD4"/>
    <w:rsid w:val="00087A6C"/>
    <w:rsid w:val="00087BF6"/>
    <w:rsid w:val="00091090"/>
    <w:rsid w:val="00091531"/>
    <w:rsid w:val="0009182C"/>
    <w:rsid w:val="0009336B"/>
    <w:rsid w:val="0009399F"/>
    <w:rsid w:val="0009455E"/>
    <w:rsid w:val="000947F7"/>
    <w:rsid w:val="00094BA3"/>
    <w:rsid w:val="00094C79"/>
    <w:rsid w:val="00096725"/>
    <w:rsid w:val="000979D4"/>
    <w:rsid w:val="00097BA3"/>
    <w:rsid w:val="000A06A2"/>
    <w:rsid w:val="000A0718"/>
    <w:rsid w:val="000A1AE9"/>
    <w:rsid w:val="000A1B12"/>
    <w:rsid w:val="000A32D6"/>
    <w:rsid w:val="000A3BA0"/>
    <w:rsid w:val="000A3CEF"/>
    <w:rsid w:val="000A42D8"/>
    <w:rsid w:val="000A6547"/>
    <w:rsid w:val="000A6A04"/>
    <w:rsid w:val="000A6D6E"/>
    <w:rsid w:val="000A70E9"/>
    <w:rsid w:val="000A790D"/>
    <w:rsid w:val="000B00FA"/>
    <w:rsid w:val="000B287F"/>
    <w:rsid w:val="000B55C7"/>
    <w:rsid w:val="000B7476"/>
    <w:rsid w:val="000B7B4F"/>
    <w:rsid w:val="000C08DE"/>
    <w:rsid w:val="000C0BF3"/>
    <w:rsid w:val="000C11FD"/>
    <w:rsid w:val="000C140D"/>
    <w:rsid w:val="000C3545"/>
    <w:rsid w:val="000C3587"/>
    <w:rsid w:val="000C45E2"/>
    <w:rsid w:val="000C4950"/>
    <w:rsid w:val="000C54B2"/>
    <w:rsid w:val="000C565E"/>
    <w:rsid w:val="000C6A6A"/>
    <w:rsid w:val="000C7A9A"/>
    <w:rsid w:val="000D11F6"/>
    <w:rsid w:val="000D1345"/>
    <w:rsid w:val="000D1EFC"/>
    <w:rsid w:val="000D3114"/>
    <w:rsid w:val="000D3A63"/>
    <w:rsid w:val="000D3D9E"/>
    <w:rsid w:val="000D5B53"/>
    <w:rsid w:val="000D6296"/>
    <w:rsid w:val="000D6F5A"/>
    <w:rsid w:val="000E18EC"/>
    <w:rsid w:val="000E20A2"/>
    <w:rsid w:val="000E27DF"/>
    <w:rsid w:val="000E2AC7"/>
    <w:rsid w:val="000E3282"/>
    <w:rsid w:val="000E3D39"/>
    <w:rsid w:val="000E56DF"/>
    <w:rsid w:val="000E5CA7"/>
    <w:rsid w:val="000E770E"/>
    <w:rsid w:val="000E7E51"/>
    <w:rsid w:val="000F0875"/>
    <w:rsid w:val="000F12C1"/>
    <w:rsid w:val="000F1418"/>
    <w:rsid w:val="000F3362"/>
    <w:rsid w:val="000F3B83"/>
    <w:rsid w:val="000F4A32"/>
    <w:rsid w:val="000F68A2"/>
    <w:rsid w:val="001011B7"/>
    <w:rsid w:val="00101A0F"/>
    <w:rsid w:val="00105B24"/>
    <w:rsid w:val="00105C0C"/>
    <w:rsid w:val="00105C15"/>
    <w:rsid w:val="001066B9"/>
    <w:rsid w:val="00106BA5"/>
    <w:rsid w:val="001070F6"/>
    <w:rsid w:val="00113645"/>
    <w:rsid w:val="00113CBF"/>
    <w:rsid w:val="00113E93"/>
    <w:rsid w:val="0011484A"/>
    <w:rsid w:val="00115243"/>
    <w:rsid w:val="00115480"/>
    <w:rsid w:val="00115E21"/>
    <w:rsid w:val="0011662A"/>
    <w:rsid w:val="0011668D"/>
    <w:rsid w:val="001230AF"/>
    <w:rsid w:val="00125670"/>
    <w:rsid w:val="00126BE6"/>
    <w:rsid w:val="00126FDD"/>
    <w:rsid w:val="00130533"/>
    <w:rsid w:val="00131652"/>
    <w:rsid w:val="001328C8"/>
    <w:rsid w:val="00132F76"/>
    <w:rsid w:val="00134AEF"/>
    <w:rsid w:val="00136696"/>
    <w:rsid w:val="00136A2D"/>
    <w:rsid w:val="0014044A"/>
    <w:rsid w:val="00142DD8"/>
    <w:rsid w:val="00142E22"/>
    <w:rsid w:val="00145107"/>
    <w:rsid w:val="001455F1"/>
    <w:rsid w:val="00145DBC"/>
    <w:rsid w:val="001461A7"/>
    <w:rsid w:val="00146382"/>
    <w:rsid w:val="00150A8C"/>
    <w:rsid w:val="00150E63"/>
    <w:rsid w:val="001512C9"/>
    <w:rsid w:val="0015168B"/>
    <w:rsid w:val="001524B1"/>
    <w:rsid w:val="001537A4"/>
    <w:rsid w:val="00153910"/>
    <w:rsid w:val="001557A6"/>
    <w:rsid w:val="00156F16"/>
    <w:rsid w:val="0016153C"/>
    <w:rsid w:val="0016210E"/>
    <w:rsid w:val="0016247C"/>
    <w:rsid w:val="00162E42"/>
    <w:rsid w:val="001639BD"/>
    <w:rsid w:val="0016568C"/>
    <w:rsid w:val="00166C02"/>
    <w:rsid w:val="00170302"/>
    <w:rsid w:val="001704F5"/>
    <w:rsid w:val="0017081C"/>
    <w:rsid w:val="00170ADF"/>
    <w:rsid w:val="0017175B"/>
    <w:rsid w:val="00171789"/>
    <w:rsid w:val="00172745"/>
    <w:rsid w:val="00172759"/>
    <w:rsid w:val="00173A67"/>
    <w:rsid w:val="0017452D"/>
    <w:rsid w:val="00174C8A"/>
    <w:rsid w:val="00175F28"/>
    <w:rsid w:val="001771D4"/>
    <w:rsid w:val="00177E1F"/>
    <w:rsid w:val="00182F14"/>
    <w:rsid w:val="001837C2"/>
    <w:rsid w:val="00183CAF"/>
    <w:rsid w:val="00185F86"/>
    <w:rsid w:val="001860F2"/>
    <w:rsid w:val="001869F1"/>
    <w:rsid w:val="001876BC"/>
    <w:rsid w:val="0018779F"/>
    <w:rsid w:val="00187A51"/>
    <w:rsid w:val="001917F4"/>
    <w:rsid w:val="001930C3"/>
    <w:rsid w:val="00193F7A"/>
    <w:rsid w:val="00194252"/>
    <w:rsid w:val="001942D2"/>
    <w:rsid w:val="0019507A"/>
    <w:rsid w:val="0019566F"/>
    <w:rsid w:val="00196A07"/>
    <w:rsid w:val="00196C83"/>
    <w:rsid w:val="001973EE"/>
    <w:rsid w:val="001A054A"/>
    <w:rsid w:val="001A222D"/>
    <w:rsid w:val="001A23B1"/>
    <w:rsid w:val="001A286B"/>
    <w:rsid w:val="001A29A7"/>
    <w:rsid w:val="001A3440"/>
    <w:rsid w:val="001A4D0B"/>
    <w:rsid w:val="001A5469"/>
    <w:rsid w:val="001A7835"/>
    <w:rsid w:val="001A7B87"/>
    <w:rsid w:val="001A7F7F"/>
    <w:rsid w:val="001B0001"/>
    <w:rsid w:val="001B0676"/>
    <w:rsid w:val="001B0CDC"/>
    <w:rsid w:val="001B205D"/>
    <w:rsid w:val="001B288A"/>
    <w:rsid w:val="001B5696"/>
    <w:rsid w:val="001B645A"/>
    <w:rsid w:val="001C1998"/>
    <w:rsid w:val="001C2023"/>
    <w:rsid w:val="001C24E7"/>
    <w:rsid w:val="001C24FD"/>
    <w:rsid w:val="001C3DC4"/>
    <w:rsid w:val="001C3F96"/>
    <w:rsid w:val="001C7843"/>
    <w:rsid w:val="001D1E15"/>
    <w:rsid w:val="001D1E39"/>
    <w:rsid w:val="001D457A"/>
    <w:rsid w:val="001D4FF6"/>
    <w:rsid w:val="001D65CF"/>
    <w:rsid w:val="001E1683"/>
    <w:rsid w:val="001E2125"/>
    <w:rsid w:val="001E2413"/>
    <w:rsid w:val="001E2824"/>
    <w:rsid w:val="001E2867"/>
    <w:rsid w:val="001E2C0D"/>
    <w:rsid w:val="001E3C7B"/>
    <w:rsid w:val="001E4498"/>
    <w:rsid w:val="001E4CB4"/>
    <w:rsid w:val="001E54F9"/>
    <w:rsid w:val="001E55F5"/>
    <w:rsid w:val="001E6261"/>
    <w:rsid w:val="001E67E5"/>
    <w:rsid w:val="001E6E28"/>
    <w:rsid w:val="001E7656"/>
    <w:rsid w:val="001E78CF"/>
    <w:rsid w:val="001E7CAA"/>
    <w:rsid w:val="001E7E36"/>
    <w:rsid w:val="001F03EE"/>
    <w:rsid w:val="001F057F"/>
    <w:rsid w:val="001F05E7"/>
    <w:rsid w:val="001F09A9"/>
    <w:rsid w:val="001F23A0"/>
    <w:rsid w:val="001F3FFC"/>
    <w:rsid w:val="001F5420"/>
    <w:rsid w:val="001F5D38"/>
    <w:rsid w:val="001F612B"/>
    <w:rsid w:val="00200489"/>
    <w:rsid w:val="00200C67"/>
    <w:rsid w:val="002020BA"/>
    <w:rsid w:val="002034C3"/>
    <w:rsid w:val="002036D4"/>
    <w:rsid w:val="00203A17"/>
    <w:rsid w:val="00205A2C"/>
    <w:rsid w:val="00205CA9"/>
    <w:rsid w:val="00206FDC"/>
    <w:rsid w:val="00207E89"/>
    <w:rsid w:val="00210100"/>
    <w:rsid w:val="00213267"/>
    <w:rsid w:val="00213D37"/>
    <w:rsid w:val="00215DCD"/>
    <w:rsid w:val="002172CB"/>
    <w:rsid w:val="00217818"/>
    <w:rsid w:val="002200FA"/>
    <w:rsid w:val="00220564"/>
    <w:rsid w:val="00220810"/>
    <w:rsid w:val="002210EA"/>
    <w:rsid w:val="002215A5"/>
    <w:rsid w:val="0022175D"/>
    <w:rsid w:val="0022216E"/>
    <w:rsid w:val="002240F2"/>
    <w:rsid w:val="0022462F"/>
    <w:rsid w:val="0022560E"/>
    <w:rsid w:val="002266D3"/>
    <w:rsid w:val="00227349"/>
    <w:rsid w:val="002307D5"/>
    <w:rsid w:val="00230B37"/>
    <w:rsid w:val="002318AA"/>
    <w:rsid w:val="00231B28"/>
    <w:rsid w:val="002327C5"/>
    <w:rsid w:val="00233550"/>
    <w:rsid w:val="002350F0"/>
    <w:rsid w:val="00237A00"/>
    <w:rsid w:val="00237A26"/>
    <w:rsid w:val="002401D4"/>
    <w:rsid w:val="002412DD"/>
    <w:rsid w:val="002444DB"/>
    <w:rsid w:val="002445C9"/>
    <w:rsid w:val="00245085"/>
    <w:rsid w:val="002453CE"/>
    <w:rsid w:val="002458DD"/>
    <w:rsid w:val="00246242"/>
    <w:rsid w:val="002468B7"/>
    <w:rsid w:val="00246FD9"/>
    <w:rsid w:val="0024711F"/>
    <w:rsid w:val="0025007A"/>
    <w:rsid w:val="00252BCD"/>
    <w:rsid w:val="00253C78"/>
    <w:rsid w:val="00253C84"/>
    <w:rsid w:val="002553B3"/>
    <w:rsid w:val="002578C5"/>
    <w:rsid w:val="00261110"/>
    <w:rsid w:val="002646DB"/>
    <w:rsid w:val="00264B13"/>
    <w:rsid w:val="0026698B"/>
    <w:rsid w:val="00267524"/>
    <w:rsid w:val="00272492"/>
    <w:rsid w:val="002744C0"/>
    <w:rsid w:val="00275082"/>
    <w:rsid w:val="00275C64"/>
    <w:rsid w:val="00276607"/>
    <w:rsid w:val="002824D5"/>
    <w:rsid w:val="002829C6"/>
    <w:rsid w:val="00282E86"/>
    <w:rsid w:val="0028365E"/>
    <w:rsid w:val="00283E65"/>
    <w:rsid w:val="00285406"/>
    <w:rsid w:val="002865BB"/>
    <w:rsid w:val="00286DF1"/>
    <w:rsid w:val="002907C3"/>
    <w:rsid w:val="002907E0"/>
    <w:rsid w:val="0029297C"/>
    <w:rsid w:val="00294669"/>
    <w:rsid w:val="00295069"/>
    <w:rsid w:val="00296112"/>
    <w:rsid w:val="00296D06"/>
    <w:rsid w:val="00296E2C"/>
    <w:rsid w:val="00297277"/>
    <w:rsid w:val="00297C31"/>
    <w:rsid w:val="00297D0B"/>
    <w:rsid w:val="002A0316"/>
    <w:rsid w:val="002A0422"/>
    <w:rsid w:val="002A16EA"/>
    <w:rsid w:val="002A18A8"/>
    <w:rsid w:val="002A22C3"/>
    <w:rsid w:val="002A2685"/>
    <w:rsid w:val="002A3773"/>
    <w:rsid w:val="002A3AB7"/>
    <w:rsid w:val="002A41B9"/>
    <w:rsid w:val="002A568E"/>
    <w:rsid w:val="002A5C71"/>
    <w:rsid w:val="002A5D76"/>
    <w:rsid w:val="002A7BAC"/>
    <w:rsid w:val="002A7F85"/>
    <w:rsid w:val="002B142F"/>
    <w:rsid w:val="002B1E0D"/>
    <w:rsid w:val="002B2A45"/>
    <w:rsid w:val="002B351C"/>
    <w:rsid w:val="002B361C"/>
    <w:rsid w:val="002B50DC"/>
    <w:rsid w:val="002B5909"/>
    <w:rsid w:val="002B657F"/>
    <w:rsid w:val="002B6C4A"/>
    <w:rsid w:val="002C04D6"/>
    <w:rsid w:val="002C0E05"/>
    <w:rsid w:val="002C1A87"/>
    <w:rsid w:val="002C1E2A"/>
    <w:rsid w:val="002C23B3"/>
    <w:rsid w:val="002C31BE"/>
    <w:rsid w:val="002C453D"/>
    <w:rsid w:val="002C45EA"/>
    <w:rsid w:val="002C5765"/>
    <w:rsid w:val="002C616D"/>
    <w:rsid w:val="002C633C"/>
    <w:rsid w:val="002C764B"/>
    <w:rsid w:val="002C7BD1"/>
    <w:rsid w:val="002D17B5"/>
    <w:rsid w:val="002D17C6"/>
    <w:rsid w:val="002D1979"/>
    <w:rsid w:val="002D1DFF"/>
    <w:rsid w:val="002D6B01"/>
    <w:rsid w:val="002E132A"/>
    <w:rsid w:val="002E1E41"/>
    <w:rsid w:val="002E2A81"/>
    <w:rsid w:val="002E2AF3"/>
    <w:rsid w:val="002E2FF6"/>
    <w:rsid w:val="002E3362"/>
    <w:rsid w:val="002E3818"/>
    <w:rsid w:val="002E45B6"/>
    <w:rsid w:val="002E5947"/>
    <w:rsid w:val="002E63D8"/>
    <w:rsid w:val="002E6BD0"/>
    <w:rsid w:val="002E703B"/>
    <w:rsid w:val="002F1158"/>
    <w:rsid w:val="002F1CCD"/>
    <w:rsid w:val="002F3C0D"/>
    <w:rsid w:val="002F53FE"/>
    <w:rsid w:val="002F599A"/>
    <w:rsid w:val="002F649E"/>
    <w:rsid w:val="002F6E72"/>
    <w:rsid w:val="002F774D"/>
    <w:rsid w:val="002F7841"/>
    <w:rsid w:val="002F7C59"/>
    <w:rsid w:val="00300554"/>
    <w:rsid w:val="00301ABC"/>
    <w:rsid w:val="00301B65"/>
    <w:rsid w:val="00302C1E"/>
    <w:rsid w:val="0030304D"/>
    <w:rsid w:val="0030312C"/>
    <w:rsid w:val="00303557"/>
    <w:rsid w:val="003046F3"/>
    <w:rsid w:val="00304C23"/>
    <w:rsid w:val="00305047"/>
    <w:rsid w:val="003053F8"/>
    <w:rsid w:val="00305CE5"/>
    <w:rsid w:val="00306119"/>
    <w:rsid w:val="003062EF"/>
    <w:rsid w:val="00306976"/>
    <w:rsid w:val="00306C8B"/>
    <w:rsid w:val="003124A1"/>
    <w:rsid w:val="0031274D"/>
    <w:rsid w:val="00312A9E"/>
    <w:rsid w:val="00312F0E"/>
    <w:rsid w:val="00312F91"/>
    <w:rsid w:val="00313378"/>
    <w:rsid w:val="0031403F"/>
    <w:rsid w:val="00314148"/>
    <w:rsid w:val="00314877"/>
    <w:rsid w:val="00314EE9"/>
    <w:rsid w:val="003154E6"/>
    <w:rsid w:val="003159AA"/>
    <w:rsid w:val="00315BC1"/>
    <w:rsid w:val="00316BD7"/>
    <w:rsid w:val="00316BE9"/>
    <w:rsid w:val="00316DD0"/>
    <w:rsid w:val="0031725F"/>
    <w:rsid w:val="0031758F"/>
    <w:rsid w:val="00317F4C"/>
    <w:rsid w:val="00320AF4"/>
    <w:rsid w:val="003212B0"/>
    <w:rsid w:val="00323A67"/>
    <w:rsid w:val="00324359"/>
    <w:rsid w:val="003269D2"/>
    <w:rsid w:val="00327B20"/>
    <w:rsid w:val="00330888"/>
    <w:rsid w:val="003314E7"/>
    <w:rsid w:val="003315A5"/>
    <w:rsid w:val="0033238B"/>
    <w:rsid w:val="003329DE"/>
    <w:rsid w:val="00333771"/>
    <w:rsid w:val="00333E95"/>
    <w:rsid w:val="003345CA"/>
    <w:rsid w:val="003364D7"/>
    <w:rsid w:val="003372B8"/>
    <w:rsid w:val="003408B8"/>
    <w:rsid w:val="003409CA"/>
    <w:rsid w:val="00340C2E"/>
    <w:rsid w:val="00341B00"/>
    <w:rsid w:val="00343E30"/>
    <w:rsid w:val="003440E9"/>
    <w:rsid w:val="0034486C"/>
    <w:rsid w:val="003478AA"/>
    <w:rsid w:val="003509F1"/>
    <w:rsid w:val="00351471"/>
    <w:rsid w:val="00352639"/>
    <w:rsid w:val="00353CDD"/>
    <w:rsid w:val="003540CA"/>
    <w:rsid w:val="00354371"/>
    <w:rsid w:val="00355124"/>
    <w:rsid w:val="00355527"/>
    <w:rsid w:val="00355807"/>
    <w:rsid w:val="0035695F"/>
    <w:rsid w:val="00356CBA"/>
    <w:rsid w:val="0036179F"/>
    <w:rsid w:val="00362A69"/>
    <w:rsid w:val="0036427C"/>
    <w:rsid w:val="003642DD"/>
    <w:rsid w:val="00364404"/>
    <w:rsid w:val="00365B13"/>
    <w:rsid w:val="003660BE"/>
    <w:rsid w:val="00370157"/>
    <w:rsid w:val="00371E41"/>
    <w:rsid w:val="0037236B"/>
    <w:rsid w:val="00372761"/>
    <w:rsid w:val="0037464B"/>
    <w:rsid w:val="003768A7"/>
    <w:rsid w:val="003779D1"/>
    <w:rsid w:val="00377C9C"/>
    <w:rsid w:val="003811CA"/>
    <w:rsid w:val="0038210A"/>
    <w:rsid w:val="00383E57"/>
    <w:rsid w:val="0038419C"/>
    <w:rsid w:val="00384504"/>
    <w:rsid w:val="00385200"/>
    <w:rsid w:val="00385537"/>
    <w:rsid w:val="003856AA"/>
    <w:rsid w:val="00385B99"/>
    <w:rsid w:val="00386F37"/>
    <w:rsid w:val="00387A39"/>
    <w:rsid w:val="00387D67"/>
    <w:rsid w:val="00387EBA"/>
    <w:rsid w:val="00390193"/>
    <w:rsid w:val="00391038"/>
    <w:rsid w:val="00393AE7"/>
    <w:rsid w:val="003A1F9E"/>
    <w:rsid w:val="003A2DD6"/>
    <w:rsid w:val="003A34AF"/>
    <w:rsid w:val="003A3EB3"/>
    <w:rsid w:val="003A4A89"/>
    <w:rsid w:val="003A4D31"/>
    <w:rsid w:val="003A6203"/>
    <w:rsid w:val="003A6711"/>
    <w:rsid w:val="003B231F"/>
    <w:rsid w:val="003B2C76"/>
    <w:rsid w:val="003B2F5C"/>
    <w:rsid w:val="003B3A71"/>
    <w:rsid w:val="003B5B23"/>
    <w:rsid w:val="003B6DBA"/>
    <w:rsid w:val="003B7EC8"/>
    <w:rsid w:val="003C19AE"/>
    <w:rsid w:val="003C1F9E"/>
    <w:rsid w:val="003C2FAF"/>
    <w:rsid w:val="003C33A0"/>
    <w:rsid w:val="003D00A9"/>
    <w:rsid w:val="003D077D"/>
    <w:rsid w:val="003D0F98"/>
    <w:rsid w:val="003D126D"/>
    <w:rsid w:val="003D5D9D"/>
    <w:rsid w:val="003D5F61"/>
    <w:rsid w:val="003D6E83"/>
    <w:rsid w:val="003E02F4"/>
    <w:rsid w:val="003E0A14"/>
    <w:rsid w:val="003E549B"/>
    <w:rsid w:val="003E7D53"/>
    <w:rsid w:val="003F03C4"/>
    <w:rsid w:val="003F24D2"/>
    <w:rsid w:val="003F2825"/>
    <w:rsid w:val="003F2E38"/>
    <w:rsid w:val="003F3A54"/>
    <w:rsid w:val="003F49A8"/>
    <w:rsid w:val="003F5F7D"/>
    <w:rsid w:val="003F61C5"/>
    <w:rsid w:val="003F69A9"/>
    <w:rsid w:val="003F777E"/>
    <w:rsid w:val="00400351"/>
    <w:rsid w:val="0040125F"/>
    <w:rsid w:val="00403008"/>
    <w:rsid w:val="0040528C"/>
    <w:rsid w:val="00410583"/>
    <w:rsid w:val="004124DC"/>
    <w:rsid w:val="004126CC"/>
    <w:rsid w:val="0041319F"/>
    <w:rsid w:val="004131EA"/>
    <w:rsid w:val="0041464C"/>
    <w:rsid w:val="00414F64"/>
    <w:rsid w:val="00415259"/>
    <w:rsid w:val="00416155"/>
    <w:rsid w:val="004177AA"/>
    <w:rsid w:val="004179A3"/>
    <w:rsid w:val="00417D0A"/>
    <w:rsid w:val="0042108F"/>
    <w:rsid w:val="00421919"/>
    <w:rsid w:val="00421C8B"/>
    <w:rsid w:val="00422E37"/>
    <w:rsid w:val="0042436C"/>
    <w:rsid w:val="0042491E"/>
    <w:rsid w:val="00425365"/>
    <w:rsid w:val="004264B4"/>
    <w:rsid w:val="004266C8"/>
    <w:rsid w:val="00426A6C"/>
    <w:rsid w:val="004270ED"/>
    <w:rsid w:val="004271F6"/>
    <w:rsid w:val="0043008A"/>
    <w:rsid w:val="00430F3A"/>
    <w:rsid w:val="00431C67"/>
    <w:rsid w:val="00432159"/>
    <w:rsid w:val="004329F5"/>
    <w:rsid w:val="0043340F"/>
    <w:rsid w:val="00433638"/>
    <w:rsid w:val="004351A5"/>
    <w:rsid w:val="00435348"/>
    <w:rsid w:val="004353C5"/>
    <w:rsid w:val="00436142"/>
    <w:rsid w:val="004364B7"/>
    <w:rsid w:val="004369B9"/>
    <w:rsid w:val="00437DA2"/>
    <w:rsid w:val="00440153"/>
    <w:rsid w:val="004416F3"/>
    <w:rsid w:val="0044178D"/>
    <w:rsid w:val="00442137"/>
    <w:rsid w:val="004439BE"/>
    <w:rsid w:val="00443D15"/>
    <w:rsid w:val="004441A3"/>
    <w:rsid w:val="004458B7"/>
    <w:rsid w:val="00446407"/>
    <w:rsid w:val="00446B88"/>
    <w:rsid w:val="00447505"/>
    <w:rsid w:val="00451002"/>
    <w:rsid w:val="0045160B"/>
    <w:rsid w:val="00452084"/>
    <w:rsid w:val="00452367"/>
    <w:rsid w:val="00452A59"/>
    <w:rsid w:val="00452B44"/>
    <w:rsid w:val="00453120"/>
    <w:rsid w:val="004535C8"/>
    <w:rsid w:val="0045540E"/>
    <w:rsid w:val="004574C8"/>
    <w:rsid w:val="00461CDE"/>
    <w:rsid w:val="0046203E"/>
    <w:rsid w:val="00463067"/>
    <w:rsid w:val="004640BB"/>
    <w:rsid w:val="00464187"/>
    <w:rsid w:val="00467350"/>
    <w:rsid w:val="0047043B"/>
    <w:rsid w:val="0047050D"/>
    <w:rsid w:val="00470D7E"/>
    <w:rsid w:val="00472CA9"/>
    <w:rsid w:val="00472FB6"/>
    <w:rsid w:val="0047344C"/>
    <w:rsid w:val="00473C39"/>
    <w:rsid w:val="00473DC8"/>
    <w:rsid w:val="00473EEB"/>
    <w:rsid w:val="004741F7"/>
    <w:rsid w:val="00474577"/>
    <w:rsid w:val="00474E9C"/>
    <w:rsid w:val="0047523D"/>
    <w:rsid w:val="0047558F"/>
    <w:rsid w:val="0047631F"/>
    <w:rsid w:val="004767B8"/>
    <w:rsid w:val="004768A3"/>
    <w:rsid w:val="0048255C"/>
    <w:rsid w:val="00482C69"/>
    <w:rsid w:val="00483406"/>
    <w:rsid w:val="00485FF5"/>
    <w:rsid w:val="00486073"/>
    <w:rsid w:val="0048636B"/>
    <w:rsid w:val="004867F9"/>
    <w:rsid w:val="004868B0"/>
    <w:rsid w:val="00486904"/>
    <w:rsid w:val="00491CB0"/>
    <w:rsid w:val="004922D8"/>
    <w:rsid w:val="00493404"/>
    <w:rsid w:val="00493651"/>
    <w:rsid w:val="004952E2"/>
    <w:rsid w:val="004958BD"/>
    <w:rsid w:val="00495E5F"/>
    <w:rsid w:val="0049678F"/>
    <w:rsid w:val="00496EE7"/>
    <w:rsid w:val="00497D1D"/>
    <w:rsid w:val="004A1321"/>
    <w:rsid w:val="004A1C6F"/>
    <w:rsid w:val="004A1F2E"/>
    <w:rsid w:val="004A2884"/>
    <w:rsid w:val="004A3512"/>
    <w:rsid w:val="004A4E80"/>
    <w:rsid w:val="004A6091"/>
    <w:rsid w:val="004A6A9C"/>
    <w:rsid w:val="004A6C5F"/>
    <w:rsid w:val="004A76DB"/>
    <w:rsid w:val="004A76F1"/>
    <w:rsid w:val="004B12C3"/>
    <w:rsid w:val="004B1724"/>
    <w:rsid w:val="004B1A6A"/>
    <w:rsid w:val="004B1B7F"/>
    <w:rsid w:val="004B1E6C"/>
    <w:rsid w:val="004B1FEC"/>
    <w:rsid w:val="004B29AF"/>
    <w:rsid w:val="004B33E8"/>
    <w:rsid w:val="004B4636"/>
    <w:rsid w:val="004B56B8"/>
    <w:rsid w:val="004B7976"/>
    <w:rsid w:val="004C012A"/>
    <w:rsid w:val="004C27BB"/>
    <w:rsid w:val="004C3381"/>
    <w:rsid w:val="004C393E"/>
    <w:rsid w:val="004C3A74"/>
    <w:rsid w:val="004C4E4D"/>
    <w:rsid w:val="004C51EE"/>
    <w:rsid w:val="004C62E8"/>
    <w:rsid w:val="004C6D16"/>
    <w:rsid w:val="004C757B"/>
    <w:rsid w:val="004C76E6"/>
    <w:rsid w:val="004C7789"/>
    <w:rsid w:val="004D2EDF"/>
    <w:rsid w:val="004D4157"/>
    <w:rsid w:val="004D428F"/>
    <w:rsid w:val="004D4385"/>
    <w:rsid w:val="004D4CE7"/>
    <w:rsid w:val="004D4E40"/>
    <w:rsid w:val="004D5449"/>
    <w:rsid w:val="004D5538"/>
    <w:rsid w:val="004D646B"/>
    <w:rsid w:val="004D7A97"/>
    <w:rsid w:val="004E1608"/>
    <w:rsid w:val="004E1726"/>
    <w:rsid w:val="004E18CB"/>
    <w:rsid w:val="004E210D"/>
    <w:rsid w:val="004E2752"/>
    <w:rsid w:val="004E3658"/>
    <w:rsid w:val="004E4061"/>
    <w:rsid w:val="004E4659"/>
    <w:rsid w:val="004E59A2"/>
    <w:rsid w:val="004E5C51"/>
    <w:rsid w:val="004E64B2"/>
    <w:rsid w:val="004F0A0C"/>
    <w:rsid w:val="004F1E89"/>
    <w:rsid w:val="004F20AF"/>
    <w:rsid w:val="004F2EAC"/>
    <w:rsid w:val="004F30C9"/>
    <w:rsid w:val="004F33B4"/>
    <w:rsid w:val="004F4631"/>
    <w:rsid w:val="004F733E"/>
    <w:rsid w:val="005004A1"/>
    <w:rsid w:val="0050239C"/>
    <w:rsid w:val="005024D5"/>
    <w:rsid w:val="0050454B"/>
    <w:rsid w:val="00504B1A"/>
    <w:rsid w:val="00505132"/>
    <w:rsid w:val="005066F8"/>
    <w:rsid w:val="00506A7D"/>
    <w:rsid w:val="00506D29"/>
    <w:rsid w:val="00511537"/>
    <w:rsid w:val="005127F7"/>
    <w:rsid w:val="00512E6C"/>
    <w:rsid w:val="005130DB"/>
    <w:rsid w:val="0051379F"/>
    <w:rsid w:val="00513843"/>
    <w:rsid w:val="005205BA"/>
    <w:rsid w:val="0052061C"/>
    <w:rsid w:val="00521172"/>
    <w:rsid w:val="00521256"/>
    <w:rsid w:val="00521772"/>
    <w:rsid w:val="0052252C"/>
    <w:rsid w:val="00523EDE"/>
    <w:rsid w:val="0052541A"/>
    <w:rsid w:val="005261DE"/>
    <w:rsid w:val="00526AAA"/>
    <w:rsid w:val="00527314"/>
    <w:rsid w:val="005311AD"/>
    <w:rsid w:val="005341CD"/>
    <w:rsid w:val="0053490A"/>
    <w:rsid w:val="00535016"/>
    <w:rsid w:val="00535835"/>
    <w:rsid w:val="00536727"/>
    <w:rsid w:val="00536A06"/>
    <w:rsid w:val="005378C1"/>
    <w:rsid w:val="005417AF"/>
    <w:rsid w:val="005419FC"/>
    <w:rsid w:val="00542970"/>
    <w:rsid w:val="00545941"/>
    <w:rsid w:val="00550F65"/>
    <w:rsid w:val="005515F6"/>
    <w:rsid w:val="00551A42"/>
    <w:rsid w:val="00551C0B"/>
    <w:rsid w:val="00553A51"/>
    <w:rsid w:val="00553D43"/>
    <w:rsid w:val="00554DC8"/>
    <w:rsid w:val="00554F7D"/>
    <w:rsid w:val="0055550D"/>
    <w:rsid w:val="00556817"/>
    <w:rsid w:val="005577E7"/>
    <w:rsid w:val="00560592"/>
    <w:rsid w:val="00561505"/>
    <w:rsid w:val="00563E17"/>
    <w:rsid w:val="00563EC8"/>
    <w:rsid w:val="00566FD3"/>
    <w:rsid w:val="00567772"/>
    <w:rsid w:val="00567858"/>
    <w:rsid w:val="0057144E"/>
    <w:rsid w:val="00571CEB"/>
    <w:rsid w:val="00572033"/>
    <w:rsid w:val="00572FD9"/>
    <w:rsid w:val="00574972"/>
    <w:rsid w:val="0057519C"/>
    <w:rsid w:val="00577319"/>
    <w:rsid w:val="0057763C"/>
    <w:rsid w:val="00577ABE"/>
    <w:rsid w:val="00585A85"/>
    <w:rsid w:val="005860DA"/>
    <w:rsid w:val="0058701A"/>
    <w:rsid w:val="00587CFC"/>
    <w:rsid w:val="00592EA4"/>
    <w:rsid w:val="005946A4"/>
    <w:rsid w:val="00595009"/>
    <w:rsid w:val="0059573A"/>
    <w:rsid w:val="00595C98"/>
    <w:rsid w:val="00597536"/>
    <w:rsid w:val="005A08D1"/>
    <w:rsid w:val="005A0A60"/>
    <w:rsid w:val="005A0B5B"/>
    <w:rsid w:val="005A0F5C"/>
    <w:rsid w:val="005A30B6"/>
    <w:rsid w:val="005A3A7F"/>
    <w:rsid w:val="005A43C6"/>
    <w:rsid w:val="005A4B5C"/>
    <w:rsid w:val="005A6DCE"/>
    <w:rsid w:val="005A7362"/>
    <w:rsid w:val="005B0072"/>
    <w:rsid w:val="005B0546"/>
    <w:rsid w:val="005B06DD"/>
    <w:rsid w:val="005B2486"/>
    <w:rsid w:val="005B24F4"/>
    <w:rsid w:val="005B47D3"/>
    <w:rsid w:val="005B5272"/>
    <w:rsid w:val="005B602E"/>
    <w:rsid w:val="005B652D"/>
    <w:rsid w:val="005B6A53"/>
    <w:rsid w:val="005C01E7"/>
    <w:rsid w:val="005C0277"/>
    <w:rsid w:val="005C110F"/>
    <w:rsid w:val="005C3B78"/>
    <w:rsid w:val="005C47B2"/>
    <w:rsid w:val="005C485D"/>
    <w:rsid w:val="005C59DD"/>
    <w:rsid w:val="005C5E97"/>
    <w:rsid w:val="005C60DE"/>
    <w:rsid w:val="005C698D"/>
    <w:rsid w:val="005C7FB5"/>
    <w:rsid w:val="005D0E2D"/>
    <w:rsid w:val="005D19F6"/>
    <w:rsid w:val="005D2F31"/>
    <w:rsid w:val="005D4B02"/>
    <w:rsid w:val="005D5227"/>
    <w:rsid w:val="005D5CBF"/>
    <w:rsid w:val="005D740B"/>
    <w:rsid w:val="005E1022"/>
    <w:rsid w:val="005E1197"/>
    <w:rsid w:val="005E1297"/>
    <w:rsid w:val="005E1D9B"/>
    <w:rsid w:val="005E24C7"/>
    <w:rsid w:val="005E3242"/>
    <w:rsid w:val="005E5909"/>
    <w:rsid w:val="005E5EA2"/>
    <w:rsid w:val="005E70C8"/>
    <w:rsid w:val="005E77D5"/>
    <w:rsid w:val="005E7D54"/>
    <w:rsid w:val="005F0AFB"/>
    <w:rsid w:val="005F186C"/>
    <w:rsid w:val="005F196B"/>
    <w:rsid w:val="005F4E1B"/>
    <w:rsid w:val="005F63BC"/>
    <w:rsid w:val="006004C5"/>
    <w:rsid w:val="006013CD"/>
    <w:rsid w:val="00601463"/>
    <w:rsid w:val="00601EDE"/>
    <w:rsid w:val="00602F03"/>
    <w:rsid w:val="00603237"/>
    <w:rsid w:val="00604620"/>
    <w:rsid w:val="006067B5"/>
    <w:rsid w:val="006072A4"/>
    <w:rsid w:val="00610C9C"/>
    <w:rsid w:val="00611138"/>
    <w:rsid w:val="00611238"/>
    <w:rsid w:val="00611DB4"/>
    <w:rsid w:val="006125BB"/>
    <w:rsid w:val="006128E2"/>
    <w:rsid w:val="00612A36"/>
    <w:rsid w:val="0061435F"/>
    <w:rsid w:val="00614E7C"/>
    <w:rsid w:val="00614F7E"/>
    <w:rsid w:val="006157E8"/>
    <w:rsid w:val="00616B6E"/>
    <w:rsid w:val="006176B4"/>
    <w:rsid w:val="00622068"/>
    <w:rsid w:val="00623FF5"/>
    <w:rsid w:val="00623FFB"/>
    <w:rsid w:val="00624511"/>
    <w:rsid w:val="006253B2"/>
    <w:rsid w:val="00625F16"/>
    <w:rsid w:val="00627CE6"/>
    <w:rsid w:val="00630235"/>
    <w:rsid w:val="00630B88"/>
    <w:rsid w:val="006314EE"/>
    <w:rsid w:val="00632390"/>
    <w:rsid w:val="00632AA6"/>
    <w:rsid w:val="00634E9F"/>
    <w:rsid w:val="00635DF6"/>
    <w:rsid w:val="006377A6"/>
    <w:rsid w:val="00637D6E"/>
    <w:rsid w:val="00640A8F"/>
    <w:rsid w:val="00643028"/>
    <w:rsid w:val="006442DF"/>
    <w:rsid w:val="00644DEF"/>
    <w:rsid w:val="00644F97"/>
    <w:rsid w:val="00645532"/>
    <w:rsid w:val="00650FDC"/>
    <w:rsid w:val="006516FC"/>
    <w:rsid w:val="00651DB0"/>
    <w:rsid w:val="0065321A"/>
    <w:rsid w:val="006547ED"/>
    <w:rsid w:val="006564E0"/>
    <w:rsid w:val="00660221"/>
    <w:rsid w:val="0066132B"/>
    <w:rsid w:val="00661803"/>
    <w:rsid w:val="00663064"/>
    <w:rsid w:val="006636C1"/>
    <w:rsid w:val="00664094"/>
    <w:rsid w:val="00664203"/>
    <w:rsid w:val="00664628"/>
    <w:rsid w:val="0066529A"/>
    <w:rsid w:val="006652C0"/>
    <w:rsid w:val="006654CA"/>
    <w:rsid w:val="00666CC4"/>
    <w:rsid w:val="00667433"/>
    <w:rsid w:val="006674E0"/>
    <w:rsid w:val="006679DD"/>
    <w:rsid w:val="00667E14"/>
    <w:rsid w:val="00670590"/>
    <w:rsid w:val="006708BA"/>
    <w:rsid w:val="00671143"/>
    <w:rsid w:val="006712F5"/>
    <w:rsid w:val="00671C51"/>
    <w:rsid w:val="0067244A"/>
    <w:rsid w:val="00672AFE"/>
    <w:rsid w:val="00673268"/>
    <w:rsid w:val="00673784"/>
    <w:rsid w:val="00673D22"/>
    <w:rsid w:val="00673F21"/>
    <w:rsid w:val="00674C59"/>
    <w:rsid w:val="00674FE3"/>
    <w:rsid w:val="0067535B"/>
    <w:rsid w:val="00675F40"/>
    <w:rsid w:val="00676954"/>
    <w:rsid w:val="00680101"/>
    <w:rsid w:val="00680465"/>
    <w:rsid w:val="00680A4C"/>
    <w:rsid w:val="00680BFE"/>
    <w:rsid w:val="00681D1A"/>
    <w:rsid w:val="00682829"/>
    <w:rsid w:val="00684D87"/>
    <w:rsid w:val="00685960"/>
    <w:rsid w:val="00686FF6"/>
    <w:rsid w:val="00690D83"/>
    <w:rsid w:val="00691013"/>
    <w:rsid w:val="00691FEA"/>
    <w:rsid w:val="00692FFA"/>
    <w:rsid w:val="00694043"/>
    <w:rsid w:val="006941C7"/>
    <w:rsid w:val="00695682"/>
    <w:rsid w:val="006959B9"/>
    <w:rsid w:val="00695E77"/>
    <w:rsid w:val="00696465"/>
    <w:rsid w:val="006969EE"/>
    <w:rsid w:val="006A0BA4"/>
    <w:rsid w:val="006A344A"/>
    <w:rsid w:val="006A4F62"/>
    <w:rsid w:val="006A5A5B"/>
    <w:rsid w:val="006A68B0"/>
    <w:rsid w:val="006A693B"/>
    <w:rsid w:val="006B0EFB"/>
    <w:rsid w:val="006B1FF0"/>
    <w:rsid w:val="006B2C82"/>
    <w:rsid w:val="006B2F11"/>
    <w:rsid w:val="006B3E78"/>
    <w:rsid w:val="006B47DB"/>
    <w:rsid w:val="006B508F"/>
    <w:rsid w:val="006B518C"/>
    <w:rsid w:val="006B54FA"/>
    <w:rsid w:val="006B65B3"/>
    <w:rsid w:val="006B6766"/>
    <w:rsid w:val="006C0993"/>
    <w:rsid w:val="006C2FF9"/>
    <w:rsid w:val="006C308B"/>
    <w:rsid w:val="006C6C8F"/>
    <w:rsid w:val="006C753E"/>
    <w:rsid w:val="006D1707"/>
    <w:rsid w:val="006D249E"/>
    <w:rsid w:val="006D538C"/>
    <w:rsid w:val="006D53BD"/>
    <w:rsid w:val="006D67C8"/>
    <w:rsid w:val="006D753D"/>
    <w:rsid w:val="006E0EAD"/>
    <w:rsid w:val="006E2695"/>
    <w:rsid w:val="006E27B2"/>
    <w:rsid w:val="006E4253"/>
    <w:rsid w:val="006E5A44"/>
    <w:rsid w:val="006E5BA2"/>
    <w:rsid w:val="006E68B3"/>
    <w:rsid w:val="006E6EDF"/>
    <w:rsid w:val="006F1451"/>
    <w:rsid w:val="006F16C1"/>
    <w:rsid w:val="006F62A2"/>
    <w:rsid w:val="006F6495"/>
    <w:rsid w:val="006F72EF"/>
    <w:rsid w:val="006F7E4C"/>
    <w:rsid w:val="007015CC"/>
    <w:rsid w:val="00702111"/>
    <w:rsid w:val="007026ED"/>
    <w:rsid w:val="00702EE6"/>
    <w:rsid w:val="00702F87"/>
    <w:rsid w:val="00705C1C"/>
    <w:rsid w:val="00706086"/>
    <w:rsid w:val="00706CE4"/>
    <w:rsid w:val="007070E8"/>
    <w:rsid w:val="0071011D"/>
    <w:rsid w:val="007103B3"/>
    <w:rsid w:val="007106FD"/>
    <w:rsid w:val="00710B13"/>
    <w:rsid w:val="00710D37"/>
    <w:rsid w:val="00711A94"/>
    <w:rsid w:val="00712503"/>
    <w:rsid w:val="007127D6"/>
    <w:rsid w:val="007138E3"/>
    <w:rsid w:val="00714EC0"/>
    <w:rsid w:val="0071578E"/>
    <w:rsid w:val="00715A04"/>
    <w:rsid w:val="007237A2"/>
    <w:rsid w:val="007238BB"/>
    <w:rsid w:val="00723AEC"/>
    <w:rsid w:val="007256E4"/>
    <w:rsid w:val="00732C34"/>
    <w:rsid w:val="00732CF2"/>
    <w:rsid w:val="00733043"/>
    <w:rsid w:val="007332B3"/>
    <w:rsid w:val="007336CB"/>
    <w:rsid w:val="00734426"/>
    <w:rsid w:val="007359F3"/>
    <w:rsid w:val="00737280"/>
    <w:rsid w:val="0074000A"/>
    <w:rsid w:val="00742182"/>
    <w:rsid w:val="00742223"/>
    <w:rsid w:val="00742389"/>
    <w:rsid w:val="00742D78"/>
    <w:rsid w:val="00744135"/>
    <w:rsid w:val="007447C3"/>
    <w:rsid w:val="0074517E"/>
    <w:rsid w:val="00745DD5"/>
    <w:rsid w:val="00746BF4"/>
    <w:rsid w:val="0074736C"/>
    <w:rsid w:val="00752954"/>
    <w:rsid w:val="007533A1"/>
    <w:rsid w:val="00753424"/>
    <w:rsid w:val="00753F9E"/>
    <w:rsid w:val="007540C0"/>
    <w:rsid w:val="00755583"/>
    <w:rsid w:val="00755648"/>
    <w:rsid w:val="007620BE"/>
    <w:rsid w:val="00762A9D"/>
    <w:rsid w:val="00763663"/>
    <w:rsid w:val="007637FD"/>
    <w:rsid w:val="00763D8F"/>
    <w:rsid w:val="00764309"/>
    <w:rsid w:val="007651DF"/>
    <w:rsid w:val="007658EC"/>
    <w:rsid w:val="007659D0"/>
    <w:rsid w:val="0076675B"/>
    <w:rsid w:val="00766832"/>
    <w:rsid w:val="007678A3"/>
    <w:rsid w:val="00773BFC"/>
    <w:rsid w:val="00773E08"/>
    <w:rsid w:val="00774E8D"/>
    <w:rsid w:val="00776291"/>
    <w:rsid w:val="007807AD"/>
    <w:rsid w:val="0078150E"/>
    <w:rsid w:val="00781914"/>
    <w:rsid w:val="00781990"/>
    <w:rsid w:val="0078258E"/>
    <w:rsid w:val="0078467B"/>
    <w:rsid w:val="007850E6"/>
    <w:rsid w:val="00785156"/>
    <w:rsid w:val="0078653D"/>
    <w:rsid w:val="00787417"/>
    <w:rsid w:val="00790119"/>
    <w:rsid w:val="00791774"/>
    <w:rsid w:val="00795A3C"/>
    <w:rsid w:val="00795ABB"/>
    <w:rsid w:val="00795ABF"/>
    <w:rsid w:val="00795C5D"/>
    <w:rsid w:val="00797F04"/>
    <w:rsid w:val="007A01C6"/>
    <w:rsid w:val="007A1199"/>
    <w:rsid w:val="007A11EA"/>
    <w:rsid w:val="007A1761"/>
    <w:rsid w:val="007A1B29"/>
    <w:rsid w:val="007A336C"/>
    <w:rsid w:val="007A3BE6"/>
    <w:rsid w:val="007A443A"/>
    <w:rsid w:val="007A44C2"/>
    <w:rsid w:val="007A497B"/>
    <w:rsid w:val="007A4CFF"/>
    <w:rsid w:val="007A7B76"/>
    <w:rsid w:val="007A7C28"/>
    <w:rsid w:val="007B0F56"/>
    <w:rsid w:val="007B2573"/>
    <w:rsid w:val="007B2C78"/>
    <w:rsid w:val="007B3125"/>
    <w:rsid w:val="007B3452"/>
    <w:rsid w:val="007B3FE7"/>
    <w:rsid w:val="007B440F"/>
    <w:rsid w:val="007B542A"/>
    <w:rsid w:val="007B5CA2"/>
    <w:rsid w:val="007B5D51"/>
    <w:rsid w:val="007B5E76"/>
    <w:rsid w:val="007B6702"/>
    <w:rsid w:val="007B7338"/>
    <w:rsid w:val="007C1BD0"/>
    <w:rsid w:val="007C28BF"/>
    <w:rsid w:val="007C36CE"/>
    <w:rsid w:val="007C4233"/>
    <w:rsid w:val="007C565A"/>
    <w:rsid w:val="007C574C"/>
    <w:rsid w:val="007C5DFB"/>
    <w:rsid w:val="007D1D71"/>
    <w:rsid w:val="007D2639"/>
    <w:rsid w:val="007D272E"/>
    <w:rsid w:val="007D276B"/>
    <w:rsid w:val="007D2D8C"/>
    <w:rsid w:val="007D33B8"/>
    <w:rsid w:val="007D373C"/>
    <w:rsid w:val="007D4F0B"/>
    <w:rsid w:val="007D5436"/>
    <w:rsid w:val="007D76EF"/>
    <w:rsid w:val="007D7C26"/>
    <w:rsid w:val="007E2A1F"/>
    <w:rsid w:val="007E2B14"/>
    <w:rsid w:val="007E3483"/>
    <w:rsid w:val="007E4236"/>
    <w:rsid w:val="007E4C27"/>
    <w:rsid w:val="007E57E5"/>
    <w:rsid w:val="007E7ACA"/>
    <w:rsid w:val="007F0326"/>
    <w:rsid w:val="007F052B"/>
    <w:rsid w:val="007F05C8"/>
    <w:rsid w:val="007F13A9"/>
    <w:rsid w:val="007F16C0"/>
    <w:rsid w:val="007F28DD"/>
    <w:rsid w:val="007F4B5F"/>
    <w:rsid w:val="007F5020"/>
    <w:rsid w:val="007F554C"/>
    <w:rsid w:val="007F64C7"/>
    <w:rsid w:val="007F7598"/>
    <w:rsid w:val="0080129D"/>
    <w:rsid w:val="00801FED"/>
    <w:rsid w:val="00802F72"/>
    <w:rsid w:val="0080708E"/>
    <w:rsid w:val="00810739"/>
    <w:rsid w:val="00811ED3"/>
    <w:rsid w:val="00811ED4"/>
    <w:rsid w:val="00812432"/>
    <w:rsid w:val="00812553"/>
    <w:rsid w:val="00812BD4"/>
    <w:rsid w:val="008132D8"/>
    <w:rsid w:val="008134A0"/>
    <w:rsid w:val="00814C66"/>
    <w:rsid w:val="00815BD7"/>
    <w:rsid w:val="008162B7"/>
    <w:rsid w:val="00816958"/>
    <w:rsid w:val="00816BD1"/>
    <w:rsid w:val="008179C7"/>
    <w:rsid w:val="00817A71"/>
    <w:rsid w:val="00821187"/>
    <w:rsid w:val="00821684"/>
    <w:rsid w:val="00821888"/>
    <w:rsid w:val="00822F56"/>
    <w:rsid w:val="00823176"/>
    <w:rsid w:val="0082365E"/>
    <w:rsid w:val="00824CCF"/>
    <w:rsid w:val="0082547A"/>
    <w:rsid w:val="008269A4"/>
    <w:rsid w:val="00827CEE"/>
    <w:rsid w:val="008307D7"/>
    <w:rsid w:val="0083152C"/>
    <w:rsid w:val="00831A05"/>
    <w:rsid w:val="00833D71"/>
    <w:rsid w:val="00834B00"/>
    <w:rsid w:val="00835B4E"/>
    <w:rsid w:val="00835E04"/>
    <w:rsid w:val="00836305"/>
    <w:rsid w:val="0083651E"/>
    <w:rsid w:val="008368A9"/>
    <w:rsid w:val="00837856"/>
    <w:rsid w:val="008410D7"/>
    <w:rsid w:val="00842129"/>
    <w:rsid w:val="00842FB2"/>
    <w:rsid w:val="00843FE8"/>
    <w:rsid w:val="00844D79"/>
    <w:rsid w:val="00846FD4"/>
    <w:rsid w:val="008506ED"/>
    <w:rsid w:val="008511F2"/>
    <w:rsid w:val="0085124E"/>
    <w:rsid w:val="0085464E"/>
    <w:rsid w:val="00854FA1"/>
    <w:rsid w:val="00854FA5"/>
    <w:rsid w:val="00856C28"/>
    <w:rsid w:val="00860B4C"/>
    <w:rsid w:val="00863B59"/>
    <w:rsid w:val="00863D86"/>
    <w:rsid w:val="00864B60"/>
    <w:rsid w:val="008650D1"/>
    <w:rsid w:val="00865DC1"/>
    <w:rsid w:val="00867B20"/>
    <w:rsid w:val="00870197"/>
    <w:rsid w:val="0087061B"/>
    <w:rsid w:val="00870C57"/>
    <w:rsid w:val="00870F5D"/>
    <w:rsid w:val="008710EE"/>
    <w:rsid w:val="0087234E"/>
    <w:rsid w:val="00872B00"/>
    <w:rsid w:val="008736EE"/>
    <w:rsid w:val="00873716"/>
    <w:rsid w:val="008742A8"/>
    <w:rsid w:val="00876A6A"/>
    <w:rsid w:val="00877003"/>
    <w:rsid w:val="008778F1"/>
    <w:rsid w:val="008806BF"/>
    <w:rsid w:val="00880F2E"/>
    <w:rsid w:val="008834E0"/>
    <w:rsid w:val="00884D1F"/>
    <w:rsid w:val="0088515F"/>
    <w:rsid w:val="008860CB"/>
    <w:rsid w:val="00886CD6"/>
    <w:rsid w:val="008876F2"/>
    <w:rsid w:val="00887D30"/>
    <w:rsid w:val="008901DB"/>
    <w:rsid w:val="008909DF"/>
    <w:rsid w:val="00891009"/>
    <w:rsid w:val="00893322"/>
    <w:rsid w:val="00893A37"/>
    <w:rsid w:val="008942F2"/>
    <w:rsid w:val="00894D65"/>
    <w:rsid w:val="008951ED"/>
    <w:rsid w:val="00895EE6"/>
    <w:rsid w:val="00896240"/>
    <w:rsid w:val="008969DB"/>
    <w:rsid w:val="008A0A2D"/>
    <w:rsid w:val="008A0B51"/>
    <w:rsid w:val="008A2650"/>
    <w:rsid w:val="008A2661"/>
    <w:rsid w:val="008A2C47"/>
    <w:rsid w:val="008A326D"/>
    <w:rsid w:val="008A67F9"/>
    <w:rsid w:val="008B00FF"/>
    <w:rsid w:val="008B2937"/>
    <w:rsid w:val="008B4F99"/>
    <w:rsid w:val="008B5C86"/>
    <w:rsid w:val="008B68F9"/>
    <w:rsid w:val="008B75CA"/>
    <w:rsid w:val="008C0EA4"/>
    <w:rsid w:val="008C2E0A"/>
    <w:rsid w:val="008C2F8D"/>
    <w:rsid w:val="008C35EE"/>
    <w:rsid w:val="008C3DF9"/>
    <w:rsid w:val="008C6DF0"/>
    <w:rsid w:val="008C7790"/>
    <w:rsid w:val="008C7EB3"/>
    <w:rsid w:val="008D205B"/>
    <w:rsid w:val="008D26F6"/>
    <w:rsid w:val="008D28B8"/>
    <w:rsid w:val="008D365E"/>
    <w:rsid w:val="008D37F8"/>
    <w:rsid w:val="008D3E7F"/>
    <w:rsid w:val="008D4A5D"/>
    <w:rsid w:val="008D5163"/>
    <w:rsid w:val="008D5EE9"/>
    <w:rsid w:val="008E015C"/>
    <w:rsid w:val="008E0FBF"/>
    <w:rsid w:val="008E0FC8"/>
    <w:rsid w:val="008E17EB"/>
    <w:rsid w:val="008E4056"/>
    <w:rsid w:val="008E4BD2"/>
    <w:rsid w:val="008E5732"/>
    <w:rsid w:val="008E57CB"/>
    <w:rsid w:val="008E6747"/>
    <w:rsid w:val="008E7397"/>
    <w:rsid w:val="008E7677"/>
    <w:rsid w:val="008F0311"/>
    <w:rsid w:val="008F04AA"/>
    <w:rsid w:val="008F08A2"/>
    <w:rsid w:val="008F0CE5"/>
    <w:rsid w:val="008F0FB2"/>
    <w:rsid w:val="008F245A"/>
    <w:rsid w:val="008F2940"/>
    <w:rsid w:val="008F3C89"/>
    <w:rsid w:val="008F5E82"/>
    <w:rsid w:val="008F63BF"/>
    <w:rsid w:val="00900E8F"/>
    <w:rsid w:val="00900E94"/>
    <w:rsid w:val="00901A88"/>
    <w:rsid w:val="00901D61"/>
    <w:rsid w:val="00902536"/>
    <w:rsid w:val="009026F9"/>
    <w:rsid w:val="009041A6"/>
    <w:rsid w:val="00905D73"/>
    <w:rsid w:val="00907CE1"/>
    <w:rsid w:val="0091137D"/>
    <w:rsid w:val="009122D0"/>
    <w:rsid w:val="00914F48"/>
    <w:rsid w:val="00915803"/>
    <w:rsid w:val="009160A7"/>
    <w:rsid w:val="00916192"/>
    <w:rsid w:val="00916BCE"/>
    <w:rsid w:val="00916F0B"/>
    <w:rsid w:val="00920056"/>
    <w:rsid w:val="00921479"/>
    <w:rsid w:val="00922BCF"/>
    <w:rsid w:val="00923457"/>
    <w:rsid w:val="00923C0D"/>
    <w:rsid w:val="0092434F"/>
    <w:rsid w:val="0092495D"/>
    <w:rsid w:val="00924B9F"/>
    <w:rsid w:val="00925201"/>
    <w:rsid w:val="00925640"/>
    <w:rsid w:val="00925E03"/>
    <w:rsid w:val="0092617F"/>
    <w:rsid w:val="009269FA"/>
    <w:rsid w:val="00930544"/>
    <w:rsid w:val="0093113F"/>
    <w:rsid w:val="00931B6B"/>
    <w:rsid w:val="00932007"/>
    <w:rsid w:val="009323CE"/>
    <w:rsid w:val="00932512"/>
    <w:rsid w:val="00934448"/>
    <w:rsid w:val="0093646B"/>
    <w:rsid w:val="00937AC7"/>
    <w:rsid w:val="00941E00"/>
    <w:rsid w:val="00942094"/>
    <w:rsid w:val="00942FA0"/>
    <w:rsid w:val="00943D9E"/>
    <w:rsid w:val="0094529C"/>
    <w:rsid w:val="00945C82"/>
    <w:rsid w:val="009473D8"/>
    <w:rsid w:val="0094785C"/>
    <w:rsid w:val="0095118A"/>
    <w:rsid w:val="009514E3"/>
    <w:rsid w:val="0095175B"/>
    <w:rsid w:val="009529A9"/>
    <w:rsid w:val="00952E55"/>
    <w:rsid w:val="00956ADB"/>
    <w:rsid w:val="00956BC8"/>
    <w:rsid w:val="009602BB"/>
    <w:rsid w:val="00961E5C"/>
    <w:rsid w:val="009620C1"/>
    <w:rsid w:val="00963906"/>
    <w:rsid w:val="00964C54"/>
    <w:rsid w:val="00965464"/>
    <w:rsid w:val="00966622"/>
    <w:rsid w:val="0096665A"/>
    <w:rsid w:val="00966B6E"/>
    <w:rsid w:val="00967854"/>
    <w:rsid w:val="009702A6"/>
    <w:rsid w:val="00970469"/>
    <w:rsid w:val="009704B9"/>
    <w:rsid w:val="00970AF3"/>
    <w:rsid w:val="009727C7"/>
    <w:rsid w:val="00973835"/>
    <w:rsid w:val="00974F4D"/>
    <w:rsid w:val="00976AAC"/>
    <w:rsid w:val="00980B92"/>
    <w:rsid w:val="00980D9C"/>
    <w:rsid w:val="00982A69"/>
    <w:rsid w:val="00982CEE"/>
    <w:rsid w:val="00985E52"/>
    <w:rsid w:val="00987C3F"/>
    <w:rsid w:val="00991EE7"/>
    <w:rsid w:val="00993260"/>
    <w:rsid w:val="00994594"/>
    <w:rsid w:val="00994E59"/>
    <w:rsid w:val="00995586"/>
    <w:rsid w:val="0099729A"/>
    <w:rsid w:val="00997BD7"/>
    <w:rsid w:val="009A3170"/>
    <w:rsid w:val="009A3C77"/>
    <w:rsid w:val="009A540B"/>
    <w:rsid w:val="009A649F"/>
    <w:rsid w:val="009A7EC1"/>
    <w:rsid w:val="009A7F89"/>
    <w:rsid w:val="009B0359"/>
    <w:rsid w:val="009B071D"/>
    <w:rsid w:val="009B1B11"/>
    <w:rsid w:val="009B1F0E"/>
    <w:rsid w:val="009B21AC"/>
    <w:rsid w:val="009B22C3"/>
    <w:rsid w:val="009B3ED2"/>
    <w:rsid w:val="009B4541"/>
    <w:rsid w:val="009B4B06"/>
    <w:rsid w:val="009B4FCB"/>
    <w:rsid w:val="009B5A78"/>
    <w:rsid w:val="009B61A7"/>
    <w:rsid w:val="009B6397"/>
    <w:rsid w:val="009B6D95"/>
    <w:rsid w:val="009B6ECB"/>
    <w:rsid w:val="009B7621"/>
    <w:rsid w:val="009C0500"/>
    <w:rsid w:val="009C17BE"/>
    <w:rsid w:val="009C274D"/>
    <w:rsid w:val="009C3DCB"/>
    <w:rsid w:val="009C57A2"/>
    <w:rsid w:val="009C7862"/>
    <w:rsid w:val="009C7B29"/>
    <w:rsid w:val="009D0642"/>
    <w:rsid w:val="009D232C"/>
    <w:rsid w:val="009D2580"/>
    <w:rsid w:val="009D3660"/>
    <w:rsid w:val="009D3B8E"/>
    <w:rsid w:val="009D3E8E"/>
    <w:rsid w:val="009D519D"/>
    <w:rsid w:val="009D52A2"/>
    <w:rsid w:val="009D6711"/>
    <w:rsid w:val="009D6BEE"/>
    <w:rsid w:val="009D7192"/>
    <w:rsid w:val="009D7AB7"/>
    <w:rsid w:val="009D7C18"/>
    <w:rsid w:val="009E03D6"/>
    <w:rsid w:val="009E2E34"/>
    <w:rsid w:val="009E2F4E"/>
    <w:rsid w:val="009E6008"/>
    <w:rsid w:val="009F12A7"/>
    <w:rsid w:val="009F1FF1"/>
    <w:rsid w:val="009F2061"/>
    <w:rsid w:val="009F3B78"/>
    <w:rsid w:val="009F4247"/>
    <w:rsid w:val="009F4AE4"/>
    <w:rsid w:val="009F660A"/>
    <w:rsid w:val="009F6744"/>
    <w:rsid w:val="009F6A27"/>
    <w:rsid w:val="00A0021F"/>
    <w:rsid w:val="00A00845"/>
    <w:rsid w:val="00A00FF8"/>
    <w:rsid w:val="00A0272B"/>
    <w:rsid w:val="00A02BD9"/>
    <w:rsid w:val="00A04C79"/>
    <w:rsid w:val="00A0572D"/>
    <w:rsid w:val="00A05C9A"/>
    <w:rsid w:val="00A0693B"/>
    <w:rsid w:val="00A06AF0"/>
    <w:rsid w:val="00A06B96"/>
    <w:rsid w:val="00A07CE7"/>
    <w:rsid w:val="00A11090"/>
    <w:rsid w:val="00A12701"/>
    <w:rsid w:val="00A13EB0"/>
    <w:rsid w:val="00A1445B"/>
    <w:rsid w:val="00A14B0F"/>
    <w:rsid w:val="00A15764"/>
    <w:rsid w:val="00A16BDA"/>
    <w:rsid w:val="00A171F3"/>
    <w:rsid w:val="00A201D7"/>
    <w:rsid w:val="00A21366"/>
    <w:rsid w:val="00A2218E"/>
    <w:rsid w:val="00A23DC0"/>
    <w:rsid w:val="00A24535"/>
    <w:rsid w:val="00A24CCD"/>
    <w:rsid w:val="00A2661E"/>
    <w:rsid w:val="00A27410"/>
    <w:rsid w:val="00A2799E"/>
    <w:rsid w:val="00A30030"/>
    <w:rsid w:val="00A31391"/>
    <w:rsid w:val="00A31D81"/>
    <w:rsid w:val="00A325FA"/>
    <w:rsid w:val="00A32CA5"/>
    <w:rsid w:val="00A34AAF"/>
    <w:rsid w:val="00A34C28"/>
    <w:rsid w:val="00A3566C"/>
    <w:rsid w:val="00A36450"/>
    <w:rsid w:val="00A3661C"/>
    <w:rsid w:val="00A403BC"/>
    <w:rsid w:val="00A4184F"/>
    <w:rsid w:val="00A426AD"/>
    <w:rsid w:val="00A42CAD"/>
    <w:rsid w:val="00A434B2"/>
    <w:rsid w:val="00A449A4"/>
    <w:rsid w:val="00A44CDE"/>
    <w:rsid w:val="00A4653E"/>
    <w:rsid w:val="00A47019"/>
    <w:rsid w:val="00A501BB"/>
    <w:rsid w:val="00A50765"/>
    <w:rsid w:val="00A51BAE"/>
    <w:rsid w:val="00A52312"/>
    <w:rsid w:val="00A52A24"/>
    <w:rsid w:val="00A52BD7"/>
    <w:rsid w:val="00A5406F"/>
    <w:rsid w:val="00A545B0"/>
    <w:rsid w:val="00A5519B"/>
    <w:rsid w:val="00A55382"/>
    <w:rsid w:val="00A554B1"/>
    <w:rsid w:val="00A578B7"/>
    <w:rsid w:val="00A62706"/>
    <w:rsid w:val="00A657E9"/>
    <w:rsid w:val="00A666FA"/>
    <w:rsid w:val="00A66A42"/>
    <w:rsid w:val="00A66CFC"/>
    <w:rsid w:val="00A67441"/>
    <w:rsid w:val="00A67571"/>
    <w:rsid w:val="00A708BE"/>
    <w:rsid w:val="00A723D9"/>
    <w:rsid w:val="00A740CE"/>
    <w:rsid w:val="00A74382"/>
    <w:rsid w:val="00A74653"/>
    <w:rsid w:val="00A750DA"/>
    <w:rsid w:val="00A7570D"/>
    <w:rsid w:val="00A77543"/>
    <w:rsid w:val="00A808F2"/>
    <w:rsid w:val="00A813AD"/>
    <w:rsid w:val="00A8255E"/>
    <w:rsid w:val="00A82F20"/>
    <w:rsid w:val="00A83CD9"/>
    <w:rsid w:val="00A843BE"/>
    <w:rsid w:val="00A84A90"/>
    <w:rsid w:val="00A856C9"/>
    <w:rsid w:val="00A85796"/>
    <w:rsid w:val="00A85E77"/>
    <w:rsid w:val="00A86BA1"/>
    <w:rsid w:val="00A86E65"/>
    <w:rsid w:val="00A87421"/>
    <w:rsid w:val="00A87753"/>
    <w:rsid w:val="00A87D47"/>
    <w:rsid w:val="00A90D46"/>
    <w:rsid w:val="00A93B88"/>
    <w:rsid w:val="00A9463C"/>
    <w:rsid w:val="00A95A60"/>
    <w:rsid w:val="00A96611"/>
    <w:rsid w:val="00A968B0"/>
    <w:rsid w:val="00A97331"/>
    <w:rsid w:val="00A9761B"/>
    <w:rsid w:val="00AA025A"/>
    <w:rsid w:val="00AA03A5"/>
    <w:rsid w:val="00AA07B5"/>
    <w:rsid w:val="00AA25B0"/>
    <w:rsid w:val="00AA261E"/>
    <w:rsid w:val="00AA3691"/>
    <w:rsid w:val="00AA39C4"/>
    <w:rsid w:val="00AA61A0"/>
    <w:rsid w:val="00AA6C00"/>
    <w:rsid w:val="00AB0C5A"/>
    <w:rsid w:val="00AB2FE0"/>
    <w:rsid w:val="00AB3F5A"/>
    <w:rsid w:val="00AB49DC"/>
    <w:rsid w:val="00AB5477"/>
    <w:rsid w:val="00AB56EF"/>
    <w:rsid w:val="00AB5B38"/>
    <w:rsid w:val="00AB631A"/>
    <w:rsid w:val="00AB6E97"/>
    <w:rsid w:val="00AB72D1"/>
    <w:rsid w:val="00AB7693"/>
    <w:rsid w:val="00AC14C7"/>
    <w:rsid w:val="00AC15AA"/>
    <w:rsid w:val="00AC18B0"/>
    <w:rsid w:val="00AC4EE4"/>
    <w:rsid w:val="00AC4EF6"/>
    <w:rsid w:val="00AC5084"/>
    <w:rsid w:val="00AC52CD"/>
    <w:rsid w:val="00AC767D"/>
    <w:rsid w:val="00AC79BA"/>
    <w:rsid w:val="00AC7C21"/>
    <w:rsid w:val="00AD0A8D"/>
    <w:rsid w:val="00AD0D0F"/>
    <w:rsid w:val="00AD294B"/>
    <w:rsid w:val="00AD2BDC"/>
    <w:rsid w:val="00AD2CF1"/>
    <w:rsid w:val="00AD359F"/>
    <w:rsid w:val="00AD7539"/>
    <w:rsid w:val="00AE1CBE"/>
    <w:rsid w:val="00AE1D1B"/>
    <w:rsid w:val="00AE2397"/>
    <w:rsid w:val="00AE2A75"/>
    <w:rsid w:val="00AE303F"/>
    <w:rsid w:val="00AE460E"/>
    <w:rsid w:val="00AE4633"/>
    <w:rsid w:val="00AE4667"/>
    <w:rsid w:val="00AE58AD"/>
    <w:rsid w:val="00AE605B"/>
    <w:rsid w:val="00AE65EE"/>
    <w:rsid w:val="00AE7138"/>
    <w:rsid w:val="00AE797A"/>
    <w:rsid w:val="00AF1BFE"/>
    <w:rsid w:val="00AF2355"/>
    <w:rsid w:val="00AF3291"/>
    <w:rsid w:val="00AF56D8"/>
    <w:rsid w:val="00AF589F"/>
    <w:rsid w:val="00AF60AA"/>
    <w:rsid w:val="00AF6520"/>
    <w:rsid w:val="00AF699B"/>
    <w:rsid w:val="00AF6C45"/>
    <w:rsid w:val="00AF71DA"/>
    <w:rsid w:val="00B006BF"/>
    <w:rsid w:val="00B007AC"/>
    <w:rsid w:val="00B008F7"/>
    <w:rsid w:val="00B00A08"/>
    <w:rsid w:val="00B0122B"/>
    <w:rsid w:val="00B0253B"/>
    <w:rsid w:val="00B02FD8"/>
    <w:rsid w:val="00B04623"/>
    <w:rsid w:val="00B04B66"/>
    <w:rsid w:val="00B051ED"/>
    <w:rsid w:val="00B05235"/>
    <w:rsid w:val="00B05321"/>
    <w:rsid w:val="00B053EC"/>
    <w:rsid w:val="00B074FF"/>
    <w:rsid w:val="00B127C2"/>
    <w:rsid w:val="00B1319B"/>
    <w:rsid w:val="00B138BC"/>
    <w:rsid w:val="00B13F13"/>
    <w:rsid w:val="00B14883"/>
    <w:rsid w:val="00B14A80"/>
    <w:rsid w:val="00B17070"/>
    <w:rsid w:val="00B17544"/>
    <w:rsid w:val="00B17CFA"/>
    <w:rsid w:val="00B2064C"/>
    <w:rsid w:val="00B210F7"/>
    <w:rsid w:val="00B21333"/>
    <w:rsid w:val="00B2211C"/>
    <w:rsid w:val="00B22B71"/>
    <w:rsid w:val="00B24612"/>
    <w:rsid w:val="00B25C38"/>
    <w:rsid w:val="00B267E8"/>
    <w:rsid w:val="00B2680E"/>
    <w:rsid w:val="00B26B21"/>
    <w:rsid w:val="00B278D4"/>
    <w:rsid w:val="00B27BBC"/>
    <w:rsid w:val="00B27C9A"/>
    <w:rsid w:val="00B3015F"/>
    <w:rsid w:val="00B3070C"/>
    <w:rsid w:val="00B30CA9"/>
    <w:rsid w:val="00B30F0E"/>
    <w:rsid w:val="00B323C3"/>
    <w:rsid w:val="00B32F5E"/>
    <w:rsid w:val="00B33EE4"/>
    <w:rsid w:val="00B33FFA"/>
    <w:rsid w:val="00B3438F"/>
    <w:rsid w:val="00B35083"/>
    <w:rsid w:val="00B35D37"/>
    <w:rsid w:val="00B3684A"/>
    <w:rsid w:val="00B36FA1"/>
    <w:rsid w:val="00B40B02"/>
    <w:rsid w:val="00B40BC2"/>
    <w:rsid w:val="00B4104A"/>
    <w:rsid w:val="00B4133F"/>
    <w:rsid w:val="00B43573"/>
    <w:rsid w:val="00B4582C"/>
    <w:rsid w:val="00B45C24"/>
    <w:rsid w:val="00B46C9D"/>
    <w:rsid w:val="00B47B86"/>
    <w:rsid w:val="00B50163"/>
    <w:rsid w:val="00B50414"/>
    <w:rsid w:val="00B51566"/>
    <w:rsid w:val="00B515EB"/>
    <w:rsid w:val="00B51B62"/>
    <w:rsid w:val="00B51DEB"/>
    <w:rsid w:val="00B53EEB"/>
    <w:rsid w:val="00B543E9"/>
    <w:rsid w:val="00B54981"/>
    <w:rsid w:val="00B55647"/>
    <w:rsid w:val="00B5622C"/>
    <w:rsid w:val="00B56241"/>
    <w:rsid w:val="00B56829"/>
    <w:rsid w:val="00B56EAE"/>
    <w:rsid w:val="00B5722C"/>
    <w:rsid w:val="00B61109"/>
    <w:rsid w:val="00B62C28"/>
    <w:rsid w:val="00B63807"/>
    <w:rsid w:val="00B64503"/>
    <w:rsid w:val="00B64854"/>
    <w:rsid w:val="00B64E4F"/>
    <w:rsid w:val="00B66549"/>
    <w:rsid w:val="00B66F20"/>
    <w:rsid w:val="00B66FB6"/>
    <w:rsid w:val="00B70045"/>
    <w:rsid w:val="00B7131A"/>
    <w:rsid w:val="00B735A6"/>
    <w:rsid w:val="00B73C13"/>
    <w:rsid w:val="00B743AE"/>
    <w:rsid w:val="00B74D15"/>
    <w:rsid w:val="00B75B34"/>
    <w:rsid w:val="00B76634"/>
    <w:rsid w:val="00B8023D"/>
    <w:rsid w:val="00B810C8"/>
    <w:rsid w:val="00B828F0"/>
    <w:rsid w:val="00B82BF1"/>
    <w:rsid w:val="00B82C56"/>
    <w:rsid w:val="00B82C8C"/>
    <w:rsid w:val="00B83A01"/>
    <w:rsid w:val="00B83DC4"/>
    <w:rsid w:val="00B8433C"/>
    <w:rsid w:val="00B84E61"/>
    <w:rsid w:val="00B86F11"/>
    <w:rsid w:val="00B875B4"/>
    <w:rsid w:val="00B900C2"/>
    <w:rsid w:val="00B90624"/>
    <w:rsid w:val="00B90B06"/>
    <w:rsid w:val="00B91707"/>
    <w:rsid w:val="00B92ABC"/>
    <w:rsid w:val="00B94AB5"/>
    <w:rsid w:val="00B94E37"/>
    <w:rsid w:val="00B97046"/>
    <w:rsid w:val="00BA0500"/>
    <w:rsid w:val="00BA1041"/>
    <w:rsid w:val="00BA109E"/>
    <w:rsid w:val="00BA1ABA"/>
    <w:rsid w:val="00BA1C39"/>
    <w:rsid w:val="00BA2156"/>
    <w:rsid w:val="00BA2696"/>
    <w:rsid w:val="00BA4B57"/>
    <w:rsid w:val="00BA55C5"/>
    <w:rsid w:val="00BA75A5"/>
    <w:rsid w:val="00BA7A5B"/>
    <w:rsid w:val="00BA7EB8"/>
    <w:rsid w:val="00BB03EA"/>
    <w:rsid w:val="00BB0C83"/>
    <w:rsid w:val="00BB1CFF"/>
    <w:rsid w:val="00BB1F4D"/>
    <w:rsid w:val="00BB278F"/>
    <w:rsid w:val="00BB2B87"/>
    <w:rsid w:val="00BB36A7"/>
    <w:rsid w:val="00BB4D51"/>
    <w:rsid w:val="00BB520A"/>
    <w:rsid w:val="00BB523F"/>
    <w:rsid w:val="00BB5483"/>
    <w:rsid w:val="00BB6F86"/>
    <w:rsid w:val="00BC1587"/>
    <w:rsid w:val="00BC1730"/>
    <w:rsid w:val="00BC3101"/>
    <w:rsid w:val="00BC46E4"/>
    <w:rsid w:val="00BC516A"/>
    <w:rsid w:val="00BC6A69"/>
    <w:rsid w:val="00BD02CF"/>
    <w:rsid w:val="00BD25FD"/>
    <w:rsid w:val="00BD4076"/>
    <w:rsid w:val="00BD43C6"/>
    <w:rsid w:val="00BD587E"/>
    <w:rsid w:val="00BD668A"/>
    <w:rsid w:val="00BD6916"/>
    <w:rsid w:val="00BD6CB3"/>
    <w:rsid w:val="00BD7118"/>
    <w:rsid w:val="00BD7369"/>
    <w:rsid w:val="00BD7599"/>
    <w:rsid w:val="00BD7C04"/>
    <w:rsid w:val="00BD7D3A"/>
    <w:rsid w:val="00BD7EB3"/>
    <w:rsid w:val="00BE041E"/>
    <w:rsid w:val="00BE0C63"/>
    <w:rsid w:val="00BE3B93"/>
    <w:rsid w:val="00BE3EFB"/>
    <w:rsid w:val="00BE47D1"/>
    <w:rsid w:val="00BE54A8"/>
    <w:rsid w:val="00BE5ADF"/>
    <w:rsid w:val="00BE72EE"/>
    <w:rsid w:val="00BE795A"/>
    <w:rsid w:val="00BF065C"/>
    <w:rsid w:val="00BF0A13"/>
    <w:rsid w:val="00BF16AD"/>
    <w:rsid w:val="00BF414C"/>
    <w:rsid w:val="00BF507A"/>
    <w:rsid w:val="00BF5545"/>
    <w:rsid w:val="00BF6D6C"/>
    <w:rsid w:val="00BF7BF7"/>
    <w:rsid w:val="00C01097"/>
    <w:rsid w:val="00C0114D"/>
    <w:rsid w:val="00C01EF0"/>
    <w:rsid w:val="00C03119"/>
    <w:rsid w:val="00C03D6A"/>
    <w:rsid w:val="00C04DB8"/>
    <w:rsid w:val="00C058D0"/>
    <w:rsid w:val="00C05910"/>
    <w:rsid w:val="00C061A5"/>
    <w:rsid w:val="00C06C2B"/>
    <w:rsid w:val="00C07125"/>
    <w:rsid w:val="00C07AF5"/>
    <w:rsid w:val="00C10015"/>
    <w:rsid w:val="00C10443"/>
    <w:rsid w:val="00C1088B"/>
    <w:rsid w:val="00C11245"/>
    <w:rsid w:val="00C13BF1"/>
    <w:rsid w:val="00C141C3"/>
    <w:rsid w:val="00C14BC0"/>
    <w:rsid w:val="00C1501F"/>
    <w:rsid w:val="00C153F6"/>
    <w:rsid w:val="00C1575E"/>
    <w:rsid w:val="00C157A1"/>
    <w:rsid w:val="00C16F44"/>
    <w:rsid w:val="00C17190"/>
    <w:rsid w:val="00C17A49"/>
    <w:rsid w:val="00C20697"/>
    <w:rsid w:val="00C207AE"/>
    <w:rsid w:val="00C2099E"/>
    <w:rsid w:val="00C21299"/>
    <w:rsid w:val="00C21DA7"/>
    <w:rsid w:val="00C22A67"/>
    <w:rsid w:val="00C22A9A"/>
    <w:rsid w:val="00C23FF4"/>
    <w:rsid w:val="00C24669"/>
    <w:rsid w:val="00C26CAD"/>
    <w:rsid w:val="00C26E8B"/>
    <w:rsid w:val="00C312A4"/>
    <w:rsid w:val="00C31517"/>
    <w:rsid w:val="00C319D0"/>
    <w:rsid w:val="00C32BD9"/>
    <w:rsid w:val="00C337E7"/>
    <w:rsid w:val="00C33DB0"/>
    <w:rsid w:val="00C340D3"/>
    <w:rsid w:val="00C348A4"/>
    <w:rsid w:val="00C34DFA"/>
    <w:rsid w:val="00C35218"/>
    <w:rsid w:val="00C3564C"/>
    <w:rsid w:val="00C360CC"/>
    <w:rsid w:val="00C361BF"/>
    <w:rsid w:val="00C37362"/>
    <w:rsid w:val="00C37588"/>
    <w:rsid w:val="00C40635"/>
    <w:rsid w:val="00C411AD"/>
    <w:rsid w:val="00C41F98"/>
    <w:rsid w:val="00C42EF7"/>
    <w:rsid w:val="00C444B8"/>
    <w:rsid w:val="00C4637C"/>
    <w:rsid w:val="00C46F98"/>
    <w:rsid w:val="00C503DF"/>
    <w:rsid w:val="00C504AA"/>
    <w:rsid w:val="00C506B6"/>
    <w:rsid w:val="00C50CDF"/>
    <w:rsid w:val="00C52009"/>
    <w:rsid w:val="00C52378"/>
    <w:rsid w:val="00C538B6"/>
    <w:rsid w:val="00C53D0A"/>
    <w:rsid w:val="00C55248"/>
    <w:rsid w:val="00C554CC"/>
    <w:rsid w:val="00C56898"/>
    <w:rsid w:val="00C56AEF"/>
    <w:rsid w:val="00C56CA7"/>
    <w:rsid w:val="00C57DF4"/>
    <w:rsid w:val="00C57F07"/>
    <w:rsid w:val="00C60A9A"/>
    <w:rsid w:val="00C62C0C"/>
    <w:rsid w:val="00C62C4A"/>
    <w:rsid w:val="00C62D91"/>
    <w:rsid w:val="00C638B8"/>
    <w:rsid w:val="00C63C3E"/>
    <w:rsid w:val="00C66F30"/>
    <w:rsid w:val="00C67A57"/>
    <w:rsid w:val="00C71440"/>
    <w:rsid w:val="00C7269C"/>
    <w:rsid w:val="00C74759"/>
    <w:rsid w:val="00C75698"/>
    <w:rsid w:val="00C75BE1"/>
    <w:rsid w:val="00C813A2"/>
    <w:rsid w:val="00C82D4F"/>
    <w:rsid w:val="00C85810"/>
    <w:rsid w:val="00C8688F"/>
    <w:rsid w:val="00C868C9"/>
    <w:rsid w:val="00C902DE"/>
    <w:rsid w:val="00C90F37"/>
    <w:rsid w:val="00C91285"/>
    <w:rsid w:val="00C925B3"/>
    <w:rsid w:val="00C927F2"/>
    <w:rsid w:val="00C92F64"/>
    <w:rsid w:val="00C93B7E"/>
    <w:rsid w:val="00C93CA7"/>
    <w:rsid w:val="00C97059"/>
    <w:rsid w:val="00C976E1"/>
    <w:rsid w:val="00C97EBA"/>
    <w:rsid w:val="00CA0EA1"/>
    <w:rsid w:val="00CA17A1"/>
    <w:rsid w:val="00CA1BA7"/>
    <w:rsid w:val="00CA4010"/>
    <w:rsid w:val="00CA5BC4"/>
    <w:rsid w:val="00CB1889"/>
    <w:rsid w:val="00CB1A53"/>
    <w:rsid w:val="00CB3A78"/>
    <w:rsid w:val="00CB3F9C"/>
    <w:rsid w:val="00CB4608"/>
    <w:rsid w:val="00CB56E3"/>
    <w:rsid w:val="00CB59C1"/>
    <w:rsid w:val="00CB6A7B"/>
    <w:rsid w:val="00CB771A"/>
    <w:rsid w:val="00CC026A"/>
    <w:rsid w:val="00CC042C"/>
    <w:rsid w:val="00CC1554"/>
    <w:rsid w:val="00CC159F"/>
    <w:rsid w:val="00CC1933"/>
    <w:rsid w:val="00CC1DBB"/>
    <w:rsid w:val="00CC30E0"/>
    <w:rsid w:val="00CC4587"/>
    <w:rsid w:val="00CC46F5"/>
    <w:rsid w:val="00CC4EF1"/>
    <w:rsid w:val="00CC5514"/>
    <w:rsid w:val="00CC5FBA"/>
    <w:rsid w:val="00CC6007"/>
    <w:rsid w:val="00CC76FA"/>
    <w:rsid w:val="00CD02D6"/>
    <w:rsid w:val="00CD40BD"/>
    <w:rsid w:val="00CD5741"/>
    <w:rsid w:val="00CE0541"/>
    <w:rsid w:val="00CE05DA"/>
    <w:rsid w:val="00CE0B9A"/>
    <w:rsid w:val="00CE19D0"/>
    <w:rsid w:val="00CE1B9A"/>
    <w:rsid w:val="00CE2B3F"/>
    <w:rsid w:val="00CE3ED8"/>
    <w:rsid w:val="00CE5BC5"/>
    <w:rsid w:val="00CE6264"/>
    <w:rsid w:val="00CE7132"/>
    <w:rsid w:val="00CE740E"/>
    <w:rsid w:val="00CE7AC6"/>
    <w:rsid w:val="00CF02A3"/>
    <w:rsid w:val="00CF2654"/>
    <w:rsid w:val="00CF572A"/>
    <w:rsid w:val="00CF62F0"/>
    <w:rsid w:val="00CF7054"/>
    <w:rsid w:val="00CF738F"/>
    <w:rsid w:val="00D00E38"/>
    <w:rsid w:val="00D014DF"/>
    <w:rsid w:val="00D01C57"/>
    <w:rsid w:val="00D034BD"/>
    <w:rsid w:val="00D03793"/>
    <w:rsid w:val="00D05BDC"/>
    <w:rsid w:val="00D05FB8"/>
    <w:rsid w:val="00D07413"/>
    <w:rsid w:val="00D100AC"/>
    <w:rsid w:val="00D10C38"/>
    <w:rsid w:val="00D1228C"/>
    <w:rsid w:val="00D12DFB"/>
    <w:rsid w:val="00D154D2"/>
    <w:rsid w:val="00D158C4"/>
    <w:rsid w:val="00D1663C"/>
    <w:rsid w:val="00D2088C"/>
    <w:rsid w:val="00D20E6F"/>
    <w:rsid w:val="00D222B3"/>
    <w:rsid w:val="00D30457"/>
    <w:rsid w:val="00D30F02"/>
    <w:rsid w:val="00D319C3"/>
    <w:rsid w:val="00D32ECB"/>
    <w:rsid w:val="00D34EBE"/>
    <w:rsid w:val="00D35A43"/>
    <w:rsid w:val="00D36054"/>
    <w:rsid w:val="00D36D99"/>
    <w:rsid w:val="00D41943"/>
    <w:rsid w:val="00D41CB8"/>
    <w:rsid w:val="00D43F8C"/>
    <w:rsid w:val="00D44041"/>
    <w:rsid w:val="00D4635F"/>
    <w:rsid w:val="00D50677"/>
    <w:rsid w:val="00D51FA4"/>
    <w:rsid w:val="00D53D31"/>
    <w:rsid w:val="00D5445C"/>
    <w:rsid w:val="00D552EB"/>
    <w:rsid w:val="00D55E60"/>
    <w:rsid w:val="00D55E69"/>
    <w:rsid w:val="00D55E9C"/>
    <w:rsid w:val="00D57071"/>
    <w:rsid w:val="00D606D2"/>
    <w:rsid w:val="00D60F9A"/>
    <w:rsid w:val="00D61639"/>
    <w:rsid w:val="00D617A6"/>
    <w:rsid w:val="00D618C3"/>
    <w:rsid w:val="00D626E8"/>
    <w:rsid w:val="00D62716"/>
    <w:rsid w:val="00D63C3F"/>
    <w:rsid w:val="00D64795"/>
    <w:rsid w:val="00D65BE9"/>
    <w:rsid w:val="00D7044E"/>
    <w:rsid w:val="00D70E32"/>
    <w:rsid w:val="00D71316"/>
    <w:rsid w:val="00D715CA"/>
    <w:rsid w:val="00D73C12"/>
    <w:rsid w:val="00D73E45"/>
    <w:rsid w:val="00D7446F"/>
    <w:rsid w:val="00D74722"/>
    <w:rsid w:val="00D74906"/>
    <w:rsid w:val="00D75092"/>
    <w:rsid w:val="00D75291"/>
    <w:rsid w:val="00D75F74"/>
    <w:rsid w:val="00D761F3"/>
    <w:rsid w:val="00D762C9"/>
    <w:rsid w:val="00D80A48"/>
    <w:rsid w:val="00D8119D"/>
    <w:rsid w:val="00D81C2C"/>
    <w:rsid w:val="00D81E30"/>
    <w:rsid w:val="00D829C2"/>
    <w:rsid w:val="00D82F1C"/>
    <w:rsid w:val="00D8327A"/>
    <w:rsid w:val="00D83C1C"/>
    <w:rsid w:val="00D850D9"/>
    <w:rsid w:val="00D85DA8"/>
    <w:rsid w:val="00D871E7"/>
    <w:rsid w:val="00D87DA0"/>
    <w:rsid w:val="00D91163"/>
    <w:rsid w:val="00D91C60"/>
    <w:rsid w:val="00D92127"/>
    <w:rsid w:val="00D93236"/>
    <w:rsid w:val="00D93FA5"/>
    <w:rsid w:val="00D940D3"/>
    <w:rsid w:val="00D947AA"/>
    <w:rsid w:val="00D952DA"/>
    <w:rsid w:val="00D95C2E"/>
    <w:rsid w:val="00DA0106"/>
    <w:rsid w:val="00DA0275"/>
    <w:rsid w:val="00DA0488"/>
    <w:rsid w:val="00DA20B5"/>
    <w:rsid w:val="00DA5A0C"/>
    <w:rsid w:val="00DA6E96"/>
    <w:rsid w:val="00DB0645"/>
    <w:rsid w:val="00DB088A"/>
    <w:rsid w:val="00DB0911"/>
    <w:rsid w:val="00DB1118"/>
    <w:rsid w:val="00DB327A"/>
    <w:rsid w:val="00DB35DF"/>
    <w:rsid w:val="00DB5D3C"/>
    <w:rsid w:val="00DB6C01"/>
    <w:rsid w:val="00DB6F38"/>
    <w:rsid w:val="00DB7B75"/>
    <w:rsid w:val="00DC1590"/>
    <w:rsid w:val="00DC1E77"/>
    <w:rsid w:val="00DC2628"/>
    <w:rsid w:val="00DC2C13"/>
    <w:rsid w:val="00DC2E5B"/>
    <w:rsid w:val="00DC301D"/>
    <w:rsid w:val="00DC36CC"/>
    <w:rsid w:val="00DC3A17"/>
    <w:rsid w:val="00DC40DA"/>
    <w:rsid w:val="00DC7A94"/>
    <w:rsid w:val="00DD0315"/>
    <w:rsid w:val="00DD05EA"/>
    <w:rsid w:val="00DD0A48"/>
    <w:rsid w:val="00DD1503"/>
    <w:rsid w:val="00DD1A9F"/>
    <w:rsid w:val="00DD2CF9"/>
    <w:rsid w:val="00DD4C0C"/>
    <w:rsid w:val="00DD5849"/>
    <w:rsid w:val="00DD7162"/>
    <w:rsid w:val="00DD7C20"/>
    <w:rsid w:val="00DE0536"/>
    <w:rsid w:val="00DE3359"/>
    <w:rsid w:val="00DE367E"/>
    <w:rsid w:val="00DE388C"/>
    <w:rsid w:val="00DE4551"/>
    <w:rsid w:val="00DE49C8"/>
    <w:rsid w:val="00DE4C50"/>
    <w:rsid w:val="00DF01FA"/>
    <w:rsid w:val="00DF0AD8"/>
    <w:rsid w:val="00DF16E1"/>
    <w:rsid w:val="00DF3F93"/>
    <w:rsid w:val="00DF53C6"/>
    <w:rsid w:val="00DF53E1"/>
    <w:rsid w:val="00DF62CD"/>
    <w:rsid w:val="00DF66BC"/>
    <w:rsid w:val="00DF7363"/>
    <w:rsid w:val="00DF7725"/>
    <w:rsid w:val="00E00179"/>
    <w:rsid w:val="00E023C2"/>
    <w:rsid w:val="00E0244F"/>
    <w:rsid w:val="00E02799"/>
    <w:rsid w:val="00E029D8"/>
    <w:rsid w:val="00E03CF8"/>
    <w:rsid w:val="00E04298"/>
    <w:rsid w:val="00E069A3"/>
    <w:rsid w:val="00E117D1"/>
    <w:rsid w:val="00E11B6D"/>
    <w:rsid w:val="00E13318"/>
    <w:rsid w:val="00E14847"/>
    <w:rsid w:val="00E14AA8"/>
    <w:rsid w:val="00E16DB4"/>
    <w:rsid w:val="00E16FD9"/>
    <w:rsid w:val="00E2014A"/>
    <w:rsid w:val="00E217A8"/>
    <w:rsid w:val="00E21AD1"/>
    <w:rsid w:val="00E22200"/>
    <w:rsid w:val="00E22295"/>
    <w:rsid w:val="00E22A17"/>
    <w:rsid w:val="00E232FF"/>
    <w:rsid w:val="00E23323"/>
    <w:rsid w:val="00E24918"/>
    <w:rsid w:val="00E256B4"/>
    <w:rsid w:val="00E260A1"/>
    <w:rsid w:val="00E267AA"/>
    <w:rsid w:val="00E26C6E"/>
    <w:rsid w:val="00E30316"/>
    <w:rsid w:val="00E31826"/>
    <w:rsid w:val="00E32246"/>
    <w:rsid w:val="00E3399F"/>
    <w:rsid w:val="00E34D2E"/>
    <w:rsid w:val="00E37850"/>
    <w:rsid w:val="00E40061"/>
    <w:rsid w:val="00E40A6B"/>
    <w:rsid w:val="00E416BD"/>
    <w:rsid w:val="00E421B3"/>
    <w:rsid w:val="00E43BBE"/>
    <w:rsid w:val="00E44021"/>
    <w:rsid w:val="00E45657"/>
    <w:rsid w:val="00E460E9"/>
    <w:rsid w:val="00E46FEA"/>
    <w:rsid w:val="00E47083"/>
    <w:rsid w:val="00E47A9F"/>
    <w:rsid w:val="00E524AC"/>
    <w:rsid w:val="00E52C8D"/>
    <w:rsid w:val="00E53D9D"/>
    <w:rsid w:val="00E544D4"/>
    <w:rsid w:val="00E54607"/>
    <w:rsid w:val="00E54AC0"/>
    <w:rsid w:val="00E54DC0"/>
    <w:rsid w:val="00E55F40"/>
    <w:rsid w:val="00E56FAE"/>
    <w:rsid w:val="00E5738C"/>
    <w:rsid w:val="00E57851"/>
    <w:rsid w:val="00E61517"/>
    <w:rsid w:val="00E6235D"/>
    <w:rsid w:val="00E63027"/>
    <w:rsid w:val="00E634AC"/>
    <w:rsid w:val="00E63FE5"/>
    <w:rsid w:val="00E64EAB"/>
    <w:rsid w:val="00E65235"/>
    <w:rsid w:val="00E6548A"/>
    <w:rsid w:val="00E660CA"/>
    <w:rsid w:val="00E66967"/>
    <w:rsid w:val="00E67021"/>
    <w:rsid w:val="00E67640"/>
    <w:rsid w:val="00E67CD7"/>
    <w:rsid w:val="00E67E0B"/>
    <w:rsid w:val="00E67EAE"/>
    <w:rsid w:val="00E700D5"/>
    <w:rsid w:val="00E7126E"/>
    <w:rsid w:val="00E72CC7"/>
    <w:rsid w:val="00E73227"/>
    <w:rsid w:val="00E74004"/>
    <w:rsid w:val="00E7498A"/>
    <w:rsid w:val="00E762F1"/>
    <w:rsid w:val="00E76A17"/>
    <w:rsid w:val="00E7743E"/>
    <w:rsid w:val="00E809F2"/>
    <w:rsid w:val="00E817F3"/>
    <w:rsid w:val="00E81890"/>
    <w:rsid w:val="00E82040"/>
    <w:rsid w:val="00E82050"/>
    <w:rsid w:val="00E82815"/>
    <w:rsid w:val="00E838C3"/>
    <w:rsid w:val="00E83D26"/>
    <w:rsid w:val="00E843A8"/>
    <w:rsid w:val="00E903AF"/>
    <w:rsid w:val="00E91252"/>
    <w:rsid w:val="00E91808"/>
    <w:rsid w:val="00E9226E"/>
    <w:rsid w:val="00E92DC8"/>
    <w:rsid w:val="00E93DCA"/>
    <w:rsid w:val="00E958F3"/>
    <w:rsid w:val="00E95B1D"/>
    <w:rsid w:val="00E969DE"/>
    <w:rsid w:val="00EA02A3"/>
    <w:rsid w:val="00EA0D31"/>
    <w:rsid w:val="00EA1824"/>
    <w:rsid w:val="00EA1F82"/>
    <w:rsid w:val="00EA2EF7"/>
    <w:rsid w:val="00EA3B5E"/>
    <w:rsid w:val="00EA40FD"/>
    <w:rsid w:val="00EA437B"/>
    <w:rsid w:val="00EA44B4"/>
    <w:rsid w:val="00EA4FF2"/>
    <w:rsid w:val="00EA5177"/>
    <w:rsid w:val="00EA597E"/>
    <w:rsid w:val="00EA6918"/>
    <w:rsid w:val="00EA7276"/>
    <w:rsid w:val="00EA7364"/>
    <w:rsid w:val="00EB2328"/>
    <w:rsid w:val="00EB413E"/>
    <w:rsid w:val="00EB416A"/>
    <w:rsid w:val="00EB4821"/>
    <w:rsid w:val="00EB5862"/>
    <w:rsid w:val="00EB757A"/>
    <w:rsid w:val="00EB75BA"/>
    <w:rsid w:val="00EC0070"/>
    <w:rsid w:val="00EC422F"/>
    <w:rsid w:val="00EC46DB"/>
    <w:rsid w:val="00EC4DBD"/>
    <w:rsid w:val="00EC5736"/>
    <w:rsid w:val="00EC5946"/>
    <w:rsid w:val="00EC6342"/>
    <w:rsid w:val="00EC763B"/>
    <w:rsid w:val="00ED001E"/>
    <w:rsid w:val="00ED0648"/>
    <w:rsid w:val="00ED0AB9"/>
    <w:rsid w:val="00ED0BE0"/>
    <w:rsid w:val="00ED1760"/>
    <w:rsid w:val="00ED1853"/>
    <w:rsid w:val="00ED1CBB"/>
    <w:rsid w:val="00ED2ADB"/>
    <w:rsid w:val="00ED3A82"/>
    <w:rsid w:val="00ED3DC4"/>
    <w:rsid w:val="00ED57E6"/>
    <w:rsid w:val="00ED6622"/>
    <w:rsid w:val="00EE0419"/>
    <w:rsid w:val="00EE06F5"/>
    <w:rsid w:val="00EE17FC"/>
    <w:rsid w:val="00EE23CA"/>
    <w:rsid w:val="00EE2473"/>
    <w:rsid w:val="00EE3702"/>
    <w:rsid w:val="00EE5393"/>
    <w:rsid w:val="00EE5AF3"/>
    <w:rsid w:val="00EE6544"/>
    <w:rsid w:val="00EE6BBB"/>
    <w:rsid w:val="00EE7019"/>
    <w:rsid w:val="00EF0112"/>
    <w:rsid w:val="00EF0897"/>
    <w:rsid w:val="00EF3715"/>
    <w:rsid w:val="00EF48DD"/>
    <w:rsid w:val="00EF637B"/>
    <w:rsid w:val="00EF6964"/>
    <w:rsid w:val="00EF72B1"/>
    <w:rsid w:val="00EF7E6B"/>
    <w:rsid w:val="00F0035E"/>
    <w:rsid w:val="00F00391"/>
    <w:rsid w:val="00F00455"/>
    <w:rsid w:val="00F0260A"/>
    <w:rsid w:val="00F041AE"/>
    <w:rsid w:val="00F04566"/>
    <w:rsid w:val="00F04705"/>
    <w:rsid w:val="00F04A14"/>
    <w:rsid w:val="00F04F19"/>
    <w:rsid w:val="00F04F57"/>
    <w:rsid w:val="00F05DE0"/>
    <w:rsid w:val="00F0665E"/>
    <w:rsid w:val="00F0743B"/>
    <w:rsid w:val="00F131A1"/>
    <w:rsid w:val="00F13CE2"/>
    <w:rsid w:val="00F15395"/>
    <w:rsid w:val="00F15414"/>
    <w:rsid w:val="00F1745C"/>
    <w:rsid w:val="00F20121"/>
    <w:rsid w:val="00F21DC8"/>
    <w:rsid w:val="00F225D3"/>
    <w:rsid w:val="00F234C3"/>
    <w:rsid w:val="00F235ED"/>
    <w:rsid w:val="00F23CF5"/>
    <w:rsid w:val="00F23F9B"/>
    <w:rsid w:val="00F24AB5"/>
    <w:rsid w:val="00F25562"/>
    <w:rsid w:val="00F258E0"/>
    <w:rsid w:val="00F27500"/>
    <w:rsid w:val="00F278E6"/>
    <w:rsid w:val="00F27B8B"/>
    <w:rsid w:val="00F32004"/>
    <w:rsid w:val="00F3225E"/>
    <w:rsid w:val="00F32263"/>
    <w:rsid w:val="00F3267D"/>
    <w:rsid w:val="00F34B21"/>
    <w:rsid w:val="00F34B50"/>
    <w:rsid w:val="00F368D1"/>
    <w:rsid w:val="00F410DB"/>
    <w:rsid w:val="00F41434"/>
    <w:rsid w:val="00F430AA"/>
    <w:rsid w:val="00F459AA"/>
    <w:rsid w:val="00F477B2"/>
    <w:rsid w:val="00F5002A"/>
    <w:rsid w:val="00F50145"/>
    <w:rsid w:val="00F52708"/>
    <w:rsid w:val="00F55208"/>
    <w:rsid w:val="00F57286"/>
    <w:rsid w:val="00F57CDF"/>
    <w:rsid w:val="00F613BD"/>
    <w:rsid w:val="00F6280A"/>
    <w:rsid w:val="00F62E3E"/>
    <w:rsid w:val="00F6589A"/>
    <w:rsid w:val="00F729F0"/>
    <w:rsid w:val="00F741B0"/>
    <w:rsid w:val="00F74929"/>
    <w:rsid w:val="00F754ED"/>
    <w:rsid w:val="00F76272"/>
    <w:rsid w:val="00F76F84"/>
    <w:rsid w:val="00F779FF"/>
    <w:rsid w:val="00F802A4"/>
    <w:rsid w:val="00F819DC"/>
    <w:rsid w:val="00F82DF1"/>
    <w:rsid w:val="00F83165"/>
    <w:rsid w:val="00F8322C"/>
    <w:rsid w:val="00F841E9"/>
    <w:rsid w:val="00F84615"/>
    <w:rsid w:val="00F84984"/>
    <w:rsid w:val="00F85CA1"/>
    <w:rsid w:val="00F8686B"/>
    <w:rsid w:val="00F86AF0"/>
    <w:rsid w:val="00F90531"/>
    <w:rsid w:val="00F91075"/>
    <w:rsid w:val="00F9237E"/>
    <w:rsid w:val="00F928D7"/>
    <w:rsid w:val="00F93023"/>
    <w:rsid w:val="00F935DC"/>
    <w:rsid w:val="00F9452C"/>
    <w:rsid w:val="00F957C5"/>
    <w:rsid w:val="00F969BF"/>
    <w:rsid w:val="00F97000"/>
    <w:rsid w:val="00F9768E"/>
    <w:rsid w:val="00FA1673"/>
    <w:rsid w:val="00FA1C58"/>
    <w:rsid w:val="00FA1DCF"/>
    <w:rsid w:val="00FA244D"/>
    <w:rsid w:val="00FA24A0"/>
    <w:rsid w:val="00FA4A8D"/>
    <w:rsid w:val="00FA6466"/>
    <w:rsid w:val="00FA6E72"/>
    <w:rsid w:val="00FB03F8"/>
    <w:rsid w:val="00FB0CA4"/>
    <w:rsid w:val="00FB103E"/>
    <w:rsid w:val="00FB19D5"/>
    <w:rsid w:val="00FB5922"/>
    <w:rsid w:val="00FB5C03"/>
    <w:rsid w:val="00FB7747"/>
    <w:rsid w:val="00FB7E21"/>
    <w:rsid w:val="00FC131B"/>
    <w:rsid w:val="00FC1DD1"/>
    <w:rsid w:val="00FC429A"/>
    <w:rsid w:val="00FC726A"/>
    <w:rsid w:val="00FC7E32"/>
    <w:rsid w:val="00FD06E6"/>
    <w:rsid w:val="00FD0D11"/>
    <w:rsid w:val="00FD134E"/>
    <w:rsid w:val="00FD1F20"/>
    <w:rsid w:val="00FD2F90"/>
    <w:rsid w:val="00FD36AE"/>
    <w:rsid w:val="00FD3DD5"/>
    <w:rsid w:val="00FD4760"/>
    <w:rsid w:val="00FD4C66"/>
    <w:rsid w:val="00FD540B"/>
    <w:rsid w:val="00FD557E"/>
    <w:rsid w:val="00FD7B37"/>
    <w:rsid w:val="00FD7BAC"/>
    <w:rsid w:val="00FE024A"/>
    <w:rsid w:val="00FE19AA"/>
    <w:rsid w:val="00FE3BC6"/>
    <w:rsid w:val="00FE4C0D"/>
    <w:rsid w:val="00FE5061"/>
    <w:rsid w:val="00FE5350"/>
    <w:rsid w:val="00FE612F"/>
    <w:rsid w:val="00FE718D"/>
    <w:rsid w:val="00FE734A"/>
    <w:rsid w:val="00FF0390"/>
    <w:rsid w:val="00FF0F84"/>
    <w:rsid w:val="00FF23FC"/>
    <w:rsid w:val="00FF2515"/>
    <w:rsid w:val="00FF356B"/>
    <w:rsid w:val="00FF42C5"/>
    <w:rsid w:val="00FF51C4"/>
    <w:rsid w:val="00FF5A5C"/>
    <w:rsid w:val="00FF6002"/>
    <w:rsid w:val="00FF6651"/>
    <w:rsid w:val="00FF6FB2"/>
    <w:rsid w:val="00FF721A"/>
    <w:rsid w:val="00FF7701"/>
    <w:rsid w:val="00FF7E57"/>
    <w:rsid w:val="2D7244E2"/>
    <w:rsid w:val="673E2B06"/>
  </w:rsids>
  <w:docVars>
    <w:docVar w:name="commondata" w:val="eyJoZGlkIjoiOWU0NmRlMDE4YmMwMTJiN2MwOTJhMTc2M2U1ODFiOGQifQ=="/>
    <w:docVar w:name="KSO_WPS_MARK_KEY" w:val="45cf91a5-471c-4bb6-9e2b-43002001ab3f"/>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uiPriority="0" w:unhideWhenUsed="0"/>
    <w:lsdException w:name="header" w:semiHidden="0" w:uiPriority="0" w:unhideWhenUsed="0"/>
    <w:lsdException w:name="footer" w:semiHidden="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uiPriority="0" w:unhideWhenUsed="0"/>
    <w:lsdException w:name="Balloon Text" w:uiPriority="0" w:unhideWhenUsed="0"/>
    <w:lsdException w:name="Table Grid" w:semiHidden="0"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beforeLines="0" w:after="330" w:afterLines="0" w:line="578" w:lineRule="auto"/>
      <w:outlineLvl w:val="0"/>
    </w:pPr>
    <w:rPr>
      <w:rFonts w:ascii="Calibri" w:hAnsi="Calibri"/>
      <w:b/>
      <w:bCs/>
      <w:kern w:val="44"/>
      <w:sz w:val="44"/>
      <w:szCs w:val="44"/>
    </w:rPr>
  </w:style>
  <w:style w:type="paragraph" w:styleId="Heading2">
    <w:name w:val="heading 2"/>
    <w:basedOn w:val="Normal"/>
    <w:next w:val="Normal"/>
    <w:link w:val="2Char"/>
    <w:qFormat/>
    <w:pPr>
      <w:keepNext/>
      <w:keepLines/>
      <w:spacing w:before="260" w:beforeLines="0" w:after="260" w:afterLines="0" w:line="416" w:lineRule="auto"/>
      <w:outlineLvl w:val="1"/>
    </w:pPr>
    <w:rPr>
      <w:rFonts w:ascii="Arial" w:eastAsia="黑体" w:hAnsi="Arial"/>
      <w:b/>
      <w:bCs/>
      <w:sz w:val="32"/>
      <w:szCs w:val="32"/>
    </w:rPr>
  </w:style>
  <w:style w:type="paragraph" w:styleId="Heading3">
    <w:name w:val="heading 3"/>
    <w:basedOn w:val="Normal"/>
    <w:next w:val="Normal"/>
    <w:link w:val="3Char"/>
    <w:qFormat/>
    <w:pPr>
      <w:keepNext/>
      <w:keepLines/>
      <w:spacing w:before="156" w:beforeLines="50" w:after="156" w:afterLines="50"/>
      <w:outlineLvl w:val="2"/>
    </w:pPr>
    <w:rPr>
      <w:rFonts w:eastAsia="黑体"/>
      <w:kern w:val="44"/>
      <w:sz w:val="28"/>
      <w:szCs w:val="20"/>
    </w:rPr>
  </w:style>
  <w:style w:type="paragraph" w:styleId="Heading4">
    <w:name w:val="heading 4"/>
    <w:basedOn w:val="Normal"/>
    <w:next w:val="Normal"/>
    <w:link w:val="4Char"/>
    <w:qFormat/>
    <w:pPr>
      <w:keepNext/>
      <w:keepLines/>
      <w:spacing w:before="280" w:after="290" w:line="376" w:lineRule="auto"/>
      <w:outlineLvl w:val="3"/>
    </w:pPr>
    <w:rPr>
      <w:rFonts w:ascii="Cambria" w:hAnsi="Cambria"/>
      <w:b/>
      <w:bCs/>
      <w:sz w:val="28"/>
      <w:szCs w:val="28"/>
    </w:rPr>
  </w:style>
  <w:style w:type="paragraph" w:styleId="Heading7">
    <w:name w:val="heading 7"/>
    <w:basedOn w:val="Normal"/>
    <w:next w:val="Normal"/>
    <w:qFormat/>
    <w:pPr>
      <w:keepNext/>
      <w:keepLines/>
      <w:spacing w:before="240" w:beforeLines="0" w:after="64" w:afterLines="0" w:line="320" w:lineRule="auto"/>
      <w:outlineLvl w:val="6"/>
    </w:pPr>
    <w:rPr>
      <w:b/>
      <w:bCs/>
      <w:sz w:val="24"/>
    </w:rPr>
  </w:style>
  <w:style w:type="paragraph" w:styleId="Heading8">
    <w:name w:val="heading 8"/>
    <w:basedOn w:val="Normal"/>
    <w:next w:val="Normal"/>
    <w:qFormat/>
    <w:pPr>
      <w:keepNext/>
      <w:keepLines/>
      <w:spacing w:before="240" w:beforeLines="0" w:after="64" w:afterLines="0" w:line="320" w:lineRule="auto"/>
      <w:outlineLvl w:val="7"/>
    </w:pPr>
    <w:rPr>
      <w:rFonts w:ascii="Arial" w:eastAsia="黑体" w:hAnsi="Arial"/>
      <w:sz w:val="24"/>
    </w:rPr>
  </w:style>
  <w:style w:type="paragraph" w:styleId="Heading9">
    <w:name w:val="heading 9"/>
    <w:basedOn w:val="Normal"/>
    <w:next w:val="Normal"/>
    <w:qFormat/>
    <w:pPr>
      <w:keepNext/>
      <w:keepLines/>
      <w:spacing w:before="240" w:beforeLines="0" w:after="64" w:afterLines="0"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rPr>
      <w:rFonts w:ascii="Calibri" w:eastAsia="宋体" w:hAnsi="Calibri"/>
      <w:b/>
      <w:bCs/>
      <w:kern w:val="44"/>
      <w:sz w:val="44"/>
      <w:szCs w:val="44"/>
      <w:lang w:val="en-US" w:eastAsia="zh-CN" w:bidi="ar-SA"/>
    </w:rPr>
  </w:style>
  <w:style w:type="character" w:customStyle="1" w:styleId="2Char">
    <w:name w:val="标题 2 Char"/>
    <w:aliases w:val="1 Char Char,H2 Char,HD2 Char1,Heading 2 CCBS Char,Heading 2 Hidden Char,PIM2 Char,Titre3 Char1,h2 Char,heading 2 Char,p2 Char1,sect 1.2 Char1,标题 21 Char Char,标题 21 Char Char Char Char Char,标题 21 Char Char Char Char1,标题 21 Char1,第一章 标题 2 Char"/>
    <w:link w:val="Heading2"/>
    <w:rPr>
      <w:rFonts w:ascii="Arial" w:eastAsia="黑体" w:hAnsi="Arial"/>
      <w:b/>
      <w:bCs/>
      <w:kern w:val="2"/>
      <w:sz w:val="32"/>
      <w:szCs w:val="32"/>
      <w:lang w:val="en-US" w:eastAsia="zh-CN" w:bidi="ar-SA"/>
    </w:rPr>
  </w:style>
  <w:style w:type="character" w:customStyle="1" w:styleId="3Char">
    <w:name w:val="标题 3 Char"/>
    <w:link w:val="Heading3"/>
    <w:rPr>
      <w:rFonts w:eastAsia="黑体"/>
      <w:kern w:val="44"/>
      <w:sz w:val="28"/>
      <w:lang w:val="en-US" w:eastAsia="zh-CN" w:bidi="ar-SA"/>
    </w:rPr>
  </w:style>
  <w:style w:type="character" w:customStyle="1" w:styleId="4Char">
    <w:name w:val="标题 4 Char"/>
    <w:link w:val="Heading4"/>
    <w:semiHidden/>
    <w:rPr>
      <w:rFonts w:ascii="Cambria" w:eastAsia="宋体" w:hAnsi="Cambria" w:cs="Times New Roman"/>
      <w:b/>
      <w:bCs/>
      <w:kern w:val="2"/>
      <w:sz w:val="28"/>
      <w:szCs w:val="28"/>
    </w:rPr>
  </w:style>
  <w:style w:type="paragraph" w:styleId="NormalIndent">
    <w:name w:val="Normal Indent"/>
    <w:basedOn w:val="Normal"/>
    <w:link w:val="Char"/>
    <w:qFormat/>
    <w:pPr>
      <w:ind w:firstLine="420"/>
    </w:pPr>
    <w:rPr>
      <w:rFonts w:eastAsia="仿宋_GB2312"/>
      <w:sz w:val="28"/>
      <w:szCs w:val="20"/>
    </w:rPr>
  </w:style>
  <w:style w:type="character" w:customStyle="1" w:styleId="Char">
    <w:name w:val="正文缩进 Char"/>
    <w:aliases w:val="s4 Char1,四号 Char1,正文缩进 Char Char Char Char Char1,正文缩进 Char Char1 Char Char1,正文缩进 Char1 Char Char Char1,正文缩进 Char2 Char Char1,正文非缩进 Char2,正文（首行缩进两字） Char Char Char Char1,正文（首行缩进两字） Char Char1,正文（首行缩进两字） Char1 Char Char1,表正文 Char1,首行缩进 Char"/>
    <w:link w:val="NormalIndent"/>
    <w:rPr>
      <w:rFonts w:eastAsia="仿宋_GB2312"/>
      <w:kern w:val="2"/>
      <w:sz w:val="28"/>
      <w:lang w:val="en-US" w:eastAsia="zh-CN" w:bidi="ar-SA"/>
    </w:rPr>
  </w:style>
  <w:style w:type="paragraph" w:styleId="Caption">
    <w:name w:val="caption"/>
    <w:basedOn w:val="Normal"/>
    <w:next w:val="Normal"/>
    <w:qFormat/>
    <w:pPr>
      <w:spacing w:before="152" w:beforeLines="0" w:after="160" w:afterLines="0"/>
    </w:pPr>
    <w:rPr>
      <w:rFonts w:ascii="Arial" w:eastAsia="黑体" w:hAnsi="Arial"/>
      <w:sz w:val="20"/>
      <w:szCs w:val="20"/>
    </w:r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style>
  <w:style w:type="paragraph" w:styleId="BodyText">
    <w:name w:val="Body Text"/>
    <w:basedOn w:val="Normal"/>
    <w:link w:val="Char3"/>
    <w:pPr>
      <w:spacing w:after="120" w:afterLines="0"/>
    </w:pPr>
    <w:rPr>
      <w:szCs w:val="20"/>
    </w:rPr>
  </w:style>
  <w:style w:type="character" w:customStyle="1" w:styleId="Char3">
    <w:name w:val="正文文本 Char"/>
    <w:link w:val="BodyText"/>
    <w:rPr>
      <w:rFonts w:eastAsia="宋体"/>
      <w:kern w:val="2"/>
      <w:sz w:val="21"/>
      <w:lang w:val="en-US" w:eastAsia="zh-CN" w:bidi="ar-SA"/>
    </w:rPr>
  </w:style>
  <w:style w:type="paragraph" w:styleId="BodyTextIndent">
    <w:name w:val="Body Text Indent"/>
    <w:basedOn w:val="Normal"/>
    <w:pPr>
      <w:ind w:firstLine="560" w:firstLineChars="200"/>
    </w:pPr>
    <w:rPr>
      <w:sz w:val="28"/>
    </w:rPr>
  </w:style>
  <w:style w:type="paragraph" w:styleId="TOC3">
    <w:name w:val="toc 3"/>
    <w:basedOn w:val="Normal"/>
    <w:next w:val="Normal"/>
    <w:uiPriority w:val="39"/>
    <w:pPr>
      <w:ind w:left="840" w:leftChars="400"/>
    </w:pPr>
  </w:style>
  <w:style w:type="paragraph" w:styleId="PlainText">
    <w:name w:val="Plain Text"/>
    <w:basedOn w:val="Normal"/>
    <w:link w:val="Char4"/>
    <w:rPr>
      <w:rFonts w:ascii="宋体" w:hAnsi="Courier New"/>
      <w:szCs w:val="20"/>
    </w:rPr>
  </w:style>
  <w:style w:type="character" w:customStyle="1" w:styleId="Char4">
    <w:name w:val="纯文本 Char"/>
    <w:link w:val="PlainText"/>
    <w:rPr>
      <w:rFonts w:ascii="宋体" w:eastAsia="宋体" w:hAnsi="Courier New"/>
      <w:kern w:val="2"/>
      <w:sz w:val="21"/>
      <w:lang w:val="en-US" w:eastAsia="zh-CN" w:bidi="ar-SA"/>
    </w:rPr>
  </w:style>
  <w:style w:type="paragraph" w:styleId="Date">
    <w:name w:val="Date"/>
    <w:basedOn w:val="Normal"/>
    <w:next w:val="Normal"/>
    <w:link w:val="Char5"/>
    <w:pPr>
      <w:ind w:left="100" w:leftChars="2500"/>
    </w:pPr>
  </w:style>
  <w:style w:type="character" w:customStyle="1" w:styleId="Char5">
    <w:name w:val="日期 Char"/>
    <w:link w:val="Date"/>
    <w:rPr>
      <w:kern w:val="2"/>
      <w:sz w:val="21"/>
      <w:szCs w:val="24"/>
    </w:rPr>
  </w:style>
  <w:style w:type="paragraph" w:styleId="BodyTextIndent2">
    <w:name w:val="Body Text Indent 2"/>
    <w:basedOn w:val="Normal"/>
    <w:pPr>
      <w:spacing w:after="120" w:afterLines="0" w:line="480" w:lineRule="auto"/>
      <w:ind w:left="420" w:leftChars="200"/>
    </w:pPr>
  </w:style>
  <w:style w:type="paragraph" w:styleId="EndnoteText">
    <w:name w:val="endnote text"/>
    <w:basedOn w:val="Normal"/>
    <w:link w:val="Char6"/>
    <w:pPr>
      <w:snapToGrid w:val="0"/>
      <w:jc w:val="left"/>
    </w:pPr>
  </w:style>
  <w:style w:type="character" w:customStyle="1" w:styleId="Char6">
    <w:name w:val="尾注文本 Char"/>
    <w:link w:val="EndnoteText"/>
    <w:rPr>
      <w:kern w:val="2"/>
      <w:sz w:val="21"/>
      <w:szCs w:val="24"/>
    </w:rPr>
  </w:style>
  <w:style w:type="paragraph" w:styleId="BalloonText">
    <w:name w:val="Balloon Text"/>
    <w:basedOn w:val="Normal"/>
    <w:semiHidden/>
    <w:rPr>
      <w:sz w:val="18"/>
      <w:szCs w:val="18"/>
    </w:rPr>
  </w:style>
  <w:style w:type="paragraph" w:styleId="Footer">
    <w:name w:val="footer"/>
    <w:basedOn w:val="Normal"/>
    <w:link w:val="Char7"/>
    <w:uiPriority w:val="99"/>
    <w:pPr>
      <w:pBdr>
        <w:top w:val="single" w:sz="6" w:space="1" w:color="auto"/>
      </w:pBdr>
      <w:tabs>
        <w:tab w:val="center" w:pos="4153"/>
        <w:tab w:val="right" w:pos="8306"/>
      </w:tabs>
      <w:snapToGrid w:val="0"/>
      <w:jc w:val="left"/>
    </w:pPr>
    <w:rPr>
      <w:sz w:val="18"/>
      <w:szCs w:val="20"/>
    </w:rPr>
  </w:style>
  <w:style w:type="character" w:customStyle="1" w:styleId="Char7">
    <w:name w:val="页脚 Char"/>
    <w:link w:val="Footer"/>
    <w:uiPriority w:val="99"/>
    <w:rPr>
      <w:rFonts w:eastAsia="宋体"/>
      <w:kern w:val="2"/>
      <w:sz w:val="18"/>
      <w:lang w:val="en-US" w:eastAsia="zh-CN" w:bidi="ar-SA"/>
    </w:rPr>
  </w:style>
  <w:style w:type="paragraph" w:styleId="Header">
    <w:name w:val="header"/>
    <w:basedOn w:val="Normal"/>
    <w:link w:val="Char8"/>
    <w:pPr>
      <w:pBdr>
        <w:bottom w:val="single" w:sz="6" w:space="1" w:color="auto"/>
      </w:pBdr>
      <w:tabs>
        <w:tab w:val="center" w:pos="4153"/>
        <w:tab w:val="right" w:pos="8306"/>
      </w:tabs>
      <w:snapToGrid w:val="0"/>
      <w:jc w:val="center"/>
    </w:pPr>
    <w:rPr>
      <w:sz w:val="18"/>
      <w:szCs w:val="20"/>
    </w:rPr>
  </w:style>
  <w:style w:type="character" w:customStyle="1" w:styleId="Char8">
    <w:name w:val="页眉 Char"/>
    <w:aliases w:val="g Char,页眉 Char Char Char Char,页眉 Char Char Char1,页眉1 Char,页眉2 Char,页眉cover Char,页眉zxl Char,首页页眉 Char"/>
    <w:link w:val="Header"/>
    <w:rPr>
      <w:rFonts w:eastAsia="宋体"/>
      <w:kern w:val="2"/>
      <w:sz w:val="18"/>
      <w:lang w:val="en-US" w:eastAsia="zh-CN" w:bidi="ar-SA"/>
    </w:rPr>
  </w:style>
  <w:style w:type="paragraph" w:styleId="TOC1">
    <w:name w:val="toc 1"/>
    <w:basedOn w:val="Normal"/>
    <w:next w:val="Normal"/>
    <w:uiPriority w:val="39"/>
    <w:pPr>
      <w:tabs>
        <w:tab w:val="right" w:leader="dot" w:pos="9175"/>
      </w:tabs>
      <w:spacing w:line="336" w:lineRule="auto"/>
    </w:pPr>
    <w:rPr>
      <w:rFonts w:ascii="宋体" w:hAnsi="宋体"/>
      <w:sz w:val="28"/>
      <w:szCs w:val="28"/>
    </w:rPr>
  </w:style>
  <w:style w:type="paragraph" w:styleId="TOC2">
    <w:name w:val="toc 2"/>
    <w:basedOn w:val="Normal"/>
    <w:next w:val="Normal"/>
    <w:uiPriority w:val="39"/>
    <w:pPr>
      <w:ind w:left="420" w:leftChars="200"/>
    </w:pPr>
  </w:style>
  <w:style w:type="paragraph" w:styleId="BodyText2">
    <w:name w:val="Body Text 2"/>
    <w:basedOn w:val="Normal"/>
    <w:link w:val="2Char2"/>
    <w:pPr>
      <w:spacing w:after="120" w:afterLines="0" w:line="480" w:lineRule="auto"/>
    </w:pPr>
    <w:rPr>
      <w:szCs w:val="20"/>
    </w:rPr>
  </w:style>
  <w:style w:type="character" w:customStyle="1" w:styleId="2Char2">
    <w:name w:val="正文文本 2 Char"/>
    <w:link w:val="BodyText2"/>
    <w:rPr>
      <w:rFonts w:eastAsia="宋体"/>
      <w:kern w:val="2"/>
      <w:sz w:val="21"/>
      <w:lang w:val="en-US" w:eastAsia="zh-CN" w:bidi="ar-SA"/>
    </w:rPr>
  </w:style>
  <w:style w:type="paragraph" w:styleId="NormalWeb">
    <w:name w:val="Normal (Web)"/>
    <w:basedOn w:val="Normal"/>
    <w:pPr>
      <w:widowControl/>
      <w:spacing w:before="100" w:beforeLines="0" w:beforeAutospacing="1" w:after="100" w:afterLines="0" w:afterAutospacing="1"/>
      <w:jc w:val="left"/>
    </w:pPr>
    <w:rPr>
      <w:rFonts w:ascii="宋体" w:hAnsi="宋体" w:hint="eastAsia"/>
      <w:kern w:val="0"/>
      <w:sz w:val="24"/>
    </w:rPr>
  </w:style>
  <w:style w:type="paragraph" w:styleId="CommentSubject">
    <w:name w:val="annotation subject"/>
    <w:basedOn w:val="CommentText"/>
    <w:next w:val="CommentText"/>
    <w:semiHidden/>
    <w:rPr>
      <w:b/>
      <w:bCs/>
    </w:rPr>
  </w:style>
  <w:style w:type="paragraph" w:styleId="BodyTextFirstIndent">
    <w:name w:val="Body Text First Indent"/>
    <w:basedOn w:val="BodyText"/>
    <w:link w:val="Char11"/>
    <w:pPr>
      <w:ind w:firstLine="420" w:firstLineChars="100"/>
    </w:pPr>
    <w:rPr>
      <w:szCs w:val="24"/>
    </w:rPr>
  </w:style>
  <w:style w:type="character" w:customStyle="1" w:styleId="Char11">
    <w:name w:val="正文首行缩进 Char"/>
    <w:link w:val="BodyTextFirstIndent"/>
    <w:rPr>
      <w:rFonts w:eastAsia="宋体"/>
      <w:kern w:val="2"/>
      <w:sz w:val="21"/>
      <w:szCs w:val="24"/>
      <w:lang w:val="en-US" w:eastAsia="zh-CN" w:bidi="ar-SA"/>
    </w:rPr>
  </w:style>
  <w:style w:type="table" w:styleId="TableGrid">
    <w:name w:val="Table Grid"/>
    <w:basedOn w:val="TableNormal"/>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rPr>
      <w:vertAlign w:val="superscript"/>
    </w:rPr>
  </w:style>
  <w:style w:type="character" w:styleId="PageNumber">
    <w:name w:val="page number"/>
    <w:basedOn w:val="DefaultParagraphFont"/>
  </w:style>
  <w:style w:type="character" w:styleId="FollowedHyperlink">
    <w:name w:val="FollowedHyperlink"/>
    <w:rPr>
      <w:color w:val="800080"/>
      <w:u w:val="single"/>
    </w:rPr>
  </w:style>
  <w:style w:type="character" w:styleId="Hyperlink">
    <w:name w:val="Hyperlink"/>
    <w:uiPriority w:val="99"/>
    <w:unhideWhenUsed/>
    <w:rPr>
      <w:color w:val="0000FF"/>
      <w:u w:val="single"/>
    </w:rPr>
  </w:style>
  <w:style w:type="character" w:styleId="CommentReference">
    <w:name w:val="annotation reference"/>
    <w:semiHidden/>
    <w:rPr>
      <w:sz w:val="21"/>
      <w:szCs w:val="21"/>
    </w:rPr>
  </w:style>
  <w:style w:type="character" w:customStyle="1" w:styleId="Char12">
    <w:name w:val="页眉 Char1"/>
    <w:aliases w:val="g Char1,页眉 Char Char Char Char1,页眉 Char Char Char2,页眉 Char Char2,页眉1 Char1,页眉2 Char1,页眉cover Char1,页眉zxl Char1,首页页眉 Char1"/>
    <w:rPr>
      <w:sz w:val="18"/>
      <w:szCs w:val="18"/>
    </w:rPr>
  </w:style>
  <w:style w:type="character" w:customStyle="1" w:styleId="1Char2">
    <w:name w:val="正文1 Char"/>
    <w:link w:val="1"/>
    <w:rPr>
      <w:rFonts w:ascii="宋体"/>
      <w:snapToGrid w:val="0"/>
      <w:kern w:val="28"/>
      <w:sz w:val="28"/>
    </w:rPr>
  </w:style>
  <w:style w:type="paragraph" w:customStyle="1" w:styleId="1">
    <w:name w:val="正文1"/>
    <w:basedOn w:val="Normal"/>
    <w:next w:val="Normal"/>
    <w:link w:val="1Char2"/>
    <w:pPr>
      <w:adjustRightInd w:val="0"/>
      <w:snapToGrid w:val="0"/>
      <w:spacing w:line="360" w:lineRule="auto"/>
      <w:ind w:firstLine="200" w:firstLineChars="200"/>
    </w:pPr>
    <w:rPr>
      <w:rFonts w:ascii="宋体"/>
      <w:snapToGrid w:val="0"/>
      <w:kern w:val="28"/>
      <w:sz w:val="28"/>
      <w:szCs w:val="20"/>
    </w:rPr>
  </w:style>
  <w:style w:type="character" w:customStyle="1" w:styleId="font31">
    <w:name w:val="font31"/>
    <w:uiPriority w:val="99"/>
    <w:rPr>
      <w:rFonts w:ascii="宋体" w:eastAsia="宋体" w:hAnsi="宋体" w:cs="宋体"/>
      <w:color w:val="000000"/>
      <w:sz w:val="22"/>
      <w:szCs w:val="22"/>
      <w:u w:val="none"/>
      <w:vertAlign w:val="subscript"/>
    </w:rPr>
  </w:style>
  <w:style w:type="character" w:customStyle="1" w:styleId="4Char0">
    <w:name w:val="表小4 Char"/>
    <w:link w:val="4"/>
    <w:rPr>
      <w:rFonts w:ascii="仿宋_GB2312" w:hAnsi="宋体"/>
      <w:kern w:val="2"/>
      <w:sz w:val="24"/>
    </w:rPr>
  </w:style>
  <w:style w:type="paragraph" w:customStyle="1" w:styleId="4">
    <w:name w:val="表小4"/>
    <w:basedOn w:val="Normal"/>
    <w:link w:val="4Char0"/>
    <w:pPr>
      <w:tabs>
        <w:tab w:val="left" w:pos="0"/>
      </w:tabs>
      <w:adjustRightInd w:val="0"/>
      <w:snapToGrid w:val="0"/>
      <w:spacing w:line="0" w:lineRule="atLeast"/>
      <w:jc w:val="center"/>
    </w:pPr>
    <w:rPr>
      <w:rFonts w:ascii="仿宋_GB2312" w:hAnsi="宋体"/>
      <w:sz w:val="24"/>
      <w:szCs w:val="20"/>
    </w:rPr>
  </w:style>
  <w:style w:type="character" w:customStyle="1" w:styleId="a">
    <w:name w:val="正文缩进 字符"/>
    <w:rPr>
      <w:rFonts w:eastAsia="宋体"/>
      <w:sz w:val="24"/>
    </w:rPr>
  </w:style>
  <w:style w:type="character" w:customStyle="1" w:styleId="21111CharCharCharChar2Heading2HCharChar">
    <w:name w:val="样式 标题 2节标题 1.1节标题 1.1 Char Char Char Char第一章 标题 2Heading 2 H... Char Char"/>
    <w:link w:val="21111CharCharCharChar2Heading2H"/>
    <w:rPr>
      <w:rFonts w:eastAsia="楷体_GB2312"/>
      <w:b/>
      <w:kern w:val="2"/>
      <w:sz w:val="32"/>
      <w:lang w:val="en-US" w:eastAsia="zh-CN" w:bidi="ar-SA"/>
    </w:rPr>
  </w:style>
  <w:style w:type="paragraph" w:customStyle="1" w:styleId="21111CharCharCharChar2Heading2H">
    <w:name w:val="样式 标题 2节标题 1.1节标题 1.1 Char Char Char Char第一章 标题 2Heading 2 H..."/>
    <w:basedOn w:val="Heading2"/>
    <w:link w:val="21111CharCharCharChar2Heading2HCharChar"/>
    <w:pPr>
      <w:spacing w:before="156" w:beforeLines="50" w:after="156" w:afterLines="50" w:line="240" w:lineRule="auto"/>
    </w:pPr>
    <w:rPr>
      <w:rFonts w:ascii="Times New Roman" w:eastAsia="楷体_GB2312" w:hAnsi="Times New Roman"/>
      <w:bCs w:val="0"/>
      <w:szCs w:val="20"/>
    </w:rPr>
  </w:style>
  <w:style w:type="character" w:customStyle="1" w:styleId="font21">
    <w:name w:val="font21"/>
    <w:uiPriority w:val="99"/>
    <w:rPr>
      <w:rFonts w:ascii="宋体" w:eastAsia="宋体" w:hAnsi="宋体" w:cs="宋体"/>
      <w:color w:val="000000"/>
      <w:sz w:val="22"/>
      <w:szCs w:val="22"/>
      <w:u w:val="none"/>
    </w:rPr>
  </w:style>
  <w:style w:type="character" w:customStyle="1" w:styleId="CharChar">
    <w:name w:val="表格中文字居中 Char Char"/>
    <w:link w:val="a0"/>
    <w:rPr>
      <w:rFonts w:ascii="宋体" w:eastAsia="宋体" w:hAnsi="宋体" w:cs="宋体"/>
      <w:bCs/>
      <w:spacing w:val="8"/>
      <w:sz w:val="21"/>
      <w:szCs w:val="18"/>
      <w:lang w:val="en-US" w:eastAsia="zh-CN" w:bidi="ar-SA"/>
    </w:rPr>
  </w:style>
  <w:style w:type="paragraph" w:customStyle="1" w:styleId="a0">
    <w:name w:val="表格中文字居中"/>
    <w:basedOn w:val="Normal"/>
    <w:link w:val="CharChar"/>
    <w:pPr>
      <w:widowControl/>
      <w:tabs>
        <w:tab w:val="left" w:pos="1890"/>
      </w:tabs>
      <w:adjustRightInd w:val="0"/>
      <w:snapToGrid w:val="0"/>
      <w:jc w:val="center"/>
    </w:pPr>
    <w:rPr>
      <w:rFonts w:ascii="宋体" w:hAnsi="宋体" w:cs="宋体"/>
      <w:bCs/>
      <w:spacing w:val="8"/>
      <w:kern w:val="0"/>
      <w:szCs w:val="18"/>
    </w:rPr>
  </w:style>
  <w:style w:type="character" w:customStyle="1" w:styleId="2121CharChar">
    <w:name w:val="正文    首行缩进:  2 字符1 + 首行缩进:  2 字符1 Char Char"/>
    <w:link w:val="2121"/>
    <w:rPr>
      <w:spacing w:val="8"/>
      <w:kern w:val="2"/>
      <w:sz w:val="28"/>
      <w:szCs w:val="28"/>
      <w:lang w:bidi="ar-SA"/>
    </w:rPr>
  </w:style>
  <w:style w:type="paragraph" w:customStyle="1" w:styleId="2121">
    <w:name w:val="正文    首行缩进:  2 字符1 + 首行缩进:  2 字符1"/>
    <w:basedOn w:val="Normal"/>
    <w:link w:val="2121CharChar"/>
    <w:pPr>
      <w:widowControl/>
      <w:adjustRightInd w:val="0"/>
      <w:snapToGrid w:val="0"/>
      <w:spacing w:line="360" w:lineRule="auto"/>
      <w:ind w:firstLine="592" w:firstLineChars="200"/>
      <w:jc w:val="left"/>
    </w:pPr>
    <w:rPr>
      <w:spacing w:val="8"/>
      <w:sz w:val="28"/>
      <w:szCs w:val="28"/>
    </w:rPr>
  </w:style>
  <w:style w:type="character" w:customStyle="1" w:styleId="Char14">
    <w:name w:val="表头 Char"/>
    <w:link w:val="a1"/>
    <w:rPr>
      <w:rFonts w:ascii="宋体" w:eastAsia="宋体"/>
      <w:kern w:val="2"/>
      <w:sz w:val="28"/>
      <w:szCs w:val="24"/>
      <w:lang w:val="en-US" w:eastAsia="zh-CN" w:bidi="ar-SA"/>
    </w:rPr>
  </w:style>
  <w:style w:type="paragraph" w:customStyle="1" w:styleId="a1">
    <w:name w:val="表头"/>
    <w:basedOn w:val="Normal"/>
    <w:link w:val="Char14"/>
    <w:pPr>
      <w:spacing w:before="156" w:beforeLines="50"/>
      <w:jc w:val="center"/>
    </w:pPr>
    <w:rPr>
      <w:rFonts w:ascii="宋体"/>
      <w:sz w:val="28"/>
    </w:rPr>
  </w:style>
  <w:style w:type="character" w:customStyle="1" w:styleId="Char15">
    <w:name w:val="正文新 Char"/>
    <w:link w:val="a2"/>
    <w:locked/>
    <w:rPr>
      <w:rFonts w:ascii="宋体" w:eastAsia="宋体" w:hAnsi="宋体"/>
      <w:kern w:val="2"/>
      <w:sz w:val="28"/>
      <w:szCs w:val="28"/>
      <w:lang w:val="en-US" w:eastAsia="zh-CN" w:bidi="ar-SA"/>
    </w:rPr>
  </w:style>
  <w:style w:type="paragraph" w:customStyle="1" w:styleId="a2">
    <w:name w:val="正文新"/>
    <w:basedOn w:val="Normal"/>
    <w:link w:val="Char15"/>
    <w:pPr>
      <w:spacing w:line="560" w:lineRule="exact"/>
      <w:ind w:firstLine="560" w:firstLineChars="200"/>
    </w:pPr>
    <w:rPr>
      <w:rFonts w:ascii="宋体" w:hAnsi="宋体"/>
      <w:sz w:val="28"/>
      <w:szCs w:val="28"/>
    </w:rPr>
  </w:style>
  <w:style w:type="character" w:customStyle="1" w:styleId="21Char3">
    <w:name w:val="标题 21 Char3"/>
    <w:aliases w:val="1 Char Char2,H2 Char2,HD2 Char,Heading 2 CCBS Char2,Heading 2 Hidden Char2,PIM2 Char2,Titre3 Char,h2 Char2,heading 2 Char2,p2 Char,sect 1.2 Char,标题 21 Char Char Char Char Char3,标题 21 Char Char Char Char2,标题 21 Char Char2,第一章 标题 2 Char2"/>
    <w:rPr>
      <w:rFonts w:ascii="Arial" w:eastAsia="黑体" w:hAnsi="Arial"/>
      <w:b/>
      <w:bCs/>
      <w:kern w:val="2"/>
      <w:sz w:val="32"/>
      <w:szCs w:val="32"/>
      <w:lang w:val="en-US" w:eastAsia="zh-CN" w:bidi="ar-SA"/>
    </w:rPr>
  </w:style>
  <w:style w:type="character" w:customStyle="1" w:styleId="style31">
    <w:name w:val="style31"/>
    <w:rPr>
      <w:b/>
      <w:bCs/>
      <w:color w:val="3795D2"/>
      <w:sz w:val="21"/>
      <w:szCs w:val="21"/>
    </w:rPr>
  </w:style>
  <w:style w:type="character" w:customStyle="1" w:styleId="font01">
    <w:name w:val="font01"/>
    <w:uiPriority w:val="99"/>
    <w:rPr>
      <w:rFonts w:ascii="font-weight : 400" w:eastAsia="Times New Roman" w:hAnsi="font-weight : 400" w:cs="font-weight : 400"/>
      <w:color w:val="000000"/>
      <w:sz w:val="22"/>
      <w:szCs w:val="22"/>
      <w:u w:val="none"/>
    </w:rPr>
  </w:style>
  <w:style w:type="character" w:customStyle="1" w:styleId="1Char3">
    <w:name w:val="样式1 Char"/>
    <w:link w:val="10"/>
    <w:rPr>
      <w:rFonts w:ascii="宋体" w:hAnsi="宋体"/>
      <w:szCs w:val="21"/>
    </w:rPr>
  </w:style>
  <w:style w:type="paragraph" w:customStyle="1" w:styleId="10">
    <w:name w:val="样式1"/>
    <w:basedOn w:val="Normal"/>
    <w:link w:val="1Char3"/>
    <w:pPr>
      <w:tabs>
        <w:tab w:val="left" w:pos="7380"/>
      </w:tabs>
      <w:jc w:val="center"/>
    </w:pPr>
    <w:rPr>
      <w:rFonts w:ascii="宋体" w:hAnsi="宋体"/>
      <w:kern w:val="0"/>
      <w:sz w:val="20"/>
      <w:szCs w:val="21"/>
    </w:rPr>
  </w:style>
  <w:style w:type="character" w:customStyle="1" w:styleId="Char16">
    <w:name w:val="报告正文 Char1"/>
    <w:link w:val="a3"/>
    <w:rPr>
      <w:sz w:val="21"/>
      <w:szCs w:val="21"/>
    </w:rPr>
  </w:style>
  <w:style w:type="paragraph" w:customStyle="1" w:styleId="a3">
    <w:name w:val="报告正文"/>
    <w:basedOn w:val="Normal"/>
    <w:link w:val="Char16"/>
    <w:pPr>
      <w:snapToGrid w:val="0"/>
      <w:spacing w:line="320" w:lineRule="exact"/>
      <w:jc w:val="center"/>
    </w:pPr>
    <w:rPr>
      <w:kern w:val="0"/>
      <w:szCs w:val="21"/>
    </w:rPr>
  </w:style>
  <w:style w:type="character" w:customStyle="1" w:styleId="1Char4">
    <w:name w:val="表图1 Char"/>
    <w:link w:val="11"/>
    <w:rPr>
      <w:sz w:val="24"/>
    </w:rPr>
  </w:style>
  <w:style w:type="paragraph" w:customStyle="1" w:styleId="11">
    <w:name w:val="表图1"/>
    <w:basedOn w:val="Normal"/>
    <w:link w:val="1Char4"/>
    <w:pPr>
      <w:spacing w:line="500" w:lineRule="exact"/>
      <w:jc w:val="center"/>
    </w:pPr>
    <w:rPr>
      <w:kern w:val="0"/>
      <w:sz w:val="24"/>
      <w:szCs w:val="20"/>
    </w:rPr>
  </w:style>
  <w:style w:type="paragraph" w:customStyle="1" w:styleId="Default">
    <w:name w:val="Default"/>
    <w:pPr>
      <w:widowControl w:val="0"/>
      <w:autoSpaceDE w:val="0"/>
      <w:autoSpaceDN w:val="0"/>
      <w:adjustRightInd w:val="0"/>
    </w:pPr>
    <w:rPr>
      <w:rFonts w:ascii="宋体"/>
      <w:color w:val="000000"/>
      <w:sz w:val="24"/>
      <w:lang w:val="en-US" w:eastAsia="zh-CN" w:bidi="ar-SA"/>
    </w:rPr>
  </w:style>
  <w:style w:type="paragraph" w:customStyle="1" w:styleId="a4">
    <w:name w:val="样式 五号 居中"/>
    <w:basedOn w:val="Normal"/>
    <w:pPr>
      <w:spacing w:line="360" w:lineRule="auto"/>
      <w:jc w:val="center"/>
    </w:pPr>
    <w:rPr>
      <w:rFonts w:ascii="宋体" w:hAnsi="宋体" w:cs="宋体"/>
      <w:snapToGrid w:val="0"/>
      <w:kern w:val="0"/>
      <w:szCs w:val="20"/>
    </w:rPr>
  </w:style>
  <w:style w:type="paragraph" w:customStyle="1" w:styleId="a5">
    <w:name w:val="正文段落"/>
    <w:basedOn w:val="Normal"/>
    <w:pPr>
      <w:spacing w:line="520" w:lineRule="exact"/>
      <w:ind w:firstLine="480" w:firstLineChars="200"/>
    </w:pPr>
    <w:rPr>
      <w:sz w:val="24"/>
    </w:rPr>
  </w:style>
  <w:style w:type="paragraph" w:customStyle="1" w:styleId="a6">
    <w:name w:val="表"/>
    <w:basedOn w:val="Normal"/>
    <w:pPr>
      <w:spacing w:line="300" w:lineRule="auto"/>
    </w:pPr>
    <w:rPr>
      <w:rFonts w:eastAsia="仿宋_GB2312"/>
      <w:bCs/>
      <w:sz w:val="24"/>
      <w:szCs w:val="20"/>
    </w:rPr>
  </w:style>
  <w:style w:type="paragraph" w:customStyle="1" w:styleId="12">
    <w:name w:val="（1）表格文字样式"/>
    <w:pPr>
      <w:jc w:val="center"/>
    </w:pPr>
    <w:rPr>
      <w:rFonts w:ascii="宋体" w:hAnsi="宋体"/>
      <w:kern w:val="2"/>
      <w:sz w:val="21"/>
      <w:szCs w:val="24"/>
      <w:lang w:val="en-US" w:eastAsia="zh-CN" w:bidi="ar-SA"/>
    </w:rPr>
  </w:style>
  <w:style w:type="paragraph" w:customStyle="1" w:styleId="a7">
    <w:name w:val="首行缩进正文"/>
    <w:basedOn w:val="Normal"/>
    <w:pPr>
      <w:spacing w:line="660" w:lineRule="exact"/>
      <w:ind w:firstLine="200" w:firstLineChars="200"/>
    </w:pPr>
    <w:rPr>
      <w:rFonts w:ascii="宋体" w:hAnsi="宋体"/>
      <w:sz w:val="28"/>
      <w:szCs w:val="28"/>
    </w:rPr>
  </w:style>
  <w:style w:type="paragraph" w:customStyle="1" w:styleId="13">
    <w:name w:val="表头1"/>
    <w:basedOn w:val="BodyText"/>
    <w:next w:val="Normal"/>
    <w:pPr>
      <w:spacing w:before="312" w:beforeLines="100" w:after="0" w:line="240" w:lineRule="atLeast"/>
      <w:jc w:val="left"/>
    </w:pPr>
    <w:rPr>
      <w:rFonts w:ascii="宋体"/>
      <w:szCs w:val="21"/>
    </w:rPr>
  </w:style>
  <w:style w:type="paragraph" w:customStyle="1" w:styleId="a8">
    <w:name w:val="表内文字"/>
    <w:basedOn w:val="Normal"/>
    <w:pPr>
      <w:adjustRightInd w:val="0"/>
      <w:jc w:val="center"/>
      <w:textAlignment w:val="baseline"/>
    </w:pPr>
    <w:rPr>
      <w:rFonts w:ascii="仿宋_GB2312" w:eastAsia="仿宋_GB2312"/>
      <w:color w:val="FF0000"/>
      <w:kern w:val="16"/>
      <w:sz w:val="18"/>
      <w:szCs w:val="18"/>
    </w:rPr>
  </w:style>
  <w:style w:type="paragraph" w:customStyle="1" w:styleId="2New">
    <w:name w:val="正文文本缩进 2 New"/>
    <w:basedOn w:val="Normal"/>
    <w:pPr>
      <w:ind w:firstLine="560" w:firstLineChars="200"/>
    </w:pPr>
    <w:rPr>
      <w:rFonts w:ascii="宋体" w:hAnsi="宋体"/>
      <w:sz w:val="28"/>
      <w:szCs w:val="20"/>
    </w:rPr>
  </w:style>
  <w:style w:type="paragraph" w:customStyle="1" w:styleId="a9">
    <w:name w:val="表格内文字"/>
    <w:basedOn w:val="Normal"/>
    <w:pPr>
      <w:jc w:val="center"/>
    </w:pPr>
  </w:style>
  <w:style w:type="paragraph" w:customStyle="1" w:styleId="a10">
    <w:name w:val="表文"/>
    <w:basedOn w:val="Normal"/>
    <w:pPr>
      <w:spacing w:line="360" w:lineRule="auto"/>
      <w:jc w:val="center"/>
    </w:pPr>
  </w:style>
  <w:style w:type="paragraph" w:customStyle="1" w:styleId="cjh">
    <w:name w:val="cjh"/>
    <w:basedOn w:val="Normal"/>
    <w:next w:val="Normal"/>
    <w:pPr>
      <w:keepLines/>
      <w:suppressLineNumbers/>
      <w:suppressAutoHyphens/>
      <w:spacing w:line="500" w:lineRule="exact"/>
      <w:ind w:firstLine="200" w:firstLineChars="200"/>
      <w:jc w:val="center"/>
      <w:outlineLvl w:val="0"/>
    </w:pPr>
    <w:rPr>
      <w:rFonts w:ascii="宋体"/>
      <w:kern w:val="24"/>
      <w:sz w:val="28"/>
      <w:szCs w:val="20"/>
    </w:rPr>
  </w:style>
  <w:style w:type="paragraph" w:customStyle="1" w:styleId="a11">
    <w:name w:val="表格正文"/>
    <w:basedOn w:val="Normal"/>
    <w:pPr>
      <w:adjustRightInd w:val="0"/>
      <w:snapToGrid w:val="0"/>
      <w:spacing w:before="60" w:after="60"/>
      <w:jc w:val="center"/>
      <w:textAlignment w:val="baseline"/>
    </w:pPr>
    <w:rPr>
      <w:kern w:val="0"/>
      <w:sz w:val="24"/>
      <w:szCs w:val="20"/>
    </w:rPr>
  </w:style>
  <w:style w:type="paragraph" w:styleId="ListParagraph">
    <w:name w:val="List Paragraph"/>
    <w:basedOn w:val="Normal"/>
    <w:uiPriority w:val="99"/>
    <w:qFormat/>
    <w:pPr>
      <w:spacing w:line="360" w:lineRule="auto"/>
      <w:ind w:firstLine="420" w:firstLineChars="200"/>
    </w:pPr>
    <w:rPr>
      <w:rFonts w:ascii="Calibri" w:hAnsi="Calibri"/>
      <w:sz w:val="24"/>
      <w:szCs w:val="22"/>
    </w:rPr>
  </w:style>
  <w:style w:type="paragraph" w:customStyle="1" w:styleId="615">
    <w:name w:val="样式 (符号) 宋体 四号 段后: 6 磅 行距: 1.5 倍行距"/>
    <w:basedOn w:val="Normal"/>
    <w:pPr>
      <w:spacing w:after="120" w:afterLines="0" w:line="360" w:lineRule="auto"/>
      <w:ind w:firstLine="560" w:firstLineChars="200"/>
    </w:pPr>
    <w:rPr>
      <w:rFonts w:ascii="宋体" w:hAnsi="宋体" w:cs="宋体"/>
      <w:sz w:val="28"/>
      <w:szCs w:val="20"/>
    </w:rPr>
  </w:style>
  <w:style w:type="paragraph" w:customStyle="1" w:styleId="TableParagraph">
    <w:name w:val="Table Paragraph"/>
    <w:basedOn w:val="Normal"/>
    <w:unhideWhenUsed/>
    <w:qFormat/>
    <w:rPr>
      <w:rFonts w:ascii="Calibri" w:hAnsi="Calibri"/>
      <w:sz w:val="24"/>
      <w:szCs w:val="20"/>
    </w:rPr>
  </w:style>
  <w:style w:type="paragraph" w:customStyle="1" w:styleId="22Heading2HiddenHeading2CCBSheading2H2h2">
    <w:name w:val="样式 样式 标题 2第一章 标题 2Heading 2 HiddenHeading 2 CCBSheading 2H2h2......"/>
    <w:basedOn w:val="Normal"/>
    <w:pPr>
      <w:keepNext/>
      <w:keepLines/>
      <w:ind w:firstLine="180" w:firstLineChars="180"/>
      <w:outlineLvl w:val="1"/>
    </w:pPr>
    <w:rPr>
      <w:rFonts w:ascii="楷体_GB2312" w:eastAsia="楷体_GB2312" w:hAnsi="楷体_GB2312" w:cs="宋体"/>
      <w:b/>
      <w:bCs/>
      <w:sz w:val="32"/>
      <w:szCs w:val="20"/>
    </w:rPr>
  </w:style>
  <w:style w:type="paragraph" w:customStyle="1" w:styleId="14">
    <w:name w:val="(1)正文格式"/>
    <w:pPr>
      <w:spacing w:line="360" w:lineRule="auto"/>
      <w:ind w:firstLine="200" w:firstLineChars="200"/>
    </w:pPr>
    <w:rPr>
      <w:rFonts w:ascii="宋体" w:hAnsi="宋体" w:cs="宋体"/>
      <w:kern w:val="2"/>
      <w:sz w:val="28"/>
      <w:lang w:val="en-US" w:eastAsia="zh-CN" w:bidi="ar-SA"/>
    </w:rPr>
  </w:style>
  <w:style w:type="paragraph" w:customStyle="1" w:styleId="a12">
    <w:name w:val="小四正文"/>
    <w:basedOn w:val="Normal"/>
    <w:pPr>
      <w:snapToGrid w:val="0"/>
      <w:spacing w:line="360" w:lineRule="auto"/>
      <w:ind w:firstLine="540" w:firstLineChars="225"/>
    </w:pPr>
    <w:rPr>
      <w:kern w:val="0"/>
      <w:sz w:val="24"/>
      <w:szCs w:val="20"/>
    </w:rPr>
  </w:style>
  <w:style w:type="paragraph" w:customStyle="1" w:styleId="15">
    <w:name w:val="样式 五号 加粗 居中1"/>
    <w:basedOn w:val="Normal"/>
    <w:pPr>
      <w:jc w:val="center"/>
    </w:pPr>
    <w:rPr>
      <w:rFonts w:ascii="宋体" w:hAnsi="宋体" w:cs="宋体"/>
      <w:b/>
      <w:bCs/>
      <w:snapToGrid w:val="0"/>
      <w:kern w:val="0"/>
      <w:szCs w:val="20"/>
    </w:rPr>
  </w:style>
  <w:style w:type="paragraph" w:customStyle="1" w:styleId="New">
    <w:name w:val="表格中文字居中 New"/>
    <w:basedOn w:val="Normal"/>
    <w:pPr>
      <w:widowControl/>
      <w:tabs>
        <w:tab w:val="left" w:pos="1890"/>
      </w:tabs>
      <w:adjustRightInd w:val="0"/>
      <w:snapToGrid w:val="0"/>
      <w:spacing w:line="240" w:lineRule="atLeast"/>
      <w:jc w:val="center"/>
    </w:pPr>
    <w:rPr>
      <w:rFonts w:ascii="宋体" w:hAnsi="宋体" w:cs="宋体"/>
      <w:bCs/>
      <w:szCs w:val="21"/>
    </w:rPr>
  </w:style>
  <w:style w:type="paragraph" w:customStyle="1" w:styleId="reader-word-layer">
    <w:name w:val="reader-word-layer"/>
    <w:basedOn w:val="Normal"/>
    <w:pPr>
      <w:widowControl/>
      <w:spacing w:before="100" w:beforeAutospacing="1" w:after="100" w:afterAutospacing="1"/>
      <w:jc w:val="left"/>
    </w:pPr>
    <w:rPr>
      <w:rFonts w:ascii="宋体" w:hAnsi="宋体" w:cs="宋体"/>
      <w:kern w:val="0"/>
      <w:sz w:val="24"/>
    </w:rPr>
  </w:style>
  <w:style w:type="paragraph" w:customStyle="1" w:styleId="32">
    <w:name w:val="标题 32"/>
    <w:basedOn w:val="Normal"/>
    <w:next w:val="Normal"/>
    <w:pPr>
      <w:keepNext/>
      <w:keepLines/>
      <w:adjustRightInd w:val="0"/>
      <w:snapToGrid w:val="0"/>
      <w:spacing w:line="360" w:lineRule="auto"/>
      <w:outlineLvl w:val="2"/>
    </w:pPr>
    <w:rPr>
      <w:b/>
      <w:color w:val="000000"/>
      <w:sz w:val="28"/>
      <w:szCs w:val="20"/>
    </w:rPr>
  </w:style>
  <w:style w:type="character" w:customStyle="1" w:styleId="Char17">
    <w:name w:val="正文缩进 Char1"/>
    <w:aliases w:val="s4 Char,四号 Char,正文缩进 Char Char,正文缩进 Char Char Char Char Char,正文缩进 Char Char1 Char Char,正文缩进 Char1 Char Char Char,正文缩进 Char2 Char Char,正文非缩进 Char1,正文（首行缩进两字） Char Char,正文（首行缩进两字） Char Char Char Char,正文（首行缩进两字） Char1 Char Char,特点 Char,表正文 Char"/>
    <w:qFormat/>
    <w:rPr>
      <w:rFonts w:ascii="Times New Roman" w:eastAsia="宋体" w:hAnsi="Times New Roman" w:cs="Times New Roman"/>
      <w:sz w:val="24"/>
      <w:szCs w:val="20"/>
    </w:rPr>
  </w:style>
  <w:style w:type="character" w:customStyle="1" w:styleId="Char21">
    <w:name w:val="四号正文 Char"/>
    <w:link w:val="a13"/>
    <w:rPr>
      <w:kern w:val="2"/>
      <w:sz w:val="28"/>
    </w:rPr>
  </w:style>
  <w:style w:type="paragraph" w:customStyle="1" w:styleId="a13">
    <w:name w:val="四号正文"/>
    <w:basedOn w:val="Normal"/>
    <w:link w:val="Char21"/>
    <w:pPr>
      <w:spacing w:line="500" w:lineRule="exact"/>
      <w:ind w:firstLine="560" w:firstLineChars="200"/>
    </w:pPr>
    <w:rPr>
      <w:sz w:val="28"/>
      <w:szCs w:val="20"/>
    </w:rPr>
  </w:style>
  <w:style w:type="paragraph" w:customStyle="1" w:styleId="a14">
    <w:name w:val="表格文字"/>
    <w:next w:val="Normal"/>
    <w:qFormat/>
    <w:pPr>
      <w:widowControl w:val="0"/>
      <w:spacing w:line="520" w:lineRule="exact"/>
      <w:jc w:val="center"/>
    </w:pPr>
    <w:rPr>
      <w:rFonts w:ascii="宋体" w:hAnsi="宋体"/>
      <w:kern w:val="2"/>
      <w:sz w:val="21"/>
      <w:lang w:val="en-US" w:eastAsia="zh-CN" w:bidi="ar-SA"/>
    </w:rPr>
  </w:style>
  <w:style w:type="character" w:customStyle="1" w:styleId="1CharChar0">
    <w:name w:val="样式1 Char Char"/>
    <w:rPr>
      <w:rFonts w:ascii="宋体" w:eastAsia="宋体" w:hAnsi="宋体"/>
      <w:bCs/>
      <w:kern w:val="2"/>
      <w:sz w:val="28"/>
      <w:szCs w:val="24"/>
      <w:lang w:val="en-US" w:eastAsia="zh-CN" w:bidi="ar-SA"/>
    </w:rPr>
  </w:style>
  <w:style w:type="paragraph" w:customStyle="1" w:styleId="Char22">
    <w:name w:val="Char"/>
    <w:basedOn w:val="Normal"/>
    <w:rPr>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d.book118.com/618027063063006023" TargetMode="External" /><Relationship Id="rId101" Type="http://schemas.openxmlformats.org/officeDocument/2006/relationships/header" Target="header43.xml" /><Relationship Id="rId102" Type="http://schemas.openxmlformats.org/officeDocument/2006/relationships/footer" Target="footer43.xml" /><Relationship Id="rId103" Type="http://schemas.openxmlformats.org/officeDocument/2006/relationships/theme" Target="theme/theme1.xml" /><Relationship Id="rId104" Type="http://schemas.openxmlformats.org/officeDocument/2006/relationships/numbering" Target="numbering.xml" /><Relationship Id="rId105" Type="http://schemas.openxmlformats.org/officeDocument/2006/relationships/styles" Target="styles.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image" Target="media/image1.png"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image" Target="media/image2.jpeg" /><Relationship Id="rId36" Type="http://schemas.openxmlformats.org/officeDocument/2006/relationships/header" Target="header16.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image" Target="media/image3.emf" /><Relationship Id="rId49" Type="http://schemas.openxmlformats.org/officeDocument/2006/relationships/oleObject" Target="embeddings/oleObject1.vsd" /><Relationship Id="rId5" Type="http://schemas.openxmlformats.org/officeDocument/2006/relationships/footer" Target="footer1.xml" /><Relationship Id="rId50" Type="http://schemas.openxmlformats.org/officeDocument/2006/relationships/header" Target="header22.xml" /><Relationship Id="rId51" Type="http://schemas.openxmlformats.org/officeDocument/2006/relationships/footer" Target="footer22.xml" /><Relationship Id="rId52" Type="http://schemas.openxmlformats.org/officeDocument/2006/relationships/header" Target="header23.xml" /><Relationship Id="rId53" Type="http://schemas.openxmlformats.org/officeDocument/2006/relationships/footer" Target="footer23.xml" /><Relationship Id="rId54" Type="http://schemas.openxmlformats.org/officeDocument/2006/relationships/image" Target="media/image4.emf" /><Relationship Id="rId55" Type="http://schemas.openxmlformats.org/officeDocument/2006/relationships/oleObject" Target="embeddings/oleObject2.vsd" /><Relationship Id="rId56" Type="http://schemas.openxmlformats.org/officeDocument/2006/relationships/header" Target="header24.xml" /><Relationship Id="rId57" Type="http://schemas.openxmlformats.org/officeDocument/2006/relationships/footer" Target="footer24.xml" /><Relationship Id="rId58" Type="http://schemas.openxmlformats.org/officeDocument/2006/relationships/image" Target="media/image5.emf" /><Relationship Id="rId59" Type="http://schemas.openxmlformats.org/officeDocument/2006/relationships/oleObject" Target="embeddings/oleObject3.vsd" /><Relationship Id="rId6" Type="http://schemas.openxmlformats.org/officeDocument/2006/relationships/header" Target="header2.xml" /><Relationship Id="rId60" Type="http://schemas.openxmlformats.org/officeDocument/2006/relationships/header" Target="header25.xml" /><Relationship Id="rId61" Type="http://schemas.openxmlformats.org/officeDocument/2006/relationships/footer" Target="footer25.xml" /><Relationship Id="rId62" Type="http://schemas.openxmlformats.org/officeDocument/2006/relationships/header" Target="header26.xml" /><Relationship Id="rId63" Type="http://schemas.openxmlformats.org/officeDocument/2006/relationships/footer" Target="footer26.xml" /><Relationship Id="rId64" Type="http://schemas.openxmlformats.org/officeDocument/2006/relationships/header" Target="header27.xml" /><Relationship Id="rId65" Type="http://schemas.openxmlformats.org/officeDocument/2006/relationships/footer" Target="footer27.xml" /><Relationship Id="rId66" Type="http://schemas.openxmlformats.org/officeDocument/2006/relationships/header" Target="header28.xml" /><Relationship Id="rId67" Type="http://schemas.openxmlformats.org/officeDocument/2006/relationships/footer" Target="footer28.xml" /><Relationship Id="rId68" Type="http://schemas.openxmlformats.org/officeDocument/2006/relationships/hyperlink" Target="https://baike.so.com/doc/5887143-6100028.html" TargetMode="External" /><Relationship Id="rId69" Type="http://schemas.openxmlformats.org/officeDocument/2006/relationships/hyperlink" Target="https://baike.so.com/doc/7607550-7881645.html" TargetMode="External" /><Relationship Id="rId7" Type="http://schemas.openxmlformats.org/officeDocument/2006/relationships/footer" Target="footer2.xml" /><Relationship Id="rId70" Type="http://schemas.openxmlformats.org/officeDocument/2006/relationships/hyperlink" Target="https://baike.so.com/doc/703586-744632.html" TargetMode="External" /><Relationship Id="rId71" Type="http://schemas.openxmlformats.org/officeDocument/2006/relationships/hyperlink" Target="https://baike.so.com/doc/1528389-1615824.html" TargetMode="External" /><Relationship Id="rId72" Type="http://schemas.openxmlformats.org/officeDocument/2006/relationships/header" Target="header29.xml" /><Relationship Id="rId73" Type="http://schemas.openxmlformats.org/officeDocument/2006/relationships/footer" Target="footer29.xml" /><Relationship Id="rId74" Type="http://schemas.openxmlformats.org/officeDocument/2006/relationships/header" Target="header30.xml" /><Relationship Id="rId75" Type="http://schemas.openxmlformats.org/officeDocument/2006/relationships/footer" Target="footer30.xml" /><Relationship Id="rId76" Type="http://schemas.openxmlformats.org/officeDocument/2006/relationships/header" Target="header31.xml" /><Relationship Id="rId77" Type="http://schemas.openxmlformats.org/officeDocument/2006/relationships/footer" Target="footer31.xml" /><Relationship Id="rId78" Type="http://schemas.openxmlformats.org/officeDocument/2006/relationships/header" Target="header32.xml" /><Relationship Id="rId79" Type="http://schemas.openxmlformats.org/officeDocument/2006/relationships/footer" Target="footer32.xml" /><Relationship Id="rId8" Type="http://schemas.openxmlformats.org/officeDocument/2006/relationships/header" Target="header3.xml" /><Relationship Id="rId80" Type="http://schemas.openxmlformats.org/officeDocument/2006/relationships/header" Target="header33.xml" /><Relationship Id="rId81" Type="http://schemas.openxmlformats.org/officeDocument/2006/relationships/footer" Target="footer33.xml" /><Relationship Id="rId82" Type="http://schemas.openxmlformats.org/officeDocument/2006/relationships/header" Target="header34.xml" /><Relationship Id="rId83" Type="http://schemas.openxmlformats.org/officeDocument/2006/relationships/footer" Target="footer34.xml" /><Relationship Id="rId84" Type="http://schemas.openxmlformats.org/officeDocument/2006/relationships/header" Target="header35.xml" /><Relationship Id="rId85" Type="http://schemas.openxmlformats.org/officeDocument/2006/relationships/footer" Target="footer35.xml" /><Relationship Id="rId86" Type="http://schemas.openxmlformats.org/officeDocument/2006/relationships/header" Target="header36.xml" /><Relationship Id="rId87" Type="http://schemas.openxmlformats.org/officeDocument/2006/relationships/footer" Target="footer36.xml" /><Relationship Id="rId88" Type="http://schemas.openxmlformats.org/officeDocument/2006/relationships/header" Target="header37.xml" /><Relationship Id="rId89" Type="http://schemas.openxmlformats.org/officeDocument/2006/relationships/footer" Target="footer37.xml" /><Relationship Id="rId9" Type="http://schemas.openxmlformats.org/officeDocument/2006/relationships/footer" Target="footer3.xml" /><Relationship Id="rId90" Type="http://schemas.openxmlformats.org/officeDocument/2006/relationships/header" Target="header38.xml" /><Relationship Id="rId91" Type="http://schemas.openxmlformats.org/officeDocument/2006/relationships/footer" Target="footer38.xml" /><Relationship Id="rId92" Type="http://schemas.openxmlformats.org/officeDocument/2006/relationships/header" Target="header39.xml" /><Relationship Id="rId93" Type="http://schemas.openxmlformats.org/officeDocument/2006/relationships/footer" Target="footer39.xml" /><Relationship Id="rId94" Type="http://schemas.openxmlformats.org/officeDocument/2006/relationships/header" Target="header40.xml" /><Relationship Id="rId95" Type="http://schemas.openxmlformats.org/officeDocument/2006/relationships/footer" Target="footer40.xml" /><Relationship Id="rId96" Type="http://schemas.openxmlformats.org/officeDocument/2006/relationships/header" Target="header41.xml" /><Relationship Id="rId97" Type="http://schemas.openxmlformats.org/officeDocument/2006/relationships/footer" Target="footer41.xml" /><Relationship Id="rId98" Type="http://schemas.openxmlformats.org/officeDocument/2006/relationships/header" Target="header42.xml" /><Relationship Id="rId99" Type="http://schemas.openxmlformats.org/officeDocument/2006/relationships/footer" Target="footer4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50</Pages>
  <Words>52732</Words>
  <Characters>57375</Characters>
  <Application>Microsoft Office Word</Application>
  <DocSecurity>0</DocSecurity>
  <Lines>457</Lines>
  <Paragraphs>128</Paragraphs>
  <ScaleCrop>false</ScaleCrop>
  <Company>China</Company>
  <LinksUpToDate>false</LinksUpToDate>
  <CharactersWithSpaces>57444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目录</dc:title>
  <dc:creator>User</dc:creator>
  <cp:lastModifiedBy>肉团子</cp:lastModifiedBy>
  <cp:revision>488</cp:revision>
  <cp:lastPrinted>2018-10-26T06:22:00Z</cp:lastPrinted>
  <dcterms:created xsi:type="dcterms:W3CDTF">2013-04-17T04:51:00Z</dcterms:created>
  <dcterms:modified xsi:type="dcterms:W3CDTF">2024-01-04T14:35:00Z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951A786AA23944F2BA71E1A14220E0FF</vt:lpwstr>
  </property>
  <property fmtid="{D5CDD505-2E9C-101B-9397-08002B2CF9AE}" pid="3" name="KSOProductBuildVer">
    <vt:lpwstr>2052-11.1.0.12165</vt:lpwstr>
  </property>
</Properties>
</file>