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免疫诊断产品行业相关公司设立可行性研究报告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8" w:history="1">
        <w:r>
          <w:rPr>
            <w:rFonts w:ascii="仿宋" w:eastAsia="仿宋" w:hAnsi="仿宋" w:cs="仿宋" w:hint="eastAsia"/>
            <w:lang w:eastAsia="zh-CN"/>
          </w:rPr>
          <w:t>(一)、免疫诊断产品项目选址原则</w:t>
        </w:r>
        <w:r>
          <w:tab/>
        </w:r>
        <w:r>
          <w:fldChar w:fldCharType="begin"/>
        </w:r>
        <w:r>
          <w:instrText xml:space="preserve"> PAGEREF _Toc29088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(五)、免疫诊断产品项目选址综合评价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五、免疫诊断产品项目概况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(二)、免疫诊断产品项目提出的理由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1" w:history="1">
        <w:r>
          <w:rPr>
            <w:rFonts w:ascii="仿宋" w:eastAsia="仿宋" w:hAnsi="仿宋" w:cs="仿宋" w:hint="eastAsia"/>
            <w:lang w:eastAsia="zh-CN"/>
          </w:rPr>
          <w:t>(三)、免疫诊断产品项目选址</w:t>
        </w:r>
        <w:r>
          <w:tab/>
        </w:r>
        <w:r>
          <w:fldChar w:fldCharType="begin"/>
        </w:r>
        <w:r>
          <w:instrText xml:space="preserve"> PAGEREF _Toc30361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(六)、免疫诊断产品项目投资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(七)、免疫诊断产品项目进度规划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(九)、免疫诊断产品项目综合评价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(五)、免疫诊断产品项目总投资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_Toc12178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(一)、免疫诊断产品项目进度安排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(二)、免疫诊断产品项目实施保障措施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十、免疫诊断产品项目风险分析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(一)、免疫诊断产品项目风险分析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(二)、免疫诊断产品项目风险对策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(一)、社会责任免疫诊断产品项目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十二、免疫诊断产品项目总结分析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57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98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https://d.book118.com/618032026015006031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免疫诊断产品行业相关公司设立可行性研究报告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免疫诊断产品行业相关公司设立可行性研究报告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免疫诊断产品行业相关公司设立可行性研究报告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免疫诊断产品行业相关公司设立可行性研究报告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免疫诊断产品行业相关公司设立可行性研究报告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032026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2024-01-15T19:01:00Z</dcterms:created>
  <dcterms:modified xsi:type="dcterms:W3CDTF">2024-01-15T19:01:22Z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D4CD7506156B4DBF999A6801DEC690B5_11</vt:lpwstr>
  </property>
  <property fmtid="{D5CDD505-2E9C-101B-9397-08002B2CF9AE}" pid="3" name="KSOProductBuildVer">
    <vt:lpwstr>2052-12.1.0.16120</vt:lpwstr>
  </property>
</Properties>
</file>