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散剂项目规划设计方案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_Toc19420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8" w:history="1">
        <w:r>
          <w:rPr>
            <w:rFonts w:ascii="仿宋" w:eastAsia="仿宋" w:hAnsi="仿宋" w:cs="仿宋" w:hint="eastAsia"/>
            <w:lang w:eastAsia="zh-CN"/>
          </w:rPr>
          <w:t>一、员工压力管理及应对措施</w:t>
        </w:r>
        <w:r>
          <w:tab/>
        </w:r>
        <w:r>
          <w:fldChar w:fldCharType="begin"/>
        </w:r>
        <w:r>
          <w:instrText xml:space="preserve"> PAGEREF _Toc27638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6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_Toc7146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_Toc2036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0" w:history="1">
        <w:r>
          <w:rPr>
            <w:rFonts w:ascii="仿宋" w:eastAsia="仿宋" w:hAnsi="仿宋" w:cs="仿宋" w:hint="eastAsia"/>
            <w:lang w:eastAsia="zh-CN"/>
          </w:rPr>
          <w:t>二、建筑物技术方案</w:t>
        </w:r>
        <w:r>
          <w:tab/>
        </w:r>
        <w:r>
          <w:fldChar w:fldCharType="begin"/>
        </w:r>
        <w:r>
          <w:instrText xml:space="preserve"> PAGEREF _Toc17190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1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_Toc11016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三、项目建设单位基本情况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_Toc20911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5" w:history="1">
        <w:r>
          <w:rPr>
            <w:rFonts w:ascii="仿宋" w:eastAsia="仿宋" w:hAnsi="仿宋" w:cs="仿宋" w:hint="eastAsia"/>
            <w:lang w:eastAsia="zh-CN"/>
          </w:rPr>
          <w:t>四、散剂知识产权管理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五、经营分析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4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_Toc28964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(二)、散剂项目运营组织结构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六、安全评价程序与评价方法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0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eastAsia="zh-CN"/>
          </w:rPr>
          <w:t>七、散剂项目建设目标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6" w:history="1">
        <w:r>
          <w:rPr>
            <w:rFonts w:ascii="仿宋" w:eastAsia="仿宋" w:hAnsi="仿宋" w:cs="仿宋" w:hint="eastAsia"/>
            <w:lang w:eastAsia="zh-CN"/>
          </w:rPr>
          <w:t>(一)、散剂项目建设目标</w:t>
        </w:r>
        <w:r>
          <w:tab/>
        </w:r>
        <w:r>
          <w:fldChar w:fldCharType="begin"/>
        </w:r>
        <w:r>
          <w:instrText xml:space="preserve"> PAGEREF _Toc6596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八、安全管理与风险预防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九、散剂项目经济评价分析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(二)、散剂项目盈利能力分析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6" w:history="1">
        <w:r>
          <w:rPr>
            <w:rFonts w:ascii="仿宋" w:eastAsia="仿宋" w:hAnsi="仿宋" w:cs="仿宋" w:hint="eastAsia"/>
            <w:lang w:eastAsia="zh-CN"/>
          </w:rPr>
          <w:t>十、质量管理与监督</w:t>
        </w:r>
        <w:r>
          <w:tab/>
        </w:r>
        <w:r>
          <w:fldChar w:fldCharType="begin"/>
        </w:r>
        <w:r>
          <w:instrText xml:space="preserve"> PAGEREF _Toc6896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十一、散剂项目组织与管理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(一)、散剂项目管理团队组建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(二)、散剂项目沟通与决策流程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6" w:history="1">
        <w:r>
          <w:rPr>
            <w:rFonts w:ascii="仿宋" w:eastAsia="仿宋" w:hAnsi="仿宋" w:cs="仿宋" w:hint="eastAsia"/>
            <w:lang w:eastAsia="zh-CN"/>
          </w:rPr>
          <w:t>(三)、散剂项目风险管理与应对策略</w:t>
        </w:r>
        <w:r>
          <w:tab/>
        </w:r>
        <w:r>
          <w:fldChar w:fldCharType="begin"/>
        </w:r>
        <w:r>
          <w:instrText xml:space="preserve"> PAGEREF _Toc13746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十二、网络分销渠道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4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_Toc19464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1" w:history="1">
        <w:r>
          <w:rPr>
            <w:rFonts w:ascii="仿宋" w:eastAsia="仿宋" w:hAnsi="仿宋" w:cs="仿宋" w:hint="eastAsia"/>
            <w:lang w:eastAsia="zh-CN"/>
          </w:rPr>
          <w:t>十三、散剂项目可持续性分析</w:t>
        </w:r>
        <w:r>
          <w:tab/>
        </w:r>
        <w:r>
          <w:fldChar w:fldCharType="begin"/>
        </w:r>
        <w:r>
          <w:instrText xml:space="preserve"> PAGEREF _Toc15141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3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_Toc18263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44" w:history="1">
        <w:r>
          <w:rPr>
            <w:rFonts w:ascii="仿宋" w:eastAsia="仿宋" w:hAnsi="仿宋" w:cs="仿宋" w:hint="eastAsia"/>
            <w:lang w:eastAsia="zh-CN"/>
          </w:rPr>
          <w:t>十四、散剂项目财务管理</w:t>
        </w:r>
        <w:r>
          <w:tab/>
        </w:r>
        <w:r>
          <w:fldChar w:fldCharType="begin"/>
        </w:r>
        <w:r>
          <w:instrText xml:space="preserve"> PAGEREF _Toc9544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_Toc29325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_Toc497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_Toc30279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_Toc3968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5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_Toc28225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eastAsia="zh-CN"/>
          </w:rPr>
          <w:t>十八、市场营销与品牌推广</w:t>
        </w:r>
        <w:r>
          <w:tab/>
        </w:r>
        <w:r>
          <w:fldChar w:fldCharType="begin"/>
        </w:r>
        <w:r>
          <w:instrText xml:space="preserve"> PAGEREF _Toc23066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4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7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_Toc15987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十九、总结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" w:history="1">
        <w:r>
          <w:rPr>
            <w:rFonts w:ascii="仿宋" w:eastAsia="仿宋" w:hAnsi="仿宋" w:cs="仿宋" w:hint="eastAsia"/>
            <w:lang w:eastAsia="zh-CN"/>
          </w:rPr>
          <w:t>二十、资金筹措与投资分析</w:t>
        </w:r>
        <w:r>
          <w:tab/>
        </w:r>
        <w:r>
          <w:fldChar w:fldCharType="begin"/>
        </w:r>
        <w:r>
          <w:instrText xml:space="preserve"> PAGEREF _Toc2786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_Toc2428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8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_Toc15028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二十一、职业健康与员工福祉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9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38"/>
      <w:r>
        <w:rPr>
          <w:rFonts w:ascii="仿宋" w:eastAsia="仿宋" w:hAnsi="仿宋" w:cs="仿宋" w:hint="eastAsia"/>
          <w:sz w:val="28"/>
          <w:lang w:eastAsia="zh-CN"/>
        </w:rPr>
        <w:t>一、员工压力管理及应对措施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46"/>
      <w:r>
        <w:rPr>
          <w:rFonts w:ascii="仿宋" w:eastAsia="仿宋" w:hAnsi="仿宋" w:cs="仿宋" w:hint="eastAsia"/>
          <w:lang w:eastAsia="zh-CN"/>
        </w:rPr>
        <w:t>(一)、压力对员工的影响及管理原则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在现代职场中，可以说员工面临的压力是不可避免的。对于这个问题，公司意识到了良好的压力管理的重要性，并且制定了以下管理原则：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个性化管理：公司重视员工个体差异。这包括了解员工的性格、工作习惯和应对压力的方式。由于不同的员工对同一压力源可能有不同的反应，公司将采取个性化的管理方式，以更好地满足员工的个体需求。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提前介入：为了及时发现员工可能面临的压力源，公司将建立早期介入机制，并定期进行员工心理健康检查。通过提前介入，公司将采取预防措施，以防范潜在问题，确保员工的身心健康。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多方位支持：公司将建立一个全面的支持体系，以应对不同类型的压力。这包括提供心理健康服务、职业发展支持和促进同事之间互助。通过提供多样化的帮助和支持，公司致力于帮助员工更好地应对职场压力。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遵循这些管理原则，公司将建立一个注重员工个体差异、提前介入问题、创造多方位支持的管理体系，以更好地应对员工在职场中可能面临的各种压力。这不仅有助于维护员工的健康和幸福感，还能提高整个团队的工作效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6"/>
      <w:r>
        <w:rPr>
          <w:rFonts w:ascii="仿宋" w:eastAsia="仿宋" w:hAnsi="仿宋" w:cs="仿宋" w:hint="eastAsia"/>
          <w:sz w:val="28"/>
          <w:lang w:eastAsia="zh-CN"/>
        </w:rPr>
        <w:t>(二)、压力应对策略及其实施方案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为了帮助员工更有效地应对职业和生活中的压力，公司制定了一系列应对策略，并拟定了具体实施方案，以确保员工能够在面对压力时保持身心健康和高效工作。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提供培训与资源：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实施方案： 公司将设立定期的压力管理培训课程，由专业心理健康专家或培训机构提供。培训内容将涵盖认知行为疗法、情绪管理、时间管理等方面。通过这些培训，员工将学到应对压力的实用技能，提高对压力的认知和处理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灵活的工作安排：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实施方案： 公司将鼓励和支持弹性工作时间和远程办公。员工可以根据个人需求和生活状况调整工作时间表，以更好地平衡工作和家庭责任。此外，公司还将提供必要的技术支持，确保远程工作的顺利进行，减轻员工因工作地点而产生的压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https://d.book118.com/618032053057006041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散剂项目规划设计方案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53514F"/>
    <w:rsid w:val="1653514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032053057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2024-02-29T03:51:00Z</dcterms:created>
  <dcterms:modified xsi:type="dcterms:W3CDTF">2024-02-29T03:51:20Z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DA65841E5E63453F93B1DB2DE9CED2DC_11</vt:lpwstr>
  </property>
  <property fmtid="{D5CDD505-2E9C-101B-9397-08002B2CF9AE}" pid="3" name="KSOProductBuildVer">
    <vt:lpwstr>2052-12.1.0.16250</vt:lpwstr>
  </property>
</Properties>
</file>